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7A" w:rsidRPr="00BE52A0" w:rsidRDefault="00D70C7A" w:rsidP="00D70C7A">
      <w:pPr>
        <w:spacing w:line="120" w:lineRule="exact"/>
        <w:rPr>
          <w:rFonts w:ascii="仿宋_GB2312" w:cs="仿宋_GB2312" w:hint="eastAsia"/>
          <w:color w:val="000000"/>
        </w:rPr>
      </w:pPr>
    </w:p>
    <w:p w:rsidR="00D70C7A" w:rsidRDefault="00D70C7A" w:rsidP="00D70C7A">
      <w:pPr>
        <w:spacing w:line="600" w:lineRule="exact"/>
        <w:jc w:val="center"/>
        <w:rPr>
          <w:rFonts w:ascii="宋体" w:hAnsi="宋体"/>
          <w:sz w:val="44"/>
          <w:szCs w:val="44"/>
        </w:rPr>
      </w:pPr>
      <w:r>
        <w:rPr>
          <w:rFonts w:ascii="宋体" w:hAnsi="宋体"/>
          <w:sz w:val="44"/>
          <w:szCs w:val="44"/>
        </w:rPr>
        <w:t>深圳市福田区201</w:t>
      </w:r>
      <w:r w:rsidR="00A83CCD">
        <w:rPr>
          <w:rFonts w:ascii="宋体" w:hAnsi="宋体" w:hint="eastAsia"/>
          <w:sz w:val="44"/>
          <w:szCs w:val="44"/>
        </w:rPr>
        <w:t>4</w:t>
      </w:r>
      <w:r>
        <w:rPr>
          <w:rFonts w:ascii="宋体" w:hAnsi="宋体"/>
          <w:sz w:val="44"/>
          <w:szCs w:val="44"/>
        </w:rPr>
        <w:t>年国民经济和社会发展</w:t>
      </w:r>
    </w:p>
    <w:p w:rsidR="00D70C7A" w:rsidRDefault="00D70C7A" w:rsidP="00D70C7A">
      <w:pPr>
        <w:spacing w:line="600" w:lineRule="exact"/>
        <w:jc w:val="center"/>
        <w:rPr>
          <w:rFonts w:ascii="宋体" w:hAnsi="宋体"/>
          <w:sz w:val="44"/>
          <w:szCs w:val="44"/>
        </w:rPr>
      </w:pPr>
      <w:r>
        <w:rPr>
          <w:rFonts w:ascii="宋体" w:hAnsi="宋体"/>
          <w:sz w:val="44"/>
          <w:szCs w:val="44"/>
        </w:rPr>
        <w:t>统计公报</w:t>
      </w:r>
    </w:p>
    <w:p w:rsidR="00D70C7A" w:rsidRDefault="00D70C7A" w:rsidP="00882313">
      <w:pPr>
        <w:spacing w:line="400" w:lineRule="exact"/>
      </w:pPr>
    </w:p>
    <w:p w:rsidR="00255940" w:rsidRPr="009E7E84" w:rsidRDefault="00E31C5C" w:rsidP="00954F1A">
      <w:pPr>
        <w:ind w:firstLineChars="200" w:firstLine="640"/>
        <w:rPr>
          <w:rFonts w:ascii="仿宋_GB2312" w:eastAsia="仿宋_GB2312"/>
          <w:sz w:val="32"/>
          <w:szCs w:val="32"/>
        </w:rPr>
      </w:pPr>
      <w:r w:rsidRPr="009E7E84">
        <w:rPr>
          <w:rFonts w:ascii="仿宋_GB2312" w:eastAsia="仿宋_GB2312" w:hint="eastAsia"/>
          <w:sz w:val="32"/>
          <w:szCs w:val="32"/>
        </w:rPr>
        <w:t>2014</w:t>
      </w:r>
      <w:r w:rsidR="006A7804">
        <w:rPr>
          <w:rFonts w:ascii="仿宋_GB2312" w:eastAsia="仿宋_GB2312" w:hint="eastAsia"/>
          <w:sz w:val="32"/>
          <w:szCs w:val="32"/>
        </w:rPr>
        <w:t>年</w:t>
      </w:r>
      <w:r w:rsidR="00EF09F3">
        <w:rPr>
          <w:rFonts w:ascii="仿宋_GB2312" w:eastAsia="仿宋_GB2312" w:hint="eastAsia"/>
          <w:sz w:val="32"/>
          <w:szCs w:val="32"/>
        </w:rPr>
        <w:t>是</w:t>
      </w:r>
      <w:r w:rsidR="00EF09F3">
        <w:rPr>
          <w:rFonts w:ascii="仿宋_GB2312" w:eastAsia="仿宋_GB2312"/>
          <w:sz w:val="32"/>
          <w:szCs w:val="32"/>
        </w:rPr>
        <w:t>福田区深化改革、</w:t>
      </w:r>
      <w:r w:rsidR="00EF09F3">
        <w:rPr>
          <w:rFonts w:ascii="仿宋_GB2312" w:eastAsia="仿宋_GB2312" w:hint="eastAsia"/>
          <w:sz w:val="32"/>
          <w:szCs w:val="32"/>
        </w:rPr>
        <w:t>发力</w:t>
      </w:r>
      <w:r w:rsidR="00EF09F3">
        <w:rPr>
          <w:rFonts w:ascii="仿宋_GB2312" w:eastAsia="仿宋_GB2312"/>
          <w:sz w:val="32"/>
          <w:szCs w:val="32"/>
        </w:rPr>
        <w:t>冲刺、提质增效的关键一年</w:t>
      </w:r>
      <w:r w:rsidR="00EF09F3">
        <w:rPr>
          <w:rFonts w:ascii="仿宋_GB2312" w:eastAsia="仿宋_GB2312" w:hint="eastAsia"/>
          <w:sz w:val="32"/>
          <w:szCs w:val="32"/>
        </w:rPr>
        <w:t>，</w:t>
      </w:r>
      <w:r w:rsidRPr="009E7E84">
        <w:rPr>
          <w:rFonts w:ascii="仿宋_GB2312" w:eastAsia="仿宋_GB2312" w:hint="eastAsia"/>
          <w:sz w:val="32"/>
          <w:szCs w:val="32"/>
        </w:rPr>
        <w:t>福田区</w:t>
      </w:r>
      <w:r w:rsidR="009E7E84" w:rsidRPr="009E7E84">
        <w:rPr>
          <w:rFonts w:ascii="仿宋_GB2312" w:eastAsia="仿宋_GB2312" w:hint="eastAsia"/>
          <w:sz w:val="32"/>
          <w:szCs w:val="32"/>
        </w:rPr>
        <w:t>坚持“市场化、法治化、国际化”改革主攻方向，</w:t>
      </w:r>
      <w:r w:rsidR="00EF09F3">
        <w:rPr>
          <w:rFonts w:ascii="仿宋_GB2312" w:eastAsia="仿宋_GB2312" w:hint="eastAsia"/>
          <w:sz w:val="32"/>
          <w:szCs w:val="32"/>
        </w:rPr>
        <w:t>树立</w:t>
      </w:r>
      <w:r w:rsidR="009E7E84" w:rsidRPr="009E7E84">
        <w:rPr>
          <w:rFonts w:ascii="仿宋_GB2312" w:eastAsia="仿宋_GB2312" w:hint="eastAsia"/>
          <w:sz w:val="32"/>
          <w:szCs w:val="32"/>
        </w:rPr>
        <w:t>深圳质量、深圳标准</w:t>
      </w:r>
      <w:r w:rsidR="00EF09F3">
        <w:rPr>
          <w:rFonts w:ascii="仿宋_GB2312" w:eastAsia="仿宋_GB2312" w:hint="eastAsia"/>
          <w:sz w:val="32"/>
          <w:szCs w:val="32"/>
        </w:rPr>
        <w:t>城区</w:t>
      </w:r>
      <w:r w:rsidR="00EF09F3">
        <w:rPr>
          <w:rFonts w:ascii="仿宋_GB2312" w:eastAsia="仿宋_GB2312"/>
          <w:sz w:val="32"/>
          <w:szCs w:val="32"/>
        </w:rPr>
        <w:t>标杆</w:t>
      </w:r>
      <w:r w:rsidR="009E7E84" w:rsidRPr="009E7E84">
        <w:rPr>
          <w:rFonts w:ascii="仿宋_GB2312" w:eastAsia="仿宋_GB2312" w:hint="eastAsia"/>
          <w:sz w:val="32"/>
          <w:szCs w:val="32"/>
        </w:rPr>
        <w:t>，紧扣“打造高品质综合环境、加快建设一流国际化中心城区”战略，</w:t>
      </w:r>
      <w:r w:rsidR="00954F1A">
        <w:rPr>
          <w:rFonts w:ascii="仿宋_GB2312" w:eastAsia="仿宋_GB2312" w:hint="eastAsia"/>
          <w:sz w:val="32"/>
          <w:szCs w:val="32"/>
        </w:rPr>
        <w:t>主动</w:t>
      </w:r>
      <w:r w:rsidR="00954F1A">
        <w:rPr>
          <w:rFonts w:ascii="仿宋_GB2312" w:eastAsia="仿宋_GB2312"/>
          <w:sz w:val="32"/>
          <w:szCs w:val="32"/>
        </w:rPr>
        <w:t>适应经济发展新常态，积极应对困难挑战，扎实推进稳增长、</w:t>
      </w:r>
      <w:r w:rsidR="00954F1A">
        <w:rPr>
          <w:rFonts w:ascii="仿宋_GB2312" w:eastAsia="仿宋_GB2312" w:hint="eastAsia"/>
          <w:sz w:val="32"/>
          <w:szCs w:val="32"/>
        </w:rPr>
        <w:t>促</w:t>
      </w:r>
      <w:r w:rsidR="009E7E84" w:rsidRPr="009E7E84">
        <w:rPr>
          <w:rFonts w:ascii="仿宋_GB2312" w:eastAsia="仿宋_GB2312" w:hint="eastAsia"/>
          <w:sz w:val="32"/>
          <w:szCs w:val="32"/>
        </w:rPr>
        <w:t>改革、提质量、</w:t>
      </w:r>
      <w:r w:rsidR="00954F1A">
        <w:rPr>
          <w:rFonts w:ascii="仿宋_GB2312" w:eastAsia="仿宋_GB2312" w:hint="eastAsia"/>
          <w:sz w:val="32"/>
          <w:szCs w:val="32"/>
        </w:rPr>
        <w:t>惠</w:t>
      </w:r>
      <w:r w:rsidR="00954F1A">
        <w:rPr>
          <w:rFonts w:ascii="仿宋_GB2312" w:eastAsia="仿宋_GB2312"/>
          <w:sz w:val="32"/>
          <w:szCs w:val="32"/>
        </w:rPr>
        <w:t>民生各项工作</w:t>
      </w:r>
      <w:r w:rsidR="009E7E84" w:rsidRPr="009E7E84">
        <w:rPr>
          <w:rFonts w:ascii="仿宋_GB2312" w:eastAsia="仿宋_GB2312" w:hint="eastAsia"/>
          <w:sz w:val="32"/>
          <w:szCs w:val="32"/>
        </w:rPr>
        <w:t>，经济社会发展</w:t>
      </w:r>
      <w:r w:rsidR="00954F1A">
        <w:rPr>
          <w:rFonts w:ascii="仿宋_GB2312" w:eastAsia="仿宋_GB2312" w:hint="eastAsia"/>
          <w:sz w:val="32"/>
          <w:szCs w:val="32"/>
        </w:rPr>
        <w:t>取得</w:t>
      </w:r>
      <w:r w:rsidR="00954F1A">
        <w:rPr>
          <w:rFonts w:ascii="仿宋_GB2312" w:eastAsia="仿宋_GB2312"/>
          <w:sz w:val="32"/>
          <w:szCs w:val="32"/>
        </w:rPr>
        <w:t>新成绩</w:t>
      </w:r>
      <w:r w:rsidR="00954F1A">
        <w:rPr>
          <w:rFonts w:ascii="仿宋_GB2312" w:eastAsia="仿宋_GB2312" w:hint="eastAsia"/>
          <w:sz w:val="32"/>
          <w:szCs w:val="32"/>
        </w:rPr>
        <w:t>。</w:t>
      </w:r>
    </w:p>
    <w:p w:rsidR="00D70C7A" w:rsidRDefault="00D70C7A" w:rsidP="006E5F0E">
      <w:pPr>
        <w:jc w:val="center"/>
        <w:rPr>
          <w:rFonts w:ascii="黑体" w:eastAsia="黑体" w:hAnsi="黑体"/>
          <w:sz w:val="32"/>
          <w:szCs w:val="32"/>
        </w:rPr>
      </w:pPr>
      <w:r>
        <w:rPr>
          <w:rFonts w:ascii="黑体" w:eastAsia="黑体" w:hAnsi="黑体" w:hint="eastAsia"/>
          <w:sz w:val="32"/>
          <w:szCs w:val="32"/>
        </w:rPr>
        <w:t>一、综合</w:t>
      </w:r>
    </w:p>
    <w:p w:rsidR="00D70C7A" w:rsidRPr="006A2B16" w:rsidRDefault="00D70C7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初步核算，</w:t>
      </w:r>
      <w:r w:rsidR="00C2776E">
        <w:rPr>
          <w:rFonts w:ascii="仿宋_GB2312" w:eastAsia="仿宋_GB2312" w:hAnsi="Calibri"/>
          <w:sz w:val="32"/>
          <w:szCs w:val="32"/>
        </w:rPr>
        <w:t>2014</w:t>
      </w:r>
      <w:r>
        <w:rPr>
          <w:rFonts w:ascii="仿宋_GB2312" w:eastAsia="仿宋_GB2312" w:hAnsi="Calibri" w:hint="eastAsia"/>
          <w:sz w:val="32"/>
          <w:szCs w:val="32"/>
        </w:rPr>
        <w:t>年全区实现地区生产总值（现价,下同）</w:t>
      </w:r>
      <w:r w:rsidR="004B3CBE">
        <w:rPr>
          <w:rFonts w:ascii="仿宋_GB2312" w:eastAsia="仿宋_GB2312" w:hAnsi="Calibri" w:hint="eastAsia"/>
          <w:sz w:val="32"/>
          <w:szCs w:val="32"/>
        </w:rPr>
        <w:t>2958.85</w:t>
      </w:r>
      <w:r>
        <w:rPr>
          <w:rFonts w:ascii="仿宋_GB2312" w:eastAsia="仿宋_GB2312" w:hAnsi="Calibri" w:hint="eastAsia"/>
          <w:sz w:val="32"/>
          <w:szCs w:val="32"/>
        </w:rPr>
        <w:t>亿元，比上年增长（</w:t>
      </w:r>
      <w:r w:rsidR="00152B76">
        <w:rPr>
          <w:rFonts w:ascii="仿宋_GB2312" w:eastAsia="仿宋_GB2312" w:hAnsi="Calibri" w:hint="eastAsia"/>
          <w:sz w:val="32"/>
          <w:szCs w:val="32"/>
        </w:rPr>
        <w:t>可比价</w:t>
      </w:r>
      <w:r w:rsidR="00152B76">
        <w:rPr>
          <w:rFonts w:ascii="仿宋_GB2312" w:eastAsia="仿宋_GB2312" w:hAnsi="Calibri"/>
          <w:sz w:val="32"/>
          <w:szCs w:val="32"/>
        </w:rPr>
        <w:t>，</w:t>
      </w:r>
      <w:r>
        <w:rPr>
          <w:rFonts w:ascii="仿宋_GB2312" w:eastAsia="仿宋_GB2312" w:hAnsi="Calibri" w:hint="eastAsia"/>
          <w:sz w:val="32"/>
          <w:szCs w:val="32"/>
        </w:rPr>
        <w:t>下同）</w:t>
      </w:r>
      <w:r w:rsidR="004B3CBE">
        <w:rPr>
          <w:rFonts w:ascii="仿宋_GB2312" w:eastAsia="仿宋_GB2312" w:hAnsi="Calibri" w:hint="eastAsia"/>
          <w:sz w:val="32"/>
          <w:szCs w:val="32"/>
        </w:rPr>
        <w:t>8.9%</w:t>
      </w:r>
      <w:r w:rsidR="00152B76">
        <w:rPr>
          <w:rFonts w:ascii="仿宋_GB2312" w:eastAsia="仿宋_GB2312" w:hAnsi="Calibri" w:hint="eastAsia"/>
          <w:sz w:val="32"/>
          <w:szCs w:val="32"/>
        </w:rPr>
        <w:t>，</w:t>
      </w:r>
      <w:r w:rsidR="00152B76">
        <w:rPr>
          <w:rFonts w:ascii="仿宋_GB2312" w:eastAsia="仿宋_GB2312" w:hAnsi="Calibri"/>
          <w:sz w:val="32"/>
          <w:szCs w:val="32"/>
        </w:rPr>
        <w:t>经济总量迈上</w:t>
      </w:r>
      <w:r w:rsidR="00152B76">
        <w:rPr>
          <w:rFonts w:ascii="仿宋_GB2312" w:eastAsia="仿宋_GB2312" w:hAnsi="Calibri" w:hint="eastAsia"/>
          <w:sz w:val="32"/>
          <w:szCs w:val="32"/>
        </w:rPr>
        <w:t>2900亿元</w:t>
      </w:r>
      <w:r w:rsidR="00152B76">
        <w:rPr>
          <w:rFonts w:ascii="仿宋_GB2312" w:eastAsia="仿宋_GB2312" w:hAnsi="Calibri"/>
          <w:sz w:val="32"/>
          <w:szCs w:val="32"/>
        </w:rPr>
        <w:t>台阶</w:t>
      </w:r>
      <w:r w:rsidR="00152B76">
        <w:rPr>
          <w:rFonts w:ascii="仿宋_GB2312" w:eastAsia="仿宋_GB2312" w:hAnsi="Calibri" w:hint="eastAsia"/>
          <w:sz w:val="32"/>
          <w:szCs w:val="32"/>
        </w:rPr>
        <w:t>，</w:t>
      </w:r>
      <w:r w:rsidR="00152B76">
        <w:rPr>
          <w:rFonts w:ascii="仿宋_GB2312" w:eastAsia="仿宋_GB2312" w:hAnsi="Calibri"/>
          <w:sz w:val="32"/>
          <w:szCs w:val="32"/>
        </w:rPr>
        <w:t>向</w:t>
      </w:r>
      <w:r w:rsidR="00152B76">
        <w:rPr>
          <w:rFonts w:ascii="仿宋_GB2312" w:eastAsia="仿宋_GB2312" w:hAnsi="Calibri" w:hint="eastAsia"/>
          <w:sz w:val="32"/>
          <w:szCs w:val="32"/>
        </w:rPr>
        <w:t>3000亿元</w:t>
      </w:r>
      <w:r>
        <w:rPr>
          <w:rFonts w:ascii="仿宋_GB2312" w:eastAsia="仿宋_GB2312" w:hAnsi="Calibri" w:hint="eastAsia"/>
          <w:sz w:val="32"/>
          <w:szCs w:val="32"/>
        </w:rPr>
        <w:t>。其中第一产业实现增加值</w:t>
      </w:r>
      <w:r w:rsidR="00413115">
        <w:rPr>
          <w:rFonts w:ascii="仿宋_GB2312" w:eastAsia="仿宋_GB2312" w:hAnsi="Calibri" w:hint="eastAsia"/>
          <w:sz w:val="32"/>
          <w:szCs w:val="32"/>
        </w:rPr>
        <w:t>1</w:t>
      </w:r>
      <w:r w:rsidR="00413115">
        <w:rPr>
          <w:rFonts w:ascii="仿宋_GB2312" w:eastAsia="仿宋_GB2312" w:hAnsi="Calibri"/>
          <w:sz w:val="32"/>
          <w:szCs w:val="32"/>
        </w:rPr>
        <w:t>.33</w:t>
      </w:r>
      <w:r>
        <w:rPr>
          <w:rFonts w:ascii="仿宋_GB2312" w:eastAsia="仿宋_GB2312" w:hAnsi="Calibri" w:hint="eastAsia"/>
          <w:sz w:val="32"/>
          <w:szCs w:val="32"/>
        </w:rPr>
        <w:t>亿元，</w:t>
      </w:r>
      <w:r w:rsidR="00D16DC2">
        <w:rPr>
          <w:rFonts w:ascii="仿宋_GB2312" w:eastAsia="仿宋_GB2312" w:hAnsi="Calibri" w:hint="eastAsia"/>
          <w:sz w:val="32"/>
          <w:szCs w:val="32"/>
        </w:rPr>
        <w:t>增长75.0</w:t>
      </w:r>
      <w:r w:rsidR="00D16DC2">
        <w:rPr>
          <w:rFonts w:ascii="仿宋_GB2312" w:eastAsia="仿宋_GB2312" w:hAnsi="Calibri"/>
          <w:sz w:val="32"/>
          <w:szCs w:val="32"/>
        </w:rPr>
        <w:t>%</w:t>
      </w:r>
      <w:r w:rsidR="0048317F">
        <w:rPr>
          <w:rFonts w:ascii="仿宋_GB2312" w:eastAsia="仿宋_GB2312" w:hAnsi="Calibri" w:hint="eastAsia"/>
          <w:sz w:val="32"/>
          <w:szCs w:val="32"/>
        </w:rPr>
        <w:t>，</w:t>
      </w:r>
      <w:r w:rsidR="0048317F">
        <w:rPr>
          <w:rFonts w:ascii="仿宋_GB2312" w:eastAsia="仿宋_GB2312" w:hAnsi="Calibri"/>
          <w:sz w:val="32"/>
          <w:szCs w:val="32"/>
        </w:rPr>
        <w:t>对</w:t>
      </w:r>
      <w:r w:rsidR="0048317F">
        <w:rPr>
          <w:rFonts w:ascii="仿宋_GB2312" w:eastAsia="仿宋_GB2312" w:hAnsi="Calibri" w:hint="eastAsia"/>
          <w:sz w:val="32"/>
          <w:szCs w:val="32"/>
        </w:rPr>
        <w:t>经济</w:t>
      </w:r>
      <w:r w:rsidR="0048317F">
        <w:rPr>
          <w:rFonts w:ascii="仿宋_GB2312" w:eastAsia="仿宋_GB2312" w:hAnsi="Calibri"/>
          <w:sz w:val="32"/>
          <w:szCs w:val="32"/>
        </w:rPr>
        <w:t>增长贡献率为</w:t>
      </w:r>
      <w:r w:rsidR="00854F5F">
        <w:rPr>
          <w:rFonts w:ascii="仿宋_GB2312" w:eastAsia="仿宋_GB2312" w:hAnsi="Calibri" w:hint="eastAsia"/>
          <w:sz w:val="32"/>
          <w:szCs w:val="32"/>
        </w:rPr>
        <w:t>0.2%</w:t>
      </w:r>
      <w:r>
        <w:rPr>
          <w:rFonts w:ascii="仿宋_GB2312" w:eastAsia="仿宋_GB2312" w:hAnsi="Calibri" w:hint="eastAsia"/>
          <w:sz w:val="32"/>
          <w:szCs w:val="32"/>
        </w:rPr>
        <w:t>；第二产业实现增加值</w:t>
      </w:r>
      <w:r w:rsidR="005059BE">
        <w:rPr>
          <w:rFonts w:ascii="仿宋_GB2312" w:eastAsia="仿宋_GB2312" w:hAnsi="Calibri" w:hint="eastAsia"/>
          <w:sz w:val="32"/>
          <w:szCs w:val="32"/>
        </w:rPr>
        <w:t>20</w:t>
      </w:r>
      <w:r w:rsidR="005059BE">
        <w:rPr>
          <w:rFonts w:ascii="仿宋_GB2312" w:eastAsia="仿宋_GB2312" w:hAnsi="Calibri"/>
          <w:sz w:val="32"/>
          <w:szCs w:val="32"/>
        </w:rPr>
        <w:t>1.38</w:t>
      </w:r>
      <w:r>
        <w:rPr>
          <w:rFonts w:ascii="仿宋_GB2312" w:eastAsia="仿宋_GB2312" w:hAnsi="Calibri" w:hint="eastAsia"/>
          <w:sz w:val="32"/>
          <w:szCs w:val="32"/>
        </w:rPr>
        <w:t>亿元，增长</w:t>
      </w:r>
      <w:r w:rsidR="005059BE">
        <w:rPr>
          <w:rFonts w:ascii="仿宋_GB2312" w:eastAsia="仿宋_GB2312" w:hAnsi="Calibri" w:hint="eastAsia"/>
          <w:sz w:val="32"/>
          <w:szCs w:val="32"/>
        </w:rPr>
        <w:t>5.2%</w:t>
      </w:r>
      <w:r w:rsidR="0048317F">
        <w:rPr>
          <w:rFonts w:ascii="仿宋_GB2312" w:eastAsia="仿宋_GB2312" w:hAnsi="Calibri" w:hint="eastAsia"/>
          <w:sz w:val="32"/>
          <w:szCs w:val="32"/>
        </w:rPr>
        <w:t>，</w:t>
      </w:r>
      <w:r w:rsidR="0048317F">
        <w:rPr>
          <w:rFonts w:ascii="仿宋_GB2312" w:eastAsia="仿宋_GB2312" w:hAnsi="Calibri"/>
          <w:sz w:val="32"/>
          <w:szCs w:val="32"/>
        </w:rPr>
        <w:t>对</w:t>
      </w:r>
      <w:r w:rsidR="0048317F">
        <w:rPr>
          <w:rFonts w:ascii="仿宋_GB2312" w:eastAsia="仿宋_GB2312" w:hAnsi="Calibri" w:hint="eastAsia"/>
          <w:sz w:val="32"/>
          <w:szCs w:val="32"/>
        </w:rPr>
        <w:t>经济</w:t>
      </w:r>
      <w:r w:rsidR="0048317F">
        <w:rPr>
          <w:rFonts w:ascii="仿宋_GB2312" w:eastAsia="仿宋_GB2312" w:hAnsi="Calibri"/>
          <w:sz w:val="32"/>
          <w:szCs w:val="32"/>
        </w:rPr>
        <w:t>增长贡献率为</w:t>
      </w:r>
      <w:r w:rsidR="00BF65CA">
        <w:rPr>
          <w:rFonts w:ascii="仿宋_GB2312" w:eastAsia="仿宋_GB2312" w:hAnsi="Calibri" w:hint="eastAsia"/>
          <w:sz w:val="32"/>
          <w:szCs w:val="32"/>
        </w:rPr>
        <w:t>4.</w:t>
      </w:r>
      <w:r w:rsidR="00BF65CA">
        <w:rPr>
          <w:rFonts w:ascii="仿宋_GB2312" w:eastAsia="仿宋_GB2312" w:hAnsi="Calibri"/>
          <w:sz w:val="32"/>
          <w:szCs w:val="32"/>
        </w:rPr>
        <w:t>3</w:t>
      </w:r>
      <w:r w:rsidR="00BF65CA">
        <w:rPr>
          <w:rFonts w:ascii="仿宋_GB2312" w:eastAsia="仿宋_GB2312" w:hAnsi="Calibri" w:hint="eastAsia"/>
          <w:sz w:val="32"/>
          <w:szCs w:val="32"/>
        </w:rPr>
        <w:t>%</w:t>
      </w:r>
      <w:r w:rsidR="0048317F">
        <w:rPr>
          <w:rFonts w:ascii="仿宋_GB2312" w:eastAsia="仿宋_GB2312" w:hAnsi="Calibri"/>
          <w:sz w:val="32"/>
          <w:szCs w:val="32"/>
        </w:rPr>
        <w:t>，</w:t>
      </w:r>
      <w:r w:rsidR="0048317F">
        <w:rPr>
          <w:rFonts w:ascii="仿宋_GB2312" w:eastAsia="仿宋_GB2312" w:hAnsi="Calibri" w:hint="eastAsia"/>
          <w:sz w:val="32"/>
          <w:szCs w:val="32"/>
        </w:rPr>
        <w:t>拉动</w:t>
      </w:r>
      <w:r w:rsidR="0048317F">
        <w:rPr>
          <w:rFonts w:ascii="仿宋_GB2312" w:eastAsia="仿宋_GB2312" w:hAnsi="Calibri"/>
          <w:sz w:val="32"/>
          <w:szCs w:val="32"/>
        </w:rPr>
        <w:t>经济增长</w:t>
      </w:r>
      <w:r w:rsidR="00CE2D6E">
        <w:rPr>
          <w:rFonts w:ascii="仿宋_GB2312" w:eastAsia="仿宋_GB2312" w:hAnsi="Calibri" w:hint="eastAsia"/>
          <w:sz w:val="32"/>
          <w:szCs w:val="32"/>
        </w:rPr>
        <w:t>0.4个</w:t>
      </w:r>
      <w:r w:rsidR="00CE2D6E">
        <w:rPr>
          <w:rFonts w:ascii="仿宋_GB2312" w:eastAsia="仿宋_GB2312" w:hAnsi="Calibri"/>
          <w:sz w:val="32"/>
          <w:szCs w:val="32"/>
        </w:rPr>
        <w:t>百分点</w:t>
      </w:r>
      <w:r>
        <w:rPr>
          <w:rFonts w:ascii="仿宋_GB2312" w:eastAsia="仿宋_GB2312" w:hAnsi="Calibri" w:hint="eastAsia"/>
          <w:sz w:val="32"/>
          <w:szCs w:val="32"/>
        </w:rPr>
        <w:t>；第三产业实现增加值</w:t>
      </w:r>
      <w:r w:rsidR="005059BE">
        <w:rPr>
          <w:rFonts w:ascii="仿宋_GB2312" w:eastAsia="仿宋_GB2312" w:hAnsi="Calibri" w:hint="eastAsia"/>
          <w:sz w:val="32"/>
          <w:szCs w:val="32"/>
        </w:rPr>
        <w:t>2756.14</w:t>
      </w:r>
      <w:r>
        <w:rPr>
          <w:rFonts w:ascii="仿宋_GB2312" w:eastAsia="仿宋_GB2312" w:hAnsi="Calibri" w:hint="eastAsia"/>
          <w:sz w:val="32"/>
          <w:szCs w:val="32"/>
        </w:rPr>
        <w:t>亿元，增长</w:t>
      </w:r>
      <w:r w:rsidR="005059BE">
        <w:rPr>
          <w:rFonts w:ascii="仿宋_GB2312" w:eastAsia="仿宋_GB2312" w:hAnsi="Calibri" w:hint="eastAsia"/>
          <w:sz w:val="32"/>
          <w:szCs w:val="32"/>
        </w:rPr>
        <w:t>9.2%</w:t>
      </w:r>
      <w:r w:rsidR="0048317F">
        <w:rPr>
          <w:rFonts w:ascii="仿宋_GB2312" w:eastAsia="仿宋_GB2312" w:hAnsi="Calibri" w:hint="eastAsia"/>
          <w:sz w:val="32"/>
          <w:szCs w:val="32"/>
        </w:rPr>
        <w:t>，</w:t>
      </w:r>
      <w:r w:rsidR="0048317F">
        <w:rPr>
          <w:rFonts w:ascii="仿宋_GB2312" w:eastAsia="仿宋_GB2312" w:hAnsi="Calibri"/>
          <w:sz w:val="32"/>
          <w:szCs w:val="32"/>
        </w:rPr>
        <w:t>对</w:t>
      </w:r>
      <w:r w:rsidR="0048317F">
        <w:rPr>
          <w:rFonts w:ascii="仿宋_GB2312" w:eastAsia="仿宋_GB2312" w:hAnsi="Calibri" w:hint="eastAsia"/>
          <w:sz w:val="32"/>
          <w:szCs w:val="32"/>
        </w:rPr>
        <w:t>经济</w:t>
      </w:r>
      <w:r w:rsidR="0048317F">
        <w:rPr>
          <w:rFonts w:ascii="仿宋_GB2312" w:eastAsia="仿宋_GB2312" w:hAnsi="Calibri"/>
          <w:sz w:val="32"/>
          <w:szCs w:val="32"/>
        </w:rPr>
        <w:t>增长贡献率为</w:t>
      </w:r>
      <w:r w:rsidR="00BF65CA">
        <w:rPr>
          <w:rFonts w:ascii="仿宋_GB2312" w:eastAsia="仿宋_GB2312" w:hAnsi="Calibri" w:hint="eastAsia"/>
          <w:sz w:val="32"/>
          <w:szCs w:val="32"/>
        </w:rPr>
        <w:t>95.5%</w:t>
      </w:r>
      <w:r w:rsidR="0048317F">
        <w:rPr>
          <w:rFonts w:ascii="仿宋_GB2312" w:eastAsia="仿宋_GB2312" w:hAnsi="Calibri"/>
          <w:sz w:val="32"/>
          <w:szCs w:val="32"/>
        </w:rPr>
        <w:t>，</w:t>
      </w:r>
      <w:r w:rsidR="0048317F">
        <w:rPr>
          <w:rFonts w:ascii="仿宋_GB2312" w:eastAsia="仿宋_GB2312" w:hAnsi="Calibri" w:hint="eastAsia"/>
          <w:sz w:val="32"/>
          <w:szCs w:val="32"/>
        </w:rPr>
        <w:t>拉动</w:t>
      </w:r>
      <w:r w:rsidR="0048317F">
        <w:rPr>
          <w:rFonts w:ascii="仿宋_GB2312" w:eastAsia="仿宋_GB2312" w:hAnsi="Calibri"/>
          <w:sz w:val="32"/>
          <w:szCs w:val="32"/>
        </w:rPr>
        <w:t>经济增长</w:t>
      </w:r>
      <w:r w:rsidR="00CE2D6E">
        <w:rPr>
          <w:rFonts w:ascii="仿宋_GB2312" w:eastAsia="仿宋_GB2312" w:hAnsi="Calibri" w:hint="eastAsia"/>
          <w:sz w:val="32"/>
          <w:szCs w:val="32"/>
        </w:rPr>
        <w:t>8.5个</w:t>
      </w:r>
      <w:r w:rsidR="00CE2D6E">
        <w:rPr>
          <w:rFonts w:ascii="仿宋_GB2312" w:eastAsia="仿宋_GB2312" w:hAnsi="Calibri"/>
          <w:sz w:val="32"/>
          <w:szCs w:val="32"/>
        </w:rPr>
        <w:t>百分点</w:t>
      </w:r>
      <w:r>
        <w:rPr>
          <w:rFonts w:ascii="仿宋_GB2312" w:eastAsia="仿宋_GB2312" w:hAnsi="Calibri" w:hint="eastAsia"/>
          <w:sz w:val="32"/>
          <w:szCs w:val="32"/>
        </w:rPr>
        <w:t>。三次产业结构</w:t>
      </w:r>
      <w:r w:rsidR="000C60F9">
        <w:rPr>
          <w:rFonts w:ascii="仿宋_GB2312" w:eastAsia="仿宋_GB2312" w:hAnsi="Calibri" w:hint="eastAsia"/>
          <w:sz w:val="32"/>
          <w:szCs w:val="32"/>
        </w:rPr>
        <w:t>由</w:t>
      </w:r>
      <w:r w:rsidR="000C60F9">
        <w:rPr>
          <w:rFonts w:ascii="仿宋_GB2312" w:eastAsia="仿宋_GB2312" w:hAnsi="Calibri"/>
          <w:sz w:val="32"/>
          <w:szCs w:val="32"/>
        </w:rPr>
        <w:t>上年的</w:t>
      </w:r>
      <w:r w:rsidR="000C60F9">
        <w:rPr>
          <w:rFonts w:ascii="仿宋_GB2312" w:eastAsia="仿宋_GB2312" w:hAnsi="Calibri" w:hint="eastAsia"/>
          <w:sz w:val="32"/>
          <w:szCs w:val="32"/>
        </w:rPr>
        <w:t>0.03:7.42:92.</w:t>
      </w:r>
      <w:r w:rsidR="000C60F9">
        <w:rPr>
          <w:rFonts w:ascii="仿宋_GB2312" w:eastAsia="仿宋_GB2312" w:hAnsi="Calibri"/>
          <w:sz w:val="32"/>
          <w:szCs w:val="32"/>
        </w:rPr>
        <w:t>55</w:t>
      </w:r>
      <w:r w:rsidR="000C60F9">
        <w:rPr>
          <w:rFonts w:ascii="仿宋_GB2312" w:eastAsia="仿宋_GB2312" w:hAnsi="Calibri" w:hint="eastAsia"/>
          <w:sz w:val="32"/>
          <w:szCs w:val="32"/>
        </w:rPr>
        <w:t>调整</w:t>
      </w:r>
      <w:r>
        <w:rPr>
          <w:rFonts w:ascii="仿宋_GB2312" w:eastAsia="仿宋_GB2312" w:hAnsi="Calibri" w:hint="eastAsia"/>
          <w:sz w:val="32"/>
          <w:szCs w:val="32"/>
        </w:rPr>
        <w:t>为</w:t>
      </w:r>
      <w:r w:rsidR="002425B1">
        <w:rPr>
          <w:rFonts w:ascii="仿宋_GB2312" w:eastAsia="仿宋_GB2312" w:hAnsi="Calibri" w:hint="eastAsia"/>
          <w:sz w:val="32"/>
          <w:szCs w:val="32"/>
        </w:rPr>
        <w:t>0.04:6.81:93.15</w:t>
      </w:r>
      <w:r w:rsidR="00D163BC">
        <w:rPr>
          <w:rFonts w:ascii="仿宋_GB2312" w:eastAsia="仿宋_GB2312" w:hAnsi="Calibri" w:hint="eastAsia"/>
          <w:sz w:val="32"/>
          <w:szCs w:val="32"/>
        </w:rPr>
        <w:t>，</w:t>
      </w:r>
      <w:r w:rsidR="00D163BC">
        <w:rPr>
          <w:rFonts w:ascii="仿宋_GB2312" w:eastAsia="仿宋_GB2312" w:hAnsi="Calibri"/>
          <w:sz w:val="32"/>
          <w:szCs w:val="32"/>
        </w:rPr>
        <w:t>第三产业比重持续提升</w:t>
      </w:r>
      <w:r>
        <w:rPr>
          <w:rFonts w:ascii="仿宋_GB2312" w:eastAsia="仿宋_GB2312" w:hAnsi="Calibri"/>
          <w:sz w:val="32"/>
          <w:szCs w:val="32"/>
        </w:rPr>
        <w:t>。</w:t>
      </w:r>
      <w:r w:rsidR="006A2B16">
        <w:rPr>
          <w:rFonts w:ascii="仿宋_GB2312" w:eastAsia="仿宋_GB2312" w:hAnsi="Calibri" w:hint="eastAsia"/>
          <w:sz w:val="32"/>
          <w:szCs w:val="32"/>
        </w:rPr>
        <w:t>按常住人口计算的人均地区生产总值为</w:t>
      </w:r>
      <w:r w:rsidR="008752B8">
        <w:rPr>
          <w:rFonts w:ascii="仿宋_GB2312" w:eastAsia="仿宋_GB2312" w:hAnsi="Calibri" w:hint="eastAsia"/>
          <w:sz w:val="32"/>
          <w:szCs w:val="32"/>
        </w:rPr>
        <w:t>2</w:t>
      </w:r>
      <w:r w:rsidR="008752B8">
        <w:rPr>
          <w:rFonts w:ascii="仿宋_GB2312" w:eastAsia="仿宋_GB2312" w:hAnsi="Calibri"/>
          <w:sz w:val="32"/>
          <w:szCs w:val="32"/>
        </w:rPr>
        <w:t>1.95</w:t>
      </w:r>
      <w:r w:rsidR="006A2B16">
        <w:rPr>
          <w:rFonts w:ascii="仿宋_GB2312" w:eastAsia="仿宋_GB2312" w:hAnsi="Calibri" w:hint="eastAsia"/>
          <w:sz w:val="32"/>
          <w:szCs w:val="32"/>
        </w:rPr>
        <w:t>万元（按平均汇率折算为</w:t>
      </w:r>
      <w:r w:rsidR="006C7F19">
        <w:rPr>
          <w:rFonts w:ascii="仿宋_GB2312" w:eastAsia="仿宋_GB2312" w:hAnsi="Calibri" w:hint="eastAsia"/>
          <w:sz w:val="32"/>
          <w:szCs w:val="32"/>
        </w:rPr>
        <w:t>3.57</w:t>
      </w:r>
      <w:r w:rsidR="006A2B16">
        <w:rPr>
          <w:rFonts w:ascii="仿宋_GB2312" w:eastAsia="仿宋_GB2312" w:hAnsi="Calibri" w:hint="eastAsia"/>
          <w:sz w:val="32"/>
          <w:szCs w:val="32"/>
        </w:rPr>
        <w:t>万美元），增长</w:t>
      </w:r>
      <w:r w:rsidR="001F13B6">
        <w:rPr>
          <w:rFonts w:ascii="仿宋_GB2312" w:eastAsia="仿宋_GB2312" w:hAnsi="Calibri" w:hint="eastAsia"/>
          <w:sz w:val="32"/>
          <w:szCs w:val="32"/>
        </w:rPr>
        <w:t>7.8%</w:t>
      </w:r>
      <w:r w:rsidR="006A2B16">
        <w:rPr>
          <w:rFonts w:ascii="仿宋_GB2312" w:eastAsia="仿宋_GB2312" w:hAnsi="Calibri"/>
          <w:sz w:val="32"/>
          <w:szCs w:val="32"/>
        </w:rPr>
        <w:t>。</w:t>
      </w:r>
    </w:p>
    <w:p w:rsidR="00FB4553" w:rsidRDefault="002A231B" w:rsidP="00F3677A">
      <w:pPr>
        <w:rPr>
          <w:rFonts w:ascii="宋体" w:hAnsi="宋体"/>
          <w:sz w:val="28"/>
          <w:szCs w:val="28"/>
        </w:rPr>
      </w:pPr>
      <w:r>
        <w:rPr>
          <w:rFonts w:ascii="宋体" w:hAnsi="宋体"/>
          <w:noProof/>
          <w:sz w:val="28"/>
          <w:szCs w:val="28"/>
        </w:rPr>
        <w:lastRenderedPageBreak/>
        <w:drawing>
          <wp:inline distT="0" distB="0" distL="0" distR="0">
            <wp:extent cx="5657850" cy="3200400"/>
            <wp:effectExtent l="0" t="0" r="0" b="0"/>
            <wp:docPr id="109" name="对象 1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155C8" w:rsidRPr="000155C8" w:rsidRDefault="000155C8" w:rsidP="008E6528">
      <w:pPr>
        <w:jc w:val="center"/>
        <w:rPr>
          <w:rFonts w:ascii="宋体" w:hAnsi="宋体"/>
          <w:sz w:val="28"/>
          <w:szCs w:val="28"/>
        </w:rPr>
      </w:pPr>
      <w:r w:rsidRPr="000155C8">
        <w:rPr>
          <w:rFonts w:ascii="宋体" w:hAnsi="宋体" w:hint="eastAsia"/>
          <w:sz w:val="28"/>
          <w:szCs w:val="28"/>
        </w:rPr>
        <w:t>图１</w:t>
      </w:r>
      <w:r w:rsidR="008E6528">
        <w:rPr>
          <w:rFonts w:ascii="宋体" w:hAnsi="宋体" w:hint="eastAsia"/>
          <w:sz w:val="28"/>
          <w:szCs w:val="28"/>
        </w:rPr>
        <w:t xml:space="preserve">  </w:t>
      </w:r>
      <w:r w:rsidRPr="000155C8">
        <w:rPr>
          <w:rFonts w:ascii="宋体" w:hAnsi="宋体" w:hint="eastAsia"/>
          <w:sz w:val="28"/>
          <w:szCs w:val="28"/>
        </w:rPr>
        <w:t>福田区2014年地区生产总值三次产业比例图</w:t>
      </w:r>
    </w:p>
    <w:p w:rsidR="00D70C7A" w:rsidRDefault="002A231B" w:rsidP="00580538">
      <w:pPr>
        <w:jc w:val="left"/>
        <w:rPr>
          <w:rFonts w:ascii="仿宋" w:eastAsia="仿宋" w:hAnsi="仿宋"/>
          <w:sz w:val="32"/>
          <w:szCs w:val="32"/>
        </w:rPr>
      </w:pPr>
      <w:r>
        <w:rPr>
          <w:rFonts w:ascii="仿宋" w:eastAsia="仿宋" w:hAnsi="仿宋"/>
          <w:noProof/>
          <w:sz w:val="32"/>
          <w:szCs w:val="32"/>
        </w:rPr>
        <w:drawing>
          <wp:inline distT="0" distB="0" distL="0" distR="0">
            <wp:extent cx="5724525" cy="2905125"/>
            <wp:effectExtent l="0" t="0" r="9525" b="9525"/>
            <wp:docPr id="96" name="对象 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E6528" w:rsidRPr="008E6528" w:rsidRDefault="008E6528" w:rsidP="008E6528">
      <w:pPr>
        <w:jc w:val="center"/>
        <w:rPr>
          <w:rFonts w:ascii="宋体" w:hAnsi="宋体"/>
          <w:sz w:val="28"/>
          <w:szCs w:val="28"/>
        </w:rPr>
      </w:pPr>
      <w:r w:rsidRPr="008E6528">
        <w:rPr>
          <w:rFonts w:ascii="宋体" w:hAnsi="宋体" w:hint="eastAsia"/>
          <w:sz w:val="28"/>
          <w:szCs w:val="28"/>
        </w:rPr>
        <w:t>图</w:t>
      </w:r>
      <w:r>
        <w:rPr>
          <w:rFonts w:ascii="宋体" w:hAnsi="宋体" w:hint="eastAsia"/>
          <w:sz w:val="28"/>
          <w:szCs w:val="28"/>
        </w:rPr>
        <w:t xml:space="preserve">2  </w:t>
      </w:r>
      <w:r w:rsidRPr="008E6528">
        <w:rPr>
          <w:rFonts w:ascii="宋体" w:hAnsi="宋体" w:hint="eastAsia"/>
          <w:sz w:val="28"/>
          <w:szCs w:val="28"/>
        </w:rPr>
        <w:t>2010-2014年地区生产总值及增长速度</w:t>
      </w:r>
    </w:p>
    <w:p w:rsidR="00C65962" w:rsidRPr="003E415E" w:rsidRDefault="00D70C7A" w:rsidP="00C65962">
      <w:pPr>
        <w:ind w:firstLineChars="200" w:firstLine="640"/>
        <w:rPr>
          <w:rFonts w:ascii="仿宋_GB2312" w:eastAsia="仿宋_GB2312" w:hAnsi="Calibri"/>
          <w:sz w:val="32"/>
          <w:szCs w:val="32"/>
        </w:rPr>
      </w:pPr>
      <w:r>
        <w:rPr>
          <w:rFonts w:ascii="仿宋_GB2312" w:eastAsia="仿宋_GB2312" w:hAnsi="Calibri" w:hint="eastAsia"/>
          <w:sz w:val="32"/>
          <w:szCs w:val="32"/>
        </w:rPr>
        <w:t>分行业看，金融业实现增加值</w:t>
      </w:r>
      <w:r w:rsidR="00147DF3">
        <w:rPr>
          <w:rFonts w:ascii="仿宋_GB2312" w:eastAsia="仿宋_GB2312" w:hAnsi="Calibri" w:hint="eastAsia"/>
          <w:sz w:val="32"/>
          <w:szCs w:val="32"/>
        </w:rPr>
        <w:t>1070.79</w:t>
      </w:r>
      <w:r>
        <w:rPr>
          <w:rFonts w:ascii="仿宋_GB2312" w:eastAsia="仿宋_GB2312" w:hAnsi="Calibri" w:hint="eastAsia"/>
          <w:sz w:val="32"/>
          <w:szCs w:val="32"/>
        </w:rPr>
        <w:t>亿元，增长</w:t>
      </w:r>
      <w:r w:rsidR="00147DF3">
        <w:rPr>
          <w:rFonts w:ascii="仿宋_GB2312" w:eastAsia="仿宋_GB2312" w:hAnsi="Calibri" w:hint="eastAsia"/>
          <w:sz w:val="32"/>
          <w:szCs w:val="32"/>
        </w:rPr>
        <w:t>11.2%</w:t>
      </w:r>
      <w:r>
        <w:rPr>
          <w:rFonts w:ascii="仿宋_GB2312" w:eastAsia="仿宋_GB2312" w:hAnsi="Calibri" w:hint="eastAsia"/>
          <w:sz w:val="32"/>
          <w:szCs w:val="32"/>
        </w:rPr>
        <w:t>，占地区</w:t>
      </w:r>
      <w:r>
        <w:rPr>
          <w:rFonts w:ascii="仿宋_GB2312" w:eastAsia="仿宋_GB2312" w:hAnsi="Calibri"/>
          <w:sz w:val="32"/>
          <w:szCs w:val="32"/>
        </w:rPr>
        <w:t>生产总值的</w:t>
      </w:r>
      <w:r w:rsidR="009C78C0">
        <w:rPr>
          <w:rFonts w:ascii="仿宋_GB2312" w:eastAsia="仿宋_GB2312" w:hAnsi="Calibri" w:hint="eastAsia"/>
          <w:sz w:val="32"/>
          <w:szCs w:val="32"/>
        </w:rPr>
        <w:t>36.2</w:t>
      </w:r>
      <w:r w:rsidR="009C78C0">
        <w:rPr>
          <w:rFonts w:ascii="仿宋_GB2312" w:eastAsia="仿宋_GB2312" w:hAnsi="Calibri"/>
          <w:sz w:val="32"/>
          <w:szCs w:val="32"/>
        </w:rPr>
        <w:t>%</w:t>
      </w:r>
      <w:r w:rsidR="00454121">
        <w:rPr>
          <w:rFonts w:ascii="仿宋_GB2312" w:eastAsia="仿宋_GB2312" w:hAnsi="Calibri" w:hint="eastAsia"/>
          <w:sz w:val="32"/>
          <w:szCs w:val="32"/>
        </w:rPr>
        <w:t>，</w:t>
      </w:r>
      <w:r w:rsidR="00454121">
        <w:rPr>
          <w:rFonts w:ascii="仿宋_GB2312" w:eastAsia="仿宋_GB2312" w:hAnsi="Calibri"/>
          <w:sz w:val="32"/>
          <w:szCs w:val="32"/>
        </w:rPr>
        <w:t>是全区</w:t>
      </w:r>
      <w:r w:rsidR="00454121">
        <w:rPr>
          <w:rFonts w:ascii="仿宋_GB2312" w:eastAsia="仿宋_GB2312" w:hAnsi="Calibri" w:hint="eastAsia"/>
          <w:sz w:val="32"/>
          <w:szCs w:val="32"/>
        </w:rPr>
        <w:t>经济</w:t>
      </w:r>
      <w:r w:rsidR="00454121">
        <w:rPr>
          <w:rFonts w:ascii="仿宋_GB2312" w:eastAsia="仿宋_GB2312" w:hAnsi="Calibri"/>
          <w:sz w:val="32"/>
          <w:szCs w:val="32"/>
        </w:rPr>
        <w:t>中比重最大的行业</w:t>
      </w:r>
      <w:r>
        <w:rPr>
          <w:rFonts w:ascii="仿宋_GB2312" w:eastAsia="仿宋_GB2312" w:hAnsi="Calibri" w:hint="eastAsia"/>
          <w:sz w:val="32"/>
          <w:szCs w:val="32"/>
        </w:rPr>
        <w:t>；批发和零售业实现增加值</w:t>
      </w:r>
      <w:r w:rsidR="00147DF3">
        <w:rPr>
          <w:rFonts w:ascii="仿宋_GB2312" w:eastAsia="仿宋_GB2312" w:hAnsi="Calibri" w:hint="eastAsia"/>
          <w:sz w:val="32"/>
          <w:szCs w:val="32"/>
        </w:rPr>
        <w:t>662.43</w:t>
      </w:r>
      <w:r>
        <w:rPr>
          <w:rFonts w:ascii="仿宋_GB2312" w:eastAsia="仿宋_GB2312" w:hAnsi="Calibri" w:hint="eastAsia"/>
          <w:sz w:val="32"/>
          <w:szCs w:val="32"/>
        </w:rPr>
        <w:t>亿元，增长</w:t>
      </w:r>
      <w:r w:rsidR="00147DF3">
        <w:rPr>
          <w:rFonts w:ascii="仿宋_GB2312" w:eastAsia="仿宋_GB2312" w:hAnsi="Calibri" w:hint="eastAsia"/>
          <w:sz w:val="32"/>
          <w:szCs w:val="32"/>
        </w:rPr>
        <w:t>8.8%</w:t>
      </w:r>
      <w:r>
        <w:rPr>
          <w:rFonts w:ascii="仿宋_GB2312" w:eastAsia="仿宋_GB2312" w:hAnsi="Calibri" w:hint="eastAsia"/>
          <w:sz w:val="32"/>
          <w:szCs w:val="32"/>
        </w:rPr>
        <w:t>；房地产业实现增加值</w:t>
      </w:r>
      <w:r w:rsidR="00147DF3">
        <w:rPr>
          <w:rFonts w:ascii="仿宋_GB2312" w:eastAsia="仿宋_GB2312" w:hAnsi="Calibri" w:hint="eastAsia"/>
          <w:sz w:val="32"/>
          <w:szCs w:val="32"/>
        </w:rPr>
        <w:t>185.10</w:t>
      </w:r>
      <w:r>
        <w:rPr>
          <w:rFonts w:ascii="仿宋_GB2312" w:eastAsia="仿宋_GB2312" w:hAnsi="Calibri" w:hint="eastAsia"/>
          <w:sz w:val="32"/>
          <w:szCs w:val="32"/>
        </w:rPr>
        <w:t>亿元，增长</w:t>
      </w:r>
      <w:r w:rsidR="00147DF3">
        <w:rPr>
          <w:rFonts w:ascii="仿宋_GB2312" w:eastAsia="仿宋_GB2312" w:hAnsi="Calibri" w:hint="eastAsia"/>
          <w:sz w:val="32"/>
          <w:szCs w:val="32"/>
        </w:rPr>
        <w:t>2.6%</w:t>
      </w:r>
      <w:r w:rsidR="003E415E">
        <w:rPr>
          <w:rFonts w:ascii="仿宋_GB2312" w:eastAsia="仿宋_GB2312" w:hAnsi="Calibri" w:hint="eastAsia"/>
          <w:sz w:val="32"/>
          <w:szCs w:val="32"/>
        </w:rPr>
        <w:t>；</w:t>
      </w:r>
      <w:r w:rsidR="003E415E" w:rsidRPr="003E415E">
        <w:rPr>
          <w:rFonts w:ascii="仿宋_GB2312" w:eastAsia="仿宋_GB2312" w:hAnsi="Calibri"/>
          <w:sz w:val="32"/>
          <w:szCs w:val="32"/>
        </w:rPr>
        <w:t>工业实现增加值</w:t>
      </w:r>
      <w:r w:rsidR="00C40303">
        <w:rPr>
          <w:rFonts w:ascii="仿宋_GB2312" w:eastAsia="仿宋_GB2312" w:hAnsi="Calibri"/>
          <w:sz w:val="32"/>
          <w:szCs w:val="32"/>
        </w:rPr>
        <w:t>167.56</w:t>
      </w:r>
      <w:r w:rsidR="003E415E" w:rsidRPr="003E415E">
        <w:rPr>
          <w:rFonts w:ascii="仿宋_GB2312" w:eastAsia="仿宋_GB2312" w:hAnsi="Calibri"/>
          <w:sz w:val="32"/>
          <w:szCs w:val="32"/>
        </w:rPr>
        <w:t>亿元，增长</w:t>
      </w:r>
      <w:r w:rsidR="00C40303">
        <w:rPr>
          <w:rFonts w:ascii="仿宋_GB2312" w:eastAsia="仿宋_GB2312" w:hAnsi="Calibri" w:hint="eastAsia"/>
          <w:sz w:val="32"/>
          <w:szCs w:val="32"/>
        </w:rPr>
        <w:t>5.6</w:t>
      </w:r>
      <w:r w:rsidR="003E415E" w:rsidRPr="003E415E">
        <w:rPr>
          <w:rFonts w:ascii="仿宋_GB2312" w:eastAsia="仿宋_GB2312" w:hAnsi="Calibri"/>
          <w:sz w:val="32"/>
          <w:szCs w:val="32"/>
        </w:rPr>
        <w:t>%。</w:t>
      </w:r>
      <w:r>
        <w:rPr>
          <w:rFonts w:ascii="仿宋_GB2312" w:eastAsia="仿宋_GB2312" w:hAnsi="Calibri" w:hint="eastAsia"/>
          <w:sz w:val="32"/>
          <w:szCs w:val="32"/>
        </w:rPr>
        <w:lastRenderedPageBreak/>
        <w:t>分</w:t>
      </w:r>
      <w:r w:rsidR="00D0187A">
        <w:rPr>
          <w:rFonts w:ascii="仿宋_GB2312" w:eastAsia="仿宋_GB2312" w:hAnsi="Calibri" w:hint="eastAsia"/>
          <w:sz w:val="32"/>
          <w:szCs w:val="32"/>
        </w:rPr>
        <w:t>区域</w:t>
      </w:r>
      <w:r>
        <w:rPr>
          <w:rFonts w:ascii="仿宋_GB2312" w:eastAsia="仿宋_GB2312" w:hAnsi="Calibri" w:hint="eastAsia"/>
          <w:sz w:val="32"/>
          <w:szCs w:val="32"/>
        </w:rPr>
        <w:t>看，</w:t>
      </w:r>
      <w:r>
        <w:rPr>
          <w:rFonts w:ascii="仿宋_GB2312" w:eastAsia="仿宋_GB2312" w:hAnsi="Calibri"/>
          <w:sz w:val="32"/>
          <w:szCs w:val="32"/>
        </w:rPr>
        <w:t>CBD</w:t>
      </w:r>
      <w:r>
        <w:rPr>
          <w:rFonts w:ascii="仿宋_GB2312" w:eastAsia="仿宋_GB2312" w:hAnsi="Calibri" w:hint="eastAsia"/>
          <w:sz w:val="32"/>
          <w:szCs w:val="32"/>
        </w:rPr>
        <w:t>高端产业</w:t>
      </w:r>
      <w:proofErr w:type="gramStart"/>
      <w:r>
        <w:rPr>
          <w:rFonts w:ascii="仿宋_GB2312" w:eastAsia="仿宋_GB2312" w:hAnsi="Calibri" w:hint="eastAsia"/>
          <w:sz w:val="32"/>
          <w:szCs w:val="32"/>
        </w:rPr>
        <w:t>带实现</w:t>
      </w:r>
      <w:proofErr w:type="gramEnd"/>
      <w:r>
        <w:rPr>
          <w:rFonts w:ascii="仿宋_GB2312" w:eastAsia="仿宋_GB2312" w:hAnsi="Calibri" w:hint="eastAsia"/>
          <w:sz w:val="32"/>
          <w:szCs w:val="32"/>
        </w:rPr>
        <w:t>增加值</w:t>
      </w:r>
      <w:r w:rsidR="00A47D88">
        <w:rPr>
          <w:rFonts w:ascii="仿宋_GB2312" w:eastAsia="仿宋_GB2312" w:hAnsi="Calibri" w:hint="eastAsia"/>
          <w:sz w:val="32"/>
          <w:szCs w:val="32"/>
        </w:rPr>
        <w:t>627.28</w:t>
      </w:r>
      <w:r>
        <w:rPr>
          <w:rFonts w:ascii="仿宋_GB2312" w:eastAsia="仿宋_GB2312" w:hAnsi="Calibri" w:hint="eastAsia"/>
          <w:sz w:val="32"/>
          <w:szCs w:val="32"/>
        </w:rPr>
        <w:t>亿元，增长</w:t>
      </w:r>
      <w:r w:rsidR="00A47D88">
        <w:rPr>
          <w:rFonts w:ascii="仿宋_GB2312" w:eastAsia="仿宋_GB2312" w:hAnsi="Calibri" w:hint="eastAsia"/>
          <w:sz w:val="32"/>
          <w:szCs w:val="32"/>
        </w:rPr>
        <w:t>10.5</w:t>
      </w:r>
      <w:r w:rsidR="00A47D88">
        <w:rPr>
          <w:rFonts w:ascii="仿宋_GB2312" w:eastAsia="仿宋_GB2312" w:hAnsi="Calibri"/>
          <w:sz w:val="32"/>
          <w:szCs w:val="32"/>
        </w:rPr>
        <w:t>%</w:t>
      </w:r>
      <w:r w:rsidR="00890B82">
        <w:rPr>
          <w:rFonts w:ascii="仿宋_GB2312" w:eastAsia="仿宋_GB2312" w:hAnsi="Calibri" w:hint="eastAsia"/>
          <w:sz w:val="32"/>
          <w:szCs w:val="32"/>
        </w:rPr>
        <w:t>，</w:t>
      </w:r>
      <w:r w:rsidR="00C65962" w:rsidRPr="003E415E">
        <w:rPr>
          <w:rFonts w:ascii="仿宋_GB2312" w:eastAsia="仿宋_GB2312" w:hAnsi="Calibri"/>
          <w:sz w:val="32"/>
          <w:szCs w:val="32"/>
        </w:rPr>
        <w:t>占地区生产总值比重的21.2%</w:t>
      </w:r>
      <w:r w:rsidR="00C65962">
        <w:rPr>
          <w:rFonts w:ascii="仿宋_GB2312" w:eastAsia="仿宋_GB2312" w:hAnsi="Calibri" w:hint="eastAsia"/>
          <w:sz w:val="32"/>
          <w:szCs w:val="32"/>
        </w:rPr>
        <w:t>；</w:t>
      </w:r>
      <w:r>
        <w:rPr>
          <w:rFonts w:ascii="仿宋_GB2312" w:eastAsia="仿宋_GB2312" w:hAnsi="Calibri" w:hint="eastAsia"/>
          <w:sz w:val="32"/>
          <w:szCs w:val="32"/>
        </w:rPr>
        <w:t>环</w:t>
      </w:r>
      <w:r>
        <w:rPr>
          <w:rFonts w:ascii="仿宋_GB2312" w:eastAsia="仿宋_GB2312" w:hAnsi="Calibri"/>
          <w:sz w:val="32"/>
          <w:szCs w:val="32"/>
        </w:rPr>
        <w:t>CBD</w:t>
      </w:r>
      <w:r>
        <w:rPr>
          <w:rFonts w:ascii="仿宋_GB2312" w:eastAsia="仿宋_GB2312" w:hAnsi="Calibri" w:hint="eastAsia"/>
          <w:sz w:val="32"/>
          <w:szCs w:val="32"/>
        </w:rPr>
        <w:t>高端产业</w:t>
      </w:r>
      <w:proofErr w:type="gramStart"/>
      <w:r>
        <w:rPr>
          <w:rFonts w:ascii="仿宋_GB2312" w:eastAsia="仿宋_GB2312" w:hAnsi="Calibri" w:hint="eastAsia"/>
          <w:sz w:val="32"/>
          <w:szCs w:val="32"/>
        </w:rPr>
        <w:t>带实现</w:t>
      </w:r>
      <w:proofErr w:type="gramEnd"/>
      <w:r>
        <w:rPr>
          <w:rFonts w:ascii="仿宋_GB2312" w:eastAsia="仿宋_GB2312" w:hAnsi="Calibri" w:hint="eastAsia"/>
          <w:sz w:val="32"/>
          <w:szCs w:val="32"/>
        </w:rPr>
        <w:t>增加值</w:t>
      </w:r>
      <w:r w:rsidR="00A47D88">
        <w:rPr>
          <w:rFonts w:ascii="仿宋_GB2312" w:eastAsia="仿宋_GB2312" w:hAnsi="Calibri" w:hint="eastAsia"/>
          <w:sz w:val="32"/>
          <w:szCs w:val="32"/>
        </w:rPr>
        <w:t>1316.69</w:t>
      </w:r>
      <w:r>
        <w:rPr>
          <w:rFonts w:ascii="仿宋_GB2312" w:eastAsia="仿宋_GB2312" w:hAnsi="Calibri" w:hint="eastAsia"/>
          <w:sz w:val="32"/>
          <w:szCs w:val="32"/>
        </w:rPr>
        <w:t>亿元，增长</w:t>
      </w:r>
      <w:r w:rsidR="00A47D88">
        <w:rPr>
          <w:rFonts w:ascii="仿宋_GB2312" w:eastAsia="仿宋_GB2312" w:hAnsi="Calibri" w:hint="eastAsia"/>
          <w:sz w:val="32"/>
          <w:szCs w:val="32"/>
        </w:rPr>
        <w:t>9.4</w:t>
      </w:r>
      <w:r w:rsidR="00A47D88">
        <w:rPr>
          <w:rFonts w:ascii="仿宋_GB2312" w:eastAsia="仿宋_GB2312" w:hAnsi="Calibri"/>
          <w:sz w:val="32"/>
          <w:szCs w:val="32"/>
        </w:rPr>
        <w:t>%</w:t>
      </w:r>
      <w:r w:rsidR="00C65962">
        <w:rPr>
          <w:rFonts w:ascii="仿宋_GB2312" w:eastAsia="仿宋_GB2312" w:hAnsi="Calibri" w:hint="eastAsia"/>
          <w:sz w:val="32"/>
          <w:szCs w:val="32"/>
        </w:rPr>
        <w:t>，</w:t>
      </w:r>
      <w:r w:rsidR="00C65962" w:rsidRPr="003E415E">
        <w:rPr>
          <w:rFonts w:ascii="仿宋_GB2312" w:eastAsia="仿宋_GB2312" w:hAnsi="Calibri"/>
          <w:sz w:val="32"/>
          <w:szCs w:val="32"/>
        </w:rPr>
        <w:t>占地区生产总值的44.5%。</w:t>
      </w:r>
    </w:p>
    <w:p w:rsidR="00D70C7A" w:rsidRDefault="00D70C7A" w:rsidP="00D70C7A">
      <w:pPr>
        <w:jc w:val="center"/>
        <w:rPr>
          <w:rFonts w:ascii="宋体" w:hAnsi="宋体" w:cs="宋体"/>
          <w:kern w:val="0"/>
          <w:sz w:val="28"/>
          <w:szCs w:val="28"/>
        </w:rPr>
      </w:pPr>
      <w:r>
        <w:rPr>
          <w:rFonts w:ascii="宋体" w:hAnsi="宋体" w:hint="eastAsia"/>
          <w:sz w:val="28"/>
          <w:szCs w:val="28"/>
        </w:rPr>
        <w:t>表1</w:t>
      </w:r>
      <w:r w:rsidR="00BC2AA8">
        <w:rPr>
          <w:rFonts w:ascii="宋体" w:hAnsi="宋体"/>
          <w:sz w:val="28"/>
          <w:szCs w:val="28"/>
        </w:rPr>
        <w:t xml:space="preserve"> </w:t>
      </w:r>
      <w:r w:rsidR="00E03A3A">
        <w:rPr>
          <w:rFonts w:ascii="宋体" w:hAnsi="宋体"/>
          <w:sz w:val="28"/>
          <w:szCs w:val="28"/>
        </w:rPr>
        <w:t xml:space="preserve"> </w:t>
      </w:r>
      <w:r w:rsidR="00BC2AA8">
        <w:rPr>
          <w:rFonts w:ascii="宋体" w:hAnsi="宋体"/>
          <w:sz w:val="28"/>
          <w:szCs w:val="28"/>
        </w:rPr>
        <w:t>2014</w:t>
      </w:r>
      <w:r>
        <w:rPr>
          <w:rFonts w:ascii="宋体" w:hAnsi="宋体" w:hint="eastAsia"/>
          <w:sz w:val="28"/>
          <w:szCs w:val="28"/>
        </w:rPr>
        <w:t>年福田</w:t>
      </w:r>
      <w:r>
        <w:rPr>
          <w:rFonts w:ascii="宋体" w:hAnsi="宋体"/>
          <w:sz w:val="28"/>
          <w:szCs w:val="28"/>
        </w:rPr>
        <w:t>区</w:t>
      </w:r>
      <w:r>
        <w:rPr>
          <w:rFonts w:ascii="宋体" w:hAnsi="宋体" w:cs="宋体" w:hint="eastAsia"/>
          <w:kern w:val="0"/>
          <w:sz w:val="28"/>
          <w:szCs w:val="28"/>
        </w:rPr>
        <w:t>主要行业发展情况</w:t>
      </w:r>
    </w:p>
    <w:p w:rsidR="00D70C7A" w:rsidRDefault="00D70C7A" w:rsidP="00D70C7A">
      <w:pPr>
        <w:jc w:val="right"/>
        <w:rPr>
          <w:rFonts w:ascii="宋体" w:hAnsi="宋体"/>
          <w:sz w:val="24"/>
        </w:rPr>
      </w:pPr>
      <w:r>
        <w:rPr>
          <w:rFonts w:ascii="宋体" w:hAnsi="宋体" w:hint="eastAsia"/>
          <w:sz w:val="24"/>
        </w:rPr>
        <w:t>单位：亿元、%</w:t>
      </w:r>
    </w:p>
    <w:tbl>
      <w:tblPr>
        <w:tblW w:w="0" w:type="auto"/>
        <w:tblBorders>
          <w:top w:val="single" w:sz="8" w:space="0" w:color="auto"/>
          <w:bottom w:val="single" w:sz="8" w:space="0" w:color="auto"/>
          <w:insideH w:val="single" w:sz="8" w:space="0" w:color="auto"/>
          <w:insideV w:val="single" w:sz="8" w:space="0" w:color="auto"/>
        </w:tblBorders>
        <w:tblLayout w:type="fixed"/>
        <w:tblLook w:val="0000" w:firstRow="0" w:lastRow="0" w:firstColumn="0" w:lastColumn="0" w:noHBand="0" w:noVBand="0"/>
      </w:tblPr>
      <w:tblGrid>
        <w:gridCol w:w="2688"/>
        <w:gridCol w:w="2200"/>
        <w:gridCol w:w="2199"/>
        <w:gridCol w:w="2199"/>
      </w:tblGrid>
      <w:tr w:rsidR="00D70C7A">
        <w:trPr>
          <w:trHeight w:val="558"/>
        </w:trPr>
        <w:tc>
          <w:tcPr>
            <w:tcW w:w="2688" w:type="dxa"/>
            <w:vAlign w:val="center"/>
          </w:tcPr>
          <w:p w:rsidR="00D70C7A" w:rsidRDefault="00D70C7A" w:rsidP="00D70C7A">
            <w:pPr>
              <w:widowControl/>
              <w:jc w:val="center"/>
              <w:rPr>
                <w:rFonts w:ascii="宋体" w:hAnsi="宋体" w:cs="宋体"/>
                <w:b/>
                <w:bCs/>
                <w:color w:val="000000"/>
                <w:kern w:val="0"/>
                <w:sz w:val="24"/>
              </w:rPr>
            </w:pPr>
            <w:r>
              <w:rPr>
                <w:rFonts w:ascii="宋体" w:hAnsi="宋体" w:cs="宋体" w:hint="eastAsia"/>
                <w:b/>
                <w:bCs/>
                <w:color w:val="000000"/>
                <w:kern w:val="0"/>
                <w:sz w:val="24"/>
              </w:rPr>
              <w:t>主要行业</w:t>
            </w:r>
          </w:p>
        </w:tc>
        <w:tc>
          <w:tcPr>
            <w:tcW w:w="2200" w:type="dxa"/>
            <w:vAlign w:val="center"/>
          </w:tcPr>
          <w:p w:rsidR="00D70C7A" w:rsidRDefault="00D70C7A" w:rsidP="00D70C7A">
            <w:pPr>
              <w:widowControl/>
              <w:jc w:val="center"/>
              <w:rPr>
                <w:rFonts w:ascii="宋体" w:hAnsi="宋体" w:cs="宋体"/>
                <w:b/>
                <w:bCs/>
                <w:color w:val="000000"/>
                <w:kern w:val="0"/>
                <w:sz w:val="24"/>
              </w:rPr>
            </w:pPr>
            <w:r>
              <w:rPr>
                <w:rFonts w:ascii="宋体" w:hAnsi="宋体" w:cs="宋体" w:hint="eastAsia"/>
                <w:b/>
                <w:bCs/>
                <w:color w:val="000000"/>
                <w:kern w:val="0"/>
                <w:sz w:val="24"/>
              </w:rPr>
              <w:t>增加值</w:t>
            </w:r>
          </w:p>
        </w:tc>
        <w:tc>
          <w:tcPr>
            <w:tcW w:w="2199" w:type="dxa"/>
            <w:vAlign w:val="center"/>
          </w:tcPr>
          <w:p w:rsidR="00D70C7A" w:rsidRDefault="00D70C7A" w:rsidP="00D70C7A">
            <w:pPr>
              <w:widowControl/>
              <w:jc w:val="center"/>
              <w:rPr>
                <w:rFonts w:ascii="宋体" w:hAnsi="宋体" w:cs="宋体"/>
                <w:b/>
                <w:bCs/>
                <w:color w:val="000000"/>
                <w:kern w:val="0"/>
                <w:sz w:val="24"/>
              </w:rPr>
            </w:pPr>
            <w:r>
              <w:rPr>
                <w:rFonts w:ascii="宋体" w:hAnsi="宋体" w:cs="宋体" w:hint="eastAsia"/>
                <w:b/>
                <w:bCs/>
                <w:color w:val="000000"/>
                <w:kern w:val="0"/>
                <w:sz w:val="24"/>
              </w:rPr>
              <w:t>增长速度</w:t>
            </w:r>
          </w:p>
        </w:tc>
        <w:tc>
          <w:tcPr>
            <w:tcW w:w="2199" w:type="dxa"/>
            <w:vAlign w:val="center"/>
          </w:tcPr>
          <w:p w:rsidR="00D70C7A" w:rsidRDefault="00D70C7A" w:rsidP="00D70C7A">
            <w:pPr>
              <w:widowControl/>
              <w:jc w:val="center"/>
              <w:rPr>
                <w:rFonts w:ascii="宋体" w:hAnsi="宋体" w:cs="宋体"/>
                <w:b/>
                <w:bCs/>
                <w:color w:val="000000"/>
                <w:kern w:val="0"/>
                <w:sz w:val="24"/>
              </w:rPr>
            </w:pPr>
            <w:r>
              <w:rPr>
                <w:rFonts w:ascii="宋体" w:hAnsi="宋体" w:cs="宋体" w:hint="eastAsia"/>
                <w:b/>
                <w:bCs/>
                <w:color w:val="000000"/>
                <w:kern w:val="0"/>
                <w:sz w:val="24"/>
              </w:rPr>
              <w:t>占GDP比重</w:t>
            </w:r>
          </w:p>
        </w:tc>
      </w:tr>
      <w:tr w:rsidR="00D70C7A">
        <w:trPr>
          <w:trHeight w:val="559"/>
        </w:trPr>
        <w:tc>
          <w:tcPr>
            <w:tcW w:w="2688" w:type="dxa"/>
            <w:vAlign w:val="center"/>
          </w:tcPr>
          <w:p w:rsidR="00D70C7A" w:rsidRDefault="00D70C7A" w:rsidP="00D70C7A">
            <w:pPr>
              <w:widowControl/>
              <w:rPr>
                <w:rFonts w:ascii="宋体" w:hAnsi="宋体" w:cs="宋体"/>
                <w:color w:val="000000"/>
                <w:kern w:val="0"/>
                <w:sz w:val="24"/>
              </w:rPr>
            </w:pPr>
            <w:r>
              <w:rPr>
                <w:rFonts w:ascii="宋体" w:hAnsi="宋体" w:cs="宋体" w:hint="eastAsia"/>
                <w:color w:val="000000"/>
                <w:kern w:val="0"/>
                <w:sz w:val="24"/>
              </w:rPr>
              <w:t>金融业</w:t>
            </w:r>
          </w:p>
        </w:tc>
        <w:tc>
          <w:tcPr>
            <w:tcW w:w="2200"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1070.79</w:t>
            </w:r>
          </w:p>
        </w:tc>
        <w:tc>
          <w:tcPr>
            <w:tcW w:w="2199"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11.2</w:t>
            </w:r>
          </w:p>
        </w:tc>
        <w:tc>
          <w:tcPr>
            <w:tcW w:w="2199" w:type="dxa"/>
            <w:vAlign w:val="center"/>
          </w:tcPr>
          <w:p w:rsidR="00D70C7A" w:rsidRDefault="008A138C" w:rsidP="00D70C7A">
            <w:pPr>
              <w:widowControl/>
              <w:jc w:val="right"/>
              <w:rPr>
                <w:rFonts w:ascii="宋体" w:hAnsi="宋体" w:cs="宋体"/>
                <w:color w:val="000000"/>
                <w:kern w:val="0"/>
                <w:sz w:val="24"/>
              </w:rPr>
            </w:pPr>
            <w:r>
              <w:rPr>
                <w:rFonts w:ascii="宋体" w:hAnsi="宋体" w:cs="宋体" w:hint="eastAsia"/>
                <w:color w:val="000000"/>
                <w:kern w:val="0"/>
                <w:sz w:val="24"/>
              </w:rPr>
              <w:t>36.2</w:t>
            </w:r>
          </w:p>
        </w:tc>
      </w:tr>
      <w:tr w:rsidR="00D70C7A">
        <w:trPr>
          <w:trHeight w:val="559"/>
        </w:trPr>
        <w:tc>
          <w:tcPr>
            <w:tcW w:w="2688" w:type="dxa"/>
            <w:vAlign w:val="center"/>
          </w:tcPr>
          <w:p w:rsidR="00D70C7A" w:rsidRDefault="00D70C7A" w:rsidP="00D70C7A">
            <w:pPr>
              <w:widowControl/>
              <w:rPr>
                <w:rFonts w:ascii="宋体" w:hAnsi="宋体" w:cs="宋体"/>
                <w:color w:val="000000"/>
                <w:kern w:val="0"/>
                <w:sz w:val="24"/>
              </w:rPr>
            </w:pPr>
            <w:r>
              <w:rPr>
                <w:rFonts w:ascii="宋体" w:hAnsi="宋体" w:cs="宋体" w:hint="eastAsia"/>
                <w:color w:val="000000"/>
                <w:kern w:val="0"/>
                <w:sz w:val="24"/>
              </w:rPr>
              <w:t>批发和零售业</w:t>
            </w:r>
          </w:p>
        </w:tc>
        <w:tc>
          <w:tcPr>
            <w:tcW w:w="2200"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662.43</w:t>
            </w:r>
          </w:p>
        </w:tc>
        <w:tc>
          <w:tcPr>
            <w:tcW w:w="2199"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8.8</w:t>
            </w:r>
          </w:p>
        </w:tc>
        <w:tc>
          <w:tcPr>
            <w:tcW w:w="2199" w:type="dxa"/>
            <w:vAlign w:val="center"/>
          </w:tcPr>
          <w:p w:rsidR="00D70C7A" w:rsidRDefault="008A138C" w:rsidP="00D70C7A">
            <w:pPr>
              <w:widowControl/>
              <w:jc w:val="right"/>
              <w:rPr>
                <w:rFonts w:ascii="宋体" w:hAnsi="宋体" w:cs="宋体"/>
                <w:color w:val="000000"/>
                <w:kern w:val="0"/>
                <w:sz w:val="24"/>
              </w:rPr>
            </w:pPr>
            <w:r>
              <w:rPr>
                <w:rFonts w:ascii="宋体" w:hAnsi="宋体" w:cs="宋体" w:hint="eastAsia"/>
                <w:color w:val="000000"/>
                <w:kern w:val="0"/>
                <w:sz w:val="24"/>
              </w:rPr>
              <w:t>22.4</w:t>
            </w:r>
          </w:p>
        </w:tc>
      </w:tr>
      <w:tr w:rsidR="00D70C7A">
        <w:trPr>
          <w:trHeight w:val="559"/>
        </w:trPr>
        <w:tc>
          <w:tcPr>
            <w:tcW w:w="2688" w:type="dxa"/>
            <w:vAlign w:val="center"/>
          </w:tcPr>
          <w:p w:rsidR="00D70C7A" w:rsidRDefault="00D70C7A" w:rsidP="00D70C7A">
            <w:pPr>
              <w:widowControl/>
              <w:rPr>
                <w:rFonts w:ascii="宋体" w:hAnsi="宋体" w:cs="宋体"/>
                <w:color w:val="000000"/>
                <w:kern w:val="0"/>
                <w:sz w:val="24"/>
              </w:rPr>
            </w:pPr>
            <w:r>
              <w:rPr>
                <w:rFonts w:ascii="宋体" w:hAnsi="宋体" w:cs="宋体" w:hint="eastAsia"/>
                <w:color w:val="000000"/>
                <w:kern w:val="0"/>
                <w:sz w:val="24"/>
              </w:rPr>
              <w:t>房地产业</w:t>
            </w:r>
          </w:p>
        </w:tc>
        <w:tc>
          <w:tcPr>
            <w:tcW w:w="2200"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185.10</w:t>
            </w:r>
          </w:p>
        </w:tc>
        <w:tc>
          <w:tcPr>
            <w:tcW w:w="2199"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2.6</w:t>
            </w:r>
          </w:p>
        </w:tc>
        <w:tc>
          <w:tcPr>
            <w:tcW w:w="2199" w:type="dxa"/>
            <w:vAlign w:val="center"/>
          </w:tcPr>
          <w:p w:rsidR="00D70C7A" w:rsidRDefault="008A138C" w:rsidP="00D70C7A">
            <w:pPr>
              <w:widowControl/>
              <w:jc w:val="right"/>
              <w:rPr>
                <w:rFonts w:ascii="宋体" w:hAnsi="宋体" w:cs="宋体"/>
                <w:color w:val="000000"/>
                <w:kern w:val="0"/>
                <w:sz w:val="24"/>
              </w:rPr>
            </w:pPr>
            <w:r>
              <w:rPr>
                <w:rFonts w:ascii="宋体" w:hAnsi="宋体" w:cs="宋体" w:hint="eastAsia"/>
                <w:color w:val="000000"/>
                <w:kern w:val="0"/>
                <w:sz w:val="24"/>
              </w:rPr>
              <w:t>6.3</w:t>
            </w:r>
          </w:p>
        </w:tc>
      </w:tr>
      <w:tr w:rsidR="00D70C7A">
        <w:trPr>
          <w:trHeight w:val="559"/>
        </w:trPr>
        <w:tc>
          <w:tcPr>
            <w:tcW w:w="2688" w:type="dxa"/>
            <w:vAlign w:val="center"/>
          </w:tcPr>
          <w:p w:rsidR="00D70C7A" w:rsidRDefault="00D70C7A" w:rsidP="00D70C7A">
            <w:pPr>
              <w:widowControl/>
              <w:rPr>
                <w:rFonts w:ascii="宋体" w:hAnsi="宋体" w:cs="宋体"/>
                <w:color w:val="000000"/>
                <w:kern w:val="0"/>
                <w:sz w:val="24"/>
              </w:rPr>
            </w:pPr>
            <w:r>
              <w:rPr>
                <w:rFonts w:ascii="宋体" w:hAnsi="宋体" w:cs="宋体" w:hint="eastAsia"/>
                <w:color w:val="000000"/>
                <w:kern w:val="0"/>
                <w:sz w:val="24"/>
              </w:rPr>
              <w:t>工业</w:t>
            </w:r>
          </w:p>
        </w:tc>
        <w:tc>
          <w:tcPr>
            <w:tcW w:w="2200"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167.56</w:t>
            </w:r>
          </w:p>
        </w:tc>
        <w:tc>
          <w:tcPr>
            <w:tcW w:w="2199" w:type="dxa"/>
            <w:vAlign w:val="center"/>
          </w:tcPr>
          <w:p w:rsidR="00D70C7A" w:rsidRDefault="00DF34E3" w:rsidP="00D70C7A">
            <w:pPr>
              <w:widowControl/>
              <w:jc w:val="right"/>
              <w:rPr>
                <w:rFonts w:ascii="宋体" w:hAnsi="宋体" w:cs="宋体"/>
                <w:color w:val="000000"/>
                <w:kern w:val="0"/>
                <w:sz w:val="24"/>
              </w:rPr>
            </w:pPr>
            <w:r>
              <w:rPr>
                <w:rFonts w:ascii="宋体" w:hAnsi="宋体" w:cs="宋体" w:hint="eastAsia"/>
                <w:color w:val="000000"/>
                <w:kern w:val="0"/>
                <w:sz w:val="24"/>
              </w:rPr>
              <w:t>5.6</w:t>
            </w:r>
          </w:p>
        </w:tc>
        <w:tc>
          <w:tcPr>
            <w:tcW w:w="2199" w:type="dxa"/>
            <w:vAlign w:val="center"/>
          </w:tcPr>
          <w:p w:rsidR="00D70C7A" w:rsidRDefault="00D27D5B" w:rsidP="00D70C7A">
            <w:pPr>
              <w:widowControl/>
              <w:jc w:val="right"/>
              <w:rPr>
                <w:rFonts w:ascii="宋体" w:hAnsi="宋体" w:cs="宋体"/>
                <w:color w:val="000000"/>
                <w:kern w:val="0"/>
                <w:sz w:val="24"/>
              </w:rPr>
            </w:pPr>
            <w:r>
              <w:rPr>
                <w:rFonts w:ascii="宋体" w:hAnsi="宋体" w:cs="宋体" w:hint="eastAsia"/>
                <w:color w:val="000000"/>
                <w:kern w:val="0"/>
                <w:sz w:val="24"/>
              </w:rPr>
              <w:t>5.7</w:t>
            </w:r>
          </w:p>
        </w:tc>
      </w:tr>
    </w:tbl>
    <w:p w:rsidR="003F5E47" w:rsidRDefault="00C730A4" w:rsidP="003F5E47">
      <w:pPr>
        <w:ind w:firstLineChars="200" w:firstLine="640"/>
        <w:rPr>
          <w:rFonts w:ascii="仿宋_GB2312" w:eastAsia="仿宋_GB2312" w:hAnsi="Calibri"/>
          <w:sz w:val="32"/>
          <w:szCs w:val="32"/>
        </w:rPr>
      </w:pPr>
      <w:r>
        <w:rPr>
          <w:rFonts w:ascii="仿宋_GB2312" w:eastAsia="仿宋_GB2312" w:hAnsi="Calibri" w:hint="eastAsia"/>
          <w:sz w:val="32"/>
          <w:szCs w:val="32"/>
        </w:rPr>
        <w:t>特色</w:t>
      </w:r>
      <w:r>
        <w:rPr>
          <w:rFonts w:ascii="仿宋_GB2312" w:eastAsia="仿宋_GB2312" w:hAnsi="Calibri"/>
          <w:sz w:val="32"/>
          <w:szCs w:val="32"/>
        </w:rPr>
        <w:t>产业</w:t>
      </w:r>
      <w:r w:rsidR="008130E2">
        <w:rPr>
          <w:rFonts w:ascii="仿宋_GB2312" w:eastAsia="仿宋_GB2312" w:hAnsi="Calibri" w:hint="eastAsia"/>
          <w:sz w:val="32"/>
          <w:szCs w:val="32"/>
        </w:rPr>
        <w:t>快速发展</w:t>
      </w:r>
      <w:r w:rsidR="00703FC8">
        <w:rPr>
          <w:rFonts w:ascii="仿宋_GB2312" w:eastAsia="仿宋_GB2312" w:hAnsi="Calibri" w:hint="eastAsia"/>
          <w:sz w:val="32"/>
          <w:szCs w:val="32"/>
        </w:rPr>
        <w:t>，</w:t>
      </w:r>
      <w:r w:rsidR="00CC4370">
        <w:rPr>
          <w:rFonts w:ascii="仿宋_GB2312" w:eastAsia="仿宋_GB2312" w:hAnsi="Calibri" w:hint="eastAsia"/>
          <w:sz w:val="32"/>
          <w:szCs w:val="32"/>
        </w:rPr>
        <w:t>2014年</w:t>
      </w:r>
      <w:r w:rsidR="00D70C7A">
        <w:rPr>
          <w:rFonts w:ascii="仿宋_GB2312" w:eastAsia="仿宋_GB2312" w:hAnsi="Calibri" w:hint="eastAsia"/>
          <w:sz w:val="32"/>
          <w:szCs w:val="32"/>
        </w:rPr>
        <w:t>总部企业实现增加值</w:t>
      </w:r>
      <w:r w:rsidR="00266B41">
        <w:rPr>
          <w:rFonts w:ascii="仿宋_GB2312" w:eastAsia="仿宋_GB2312" w:hAnsi="Calibri" w:hint="eastAsia"/>
          <w:sz w:val="32"/>
          <w:szCs w:val="32"/>
        </w:rPr>
        <w:t>1183.53</w:t>
      </w:r>
      <w:r w:rsidR="00D70C7A">
        <w:rPr>
          <w:rFonts w:ascii="仿宋_GB2312" w:eastAsia="仿宋_GB2312" w:hAnsi="Calibri" w:hint="eastAsia"/>
          <w:sz w:val="32"/>
          <w:szCs w:val="32"/>
        </w:rPr>
        <w:t>亿元，增长</w:t>
      </w:r>
      <w:r w:rsidR="00266B41">
        <w:rPr>
          <w:rFonts w:ascii="仿宋_GB2312" w:eastAsia="仿宋_GB2312" w:hAnsi="Calibri"/>
          <w:sz w:val="32"/>
          <w:szCs w:val="32"/>
        </w:rPr>
        <w:t>10.1</w:t>
      </w:r>
      <w:r w:rsidR="00D70C7A">
        <w:rPr>
          <w:rFonts w:ascii="仿宋_GB2312" w:eastAsia="仿宋_GB2312" w:hAnsi="Calibri"/>
          <w:sz w:val="32"/>
          <w:szCs w:val="32"/>
        </w:rPr>
        <w:t>%</w:t>
      </w:r>
      <w:r w:rsidR="00D70C7A">
        <w:rPr>
          <w:rFonts w:ascii="仿宋_GB2312" w:eastAsia="仿宋_GB2312" w:hAnsi="Calibri" w:hint="eastAsia"/>
          <w:sz w:val="32"/>
          <w:szCs w:val="32"/>
        </w:rPr>
        <w:t>，快于地区生产总值增速</w:t>
      </w:r>
      <w:r w:rsidR="00D60F63">
        <w:rPr>
          <w:rFonts w:ascii="仿宋_GB2312" w:eastAsia="仿宋_GB2312" w:hAnsi="Calibri" w:hint="eastAsia"/>
          <w:sz w:val="32"/>
          <w:szCs w:val="32"/>
        </w:rPr>
        <w:t>1.2</w:t>
      </w:r>
      <w:r w:rsidR="00F05478">
        <w:rPr>
          <w:rFonts w:ascii="仿宋_GB2312" w:eastAsia="仿宋_GB2312" w:hAnsi="Calibri" w:hint="eastAsia"/>
          <w:sz w:val="32"/>
          <w:szCs w:val="32"/>
        </w:rPr>
        <w:t>个百分点</w:t>
      </w:r>
      <w:r w:rsidR="000B2394">
        <w:rPr>
          <w:rFonts w:ascii="仿宋_GB2312" w:eastAsia="仿宋_GB2312" w:hAnsi="Calibri" w:hint="eastAsia"/>
          <w:sz w:val="32"/>
          <w:szCs w:val="32"/>
        </w:rPr>
        <w:t>;</w:t>
      </w:r>
      <w:r w:rsidR="00D70C7A">
        <w:rPr>
          <w:rFonts w:ascii="仿宋_GB2312" w:eastAsia="仿宋_GB2312" w:hAnsi="Calibri" w:hint="eastAsia"/>
          <w:sz w:val="32"/>
          <w:szCs w:val="32"/>
        </w:rPr>
        <w:t>现代服务业实现增加值</w:t>
      </w:r>
      <w:r w:rsidR="00226228">
        <w:rPr>
          <w:rFonts w:ascii="仿宋_GB2312" w:eastAsia="仿宋_GB2312" w:hAnsi="Calibri" w:hint="eastAsia"/>
          <w:sz w:val="32"/>
          <w:szCs w:val="32"/>
        </w:rPr>
        <w:t>2068.24</w:t>
      </w:r>
      <w:r w:rsidR="00D70C7A">
        <w:rPr>
          <w:rFonts w:ascii="仿宋_GB2312" w:eastAsia="仿宋_GB2312" w:hAnsi="Calibri" w:hint="eastAsia"/>
          <w:sz w:val="32"/>
          <w:szCs w:val="32"/>
        </w:rPr>
        <w:t>亿元，增长</w:t>
      </w:r>
      <w:r w:rsidR="00226228">
        <w:rPr>
          <w:rFonts w:ascii="仿宋_GB2312" w:eastAsia="仿宋_GB2312" w:hAnsi="Calibri" w:hint="eastAsia"/>
          <w:sz w:val="32"/>
          <w:szCs w:val="32"/>
        </w:rPr>
        <w:t>9.9</w:t>
      </w:r>
      <w:r w:rsidR="00226228">
        <w:rPr>
          <w:rFonts w:ascii="仿宋_GB2312" w:eastAsia="仿宋_GB2312" w:hAnsi="Calibri"/>
          <w:sz w:val="32"/>
          <w:szCs w:val="32"/>
        </w:rPr>
        <w:t>%</w:t>
      </w:r>
      <w:r w:rsidR="00D70C7A">
        <w:rPr>
          <w:rFonts w:ascii="仿宋_GB2312" w:eastAsia="仿宋_GB2312" w:hAnsi="Calibri" w:hint="eastAsia"/>
          <w:sz w:val="32"/>
          <w:szCs w:val="32"/>
        </w:rPr>
        <w:t>，快于地区生产总值增速</w:t>
      </w:r>
      <w:r w:rsidR="00703FC8">
        <w:rPr>
          <w:rFonts w:ascii="仿宋_GB2312" w:eastAsia="仿宋_GB2312" w:hAnsi="Calibri" w:hint="eastAsia"/>
          <w:sz w:val="32"/>
          <w:szCs w:val="32"/>
        </w:rPr>
        <w:t>1.0个百分点</w:t>
      </w:r>
      <w:r w:rsidR="000B2394">
        <w:rPr>
          <w:rFonts w:ascii="仿宋_GB2312" w:eastAsia="仿宋_GB2312" w:hAnsi="Calibri" w:hint="eastAsia"/>
          <w:sz w:val="32"/>
          <w:szCs w:val="32"/>
        </w:rPr>
        <w:t>;</w:t>
      </w:r>
      <w:r w:rsidR="00D70C7A">
        <w:rPr>
          <w:rFonts w:ascii="仿宋_GB2312" w:eastAsia="仿宋_GB2312" w:hAnsi="Calibri" w:hint="eastAsia"/>
          <w:sz w:val="32"/>
          <w:szCs w:val="32"/>
        </w:rPr>
        <w:t>高新技术产业增加值</w:t>
      </w:r>
      <w:r w:rsidR="00D80270">
        <w:rPr>
          <w:rFonts w:ascii="仿宋_GB2312" w:eastAsia="仿宋_GB2312" w:hAnsi="Calibri" w:hint="eastAsia"/>
          <w:sz w:val="32"/>
          <w:szCs w:val="32"/>
        </w:rPr>
        <w:t>275.54</w:t>
      </w:r>
      <w:r w:rsidR="00D70C7A">
        <w:rPr>
          <w:rFonts w:ascii="仿宋_GB2312" w:eastAsia="仿宋_GB2312" w:hAnsi="Calibri" w:hint="eastAsia"/>
          <w:sz w:val="32"/>
          <w:szCs w:val="32"/>
        </w:rPr>
        <w:t>亿元，增长</w:t>
      </w:r>
      <w:r w:rsidR="00D80270">
        <w:rPr>
          <w:rFonts w:ascii="仿宋_GB2312" w:eastAsia="仿宋_GB2312" w:hAnsi="Calibri" w:hint="eastAsia"/>
          <w:sz w:val="32"/>
          <w:szCs w:val="32"/>
        </w:rPr>
        <w:t>10.1</w:t>
      </w:r>
      <w:r w:rsidR="00D80270">
        <w:rPr>
          <w:rFonts w:ascii="仿宋_GB2312" w:eastAsia="仿宋_GB2312" w:hAnsi="Calibri"/>
          <w:sz w:val="32"/>
          <w:szCs w:val="32"/>
        </w:rPr>
        <w:t>%</w:t>
      </w:r>
      <w:r w:rsidR="00D70C7A">
        <w:rPr>
          <w:rFonts w:ascii="仿宋_GB2312" w:eastAsia="仿宋_GB2312" w:hAnsi="Calibri" w:hint="eastAsia"/>
          <w:sz w:val="32"/>
          <w:szCs w:val="32"/>
        </w:rPr>
        <w:t>，快于地区生产总值增速</w:t>
      </w:r>
      <w:r w:rsidR="003B6C13">
        <w:rPr>
          <w:rFonts w:ascii="仿宋_GB2312" w:eastAsia="仿宋_GB2312" w:hAnsi="Calibri" w:hint="eastAsia"/>
          <w:sz w:val="32"/>
          <w:szCs w:val="32"/>
        </w:rPr>
        <w:t>1.2</w:t>
      </w:r>
      <w:r w:rsidR="000B2394">
        <w:rPr>
          <w:rFonts w:ascii="仿宋_GB2312" w:eastAsia="仿宋_GB2312" w:hAnsi="Calibri" w:hint="eastAsia"/>
          <w:sz w:val="32"/>
          <w:szCs w:val="32"/>
        </w:rPr>
        <w:t>个百分点;</w:t>
      </w:r>
      <w:r w:rsidR="00F05478">
        <w:rPr>
          <w:rFonts w:ascii="仿宋_GB2312" w:eastAsia="仿宋_GB2312" w:hAnsi="Calibri" w:hint="eastAsia"/>
          <w:sz w:val="32"/>
          <w:szCs w:val="32"/>
        </w:rPr>
        <w:t>文化</w:t>
      </w:r>
      <w:r w:rsidR="00D70C7A">
        <w:rPr>
          <w:rFonts w:ascii="仿宋_GB2312" w:eastAsia="仿宋_GB2312" w:hAnsi="Calibri" w:hint="eastAsia"/>
          <w:sz w:val="32"/>
          <w:szCs w:val="32"/>
        </w:rPr>
        <w:t>产业实现增加值</w:t>
      </w:r>
      <w:r w:rsidR="00D80270">
        <w:rPr>
          <w:rFonts w:ascii="仿宋_GB2312" w:eastAsia="仿宋_GB2312" w:hAnsi="Calibri" w:hint="eastAsia"/>
          <w:sz w:val="32"/>
          <w:szCs w:val="32"/>
        </w:rPr>
        <w:t>236.71</w:t>
      </w:r>
      <w:r w:rsidR="00D70C7A">
        <w:rPr>
          <w:rFonts w:ascii="仿宋_GB2312" w:eastAsia="仿宋_GB2312" w:hAnsi="Calibri" w:hint="eastAsia"/>
          <w:sz w:val="32"/>
          <w:szCs w:val="32"/>
        </w:rPr>
        <w:t>亿元，增长</w:t>
      </w:r>
      <w:r w:rsidR="00D80270">
        <w:rPr>
          <w:rFonts w:ascii="仿宋_GB2312" w:eastAsia="仿宋_GB2312" w:hAnsi="Calibri" w:hint="eastAsia"/>
          <w:sz w:val="32"/>
          <w:szCs w:val="32"/>
        </w:rPr>
        <w:t>10.7</w:t>
      </w:r>
      <w:r w:rsidR="00D80270">
        <w:rPr>
          <w:rFonts w:ascii="仿宋_GB2312" w:eastAsia="仿宋_GB2312" w:hAnsi="Calibri"/>
          <w:sz w:val="32"/>
          <w:szCs w:val="32"/>
        </w:rPr>
        <w:t>%</w:t>
      </w:r>
      <w:r w:rsidR="00D80270">
        <w:rPr>
          <w:rFonts w:ascii="仿宋_GB2312" w:eastAsia="仿宋_GB2312" w:hAnsi="Calibri" w:hint="eastAsia"/>
          <w:sz w:val="32"/>
          <w:szCs w:val="32"/>
        </w:rPr>
        <w:t>，</w:t>
      </w:r>
      <w:r w:rsidR="000B4834">
        <w:rPr>
          <w:rFonts w:ascii="仿宋_GB2312" w:eastAsia="仿宋_GB2312" w:hAnsi="Calibri" w:hint="eastAsia"/>
          <w:sz w:val="32"/>
          <w:szCs w:val="32"/>
        </w:rPr>
        <w:t>快于</w:t>
      </w:r>
      <w:r w:rsidR="000B4834">
        <w:rPr>
          <w:rFonts w:ascii="仿宋_GB2312" w:eastAsia="仿宋_GB2312" w:hAnsi="Calibri"/>
          <w:sz w:val="32"/>
          <w:szCs w:val="32"/>
        </w:rPr>
        <w:t>地区生产总值增速</w:t>
      </w:r>
      <w:r w:rsidR="000B4834">
        <w:rPr>
          <w:rFonts w:ascii="仿宋_GB2312" w:eastAsia="仿宋_GB2312" w:hAnsi="Calibri" w:hint="eastAsia"/>
          <w:sz w:val="32"/>
          <w:szCs w:val="32"/>
        </w:rPr>
        <w:t>1.8个</w:t>
      </w:r>
      <w:r w:rsidR="000B4834">
        <w:rPr>
          <w:rFonts w:ascii="仿宋_GB2312" w:eastAsia="仿宋_GB2312" w:hAnsi="Calibri"/>
          <w:sz w:val="32"/>
          <w:szCs w:val="32"/>
        </w:rPr>
        <w:t>百分点</w:t>
      </w:r>
      <w:r w:rsidR="000B2394">
        <w:rPr>
          <w:rFonts w:ascii="仿宋_GB2312" w:eastAsia="仿宋_GB2312" w:hAnsi="Calibri" w:hint="eastAsia"/>
          <w:sz w:val="32"/>
          <w:szCs w:val="32"/>
        </w:rPr>
        <w:t>;</w:t>
      </w:r>
      <w:r w:rsidR="00D70C7A">
        <w:rPr>
          <w:rFonts w:ascii="仿宋_GB2312" w:eastAsia="仿宋_GB2312" w:hAnsi="Calibri" w:hint="eastAsia"/>
          <w:sz w:val="32"/>
          <w:szCs w:val="32"/>
        </w:rPr>
        <w:t>战略性</w:t>
      </w:r>
      <w:r w:rsidR="00D70C7A">
        <w:rPr>
          <w:rFonts w:ascii="仿宋_GB2312" w:eastAsia="仿宋_GB2312" w:hAnsi="Calibri"/>
          <w:sz w:val="32"/>
          <w:szCs w:val="32"/>
        </w:rPr>
        <w:t>新兴产业</w:t>
      </w:r>
      <w:r w:rsidR="00D70C7A">
        <w:rPr>
          <w:rFonts w:ascii="仿宋_GB2312" w:eastAsia="仿宋_GB2312" w:hAnsi="Calibri" w:hint="eastAsia"/>
          <w:sz w:val="32"/>
          <w:szCs w:val="32"/>
        </w:rPr>
        <w:t>实现</w:t>
      </w:r>
      <w:r w:rsidR="00D70C7A">
        <w:rPr>
          <w:rFonts w:ascii="仿宋_GB2312" w:eastAsia="仿宋_GB2312" w:hAnsi="Calibri"/>
          <w:sz w:val="32"/>
          <w:szCs w:val="32"/>
        </w:rPr>
        <w:t>增加值</w:t>
      </w:r>
      <w:r w:rsidR="00D36491" w:rsidRPr="00703FC8">
        <w:rPr>
          <w:rFonts w:ascii="仿宋_GB2312" w:eastAsia="仿宋_GB2312" w:hAnsi="Calibri"/>
          <w:sz w:val="32"/>
          <w:szCs w:val="32"/>
        </w:rPr>
        <w:t>546.66</w:t>
      </w:r>
      <w:r w:rsidR="00D70C7A">
        <w:rPr>
          <w:rFonts w:ascii="仿宋_GB2312" w:eastAsia="仿宋_GB2312" w:hAnsi="Calibri" w:hint="eastAsia"/>
          <w:sz w:val="32"/>
          <w:szCs w:val="32"/>
        </w:rPr>
        <w:t>亿元，增长</w:t>
      </w:r>
      <w:r w:rsidR="00D36491" w:rsidRPr="00703FC8">
        <w:rPr>
          <w:rFonts w:ascii="仿宋_GB2312" w:eastAsia="仿宋_GB2312" w:hAnsi="Calibri"/>
          <w:sz w:val="32"/>
          <w:szCs w:val="32"/>
        </w:rPr>
        <w:t>17.9%</w:t>
      </w:r>
      <w:r w:rsidR="00D70C7A">
        <w:rPr>
          <w:rFonts w:ascii="仿宋_GB2312" w:eastAsia="仿宋_GB2312" w:hAnsi="Calibri"/>
          <w:sz w:val="32"/>
          <w:szCs w:val="32"/>
        </w:rPr>
        <w:t>，</w:t>
      </w:r>
      <w:r w:rsidR="00D70C7A">
        <w:rPr>
          <w:rFonts w:ascii="仿宋_GB2312" w:eastAsia="仿宋_GB2312" w:hAnsi="Calibri" w:hint="eastAsia"/>
          <w:sz w:val="32"/>
          <w:szCs w:val="32"/>
        </w:rPr>
        <w:t>快于</w:t>
      </w:r>
      <w:r w:rsidR="00D70C7A">
        <w:rPr>
          <w:rFonts w:ascii="仿宋_GB2312" w:eastAsia="仿宋_GB2312" w:hAnsi="Calibri"/>
          <w:sz w:val="32"/>
          <w:szCs w:val="32"/>
        </w:rPr>
        <w:t>地区生产总值增速</w:t>
      </w:r>
      <w:r w:rsidR="009F3544">
        <w:rPr>
          <w:rFonts w:ascii="仿宋_GB2312" w:eastAsia="仿宋_GB2312" w:hAnsi="Calibri" w:hint="eastAsia"/>
          <w:sz w:val="32"/>
          <w:szCs w:val="32"/>
        </w:rPr>
        <w:t>9.0</w:t>
      </w:r>
      <w:r w:rsidR="00D70C7A">
        <w:rPr>
          <w:rFonts w:ascii="仿宋_GB2312" w:eastAsia="仿宋_GB2312" w:hAnsi="Calibri" w:hint="eastAsia"/>
          <w:sz w:val="32"/>
          <w:szCs w:val="32"/>
        </w:rPr>
        <w:t>个</w:t>
      </w:r>
      <w:r w:rsidR="000B2394">
        <w:rPr>
          <w:rFonts w:ascii="仿宋_GB2312" w:eastAsia="仿宋_GB2312" w:hAnsi="Calibri"/>
          <w:sz w:val="32"/>
          <w:szCs w:val="32"/>
        </w:rPr>
        <w:t>百分点</w:t>
      </w:r>
      <w:r w:rsidR="00D70C7A">
        <w:rPr>
          <w:rFonts w:ascii="仿宋_GB2312" w:eastAsia="仿宋_GB2312" w:hAnsi="Calibri" w:hint="eastAsia"/>
          <w:sz w:val="32"/>
          <w:szCs w:val="32"/>
        </w:rPr>
        <w:t>。</w:t>
      </w:r>
    </w:p>
    <w:p w:rsidR="003F5E47" w:rsidRDefault="003F5E47" w:rsidP="00216A4A">
      <w:pPr>
        <w:rPr>
          <w:rFonts w:ascii="仿宋_GB2312" w:eastAsia="仿宋_GB2312" w:hAnsi="Calibri"/>
          <w:sz w:val="32"/>
          <w:szCs w:val="32"/>
        </w:rPr>
      </w:pPr>
    </w:p>
    <w:p w:rsidR="003F5E47" w:rsidRDefault="003F5E47" w:rsidP="00216A4A">
      <w:pPr>
        <w:rPr>
          <w:rFonts w:ascii="仿宋_GB2312" w:eastAsia="仿宋_GB2312" w:hAnsi="Calibri"/>
          <w:sz w:val="32"/>
          <w:szCs w:val="32"/>
        </w:rPr>
      </w:pPr>
    </w:p>
    <w:p w:rsidR="003F5E47" w:rsidRDefault="003F5E47" w:rsidP="00216A4A">
      <w:pPr>
        <w:rPr>
          <w:rFonts w:ascii="仿宋_GB2312" w:eastAsia="仿宋_GB2312" w:hAnsi="Calibri"/>
          <w:sz w:val="32"/>
          <w:szCs w:val="32"/>
        </w:rPr>
      </w:pPr>
    </w:p>
    <w:p w:rsidR="003F5E47" w:rsidRDefault="003F5E47" w:rsidP="00216A4A">
      <w:pPr>
        <w:rPr>
          <w:rFonts w:ascii="仿宋_GB2312" w:eastAsia="仿宋_GB2312" w:hAnsi="Calibri"/>
          <w:sz w:val="32"/>
          <w:szCs w:val="32"/>
        </w:rPr>
      </w:pPr>
    </w:p>
    <w:p w:rsidR="00F82530" w:rsidRDefault="002D23D6" w:rsidP="00216A4A">
      <w:pPr>
        <w:rPr>
          <w:rFonts w:ascii="仿宋_GB2312" w:eastAsia="仿宋_GB2312" w:hAnsi="Calibri"/>
          <w:sz w:val="32"/>
          <w:szCs w:val="32"/>
        </w:rPr>
      </w:pPr>
      <w:r>
        <w:rPr>
          <w:rFonts w:ascii="仿宋_GB2312" w:eastAsia="仿宋_GB2312" w:hAnsi="Calibri"/>
          <w:noProof/>
          <w:sz w:val="32"/>
          <w:szCs w:val="32"/>
        </w:rPr>
        <w:lastRenderedPageBreak/>
        <w:drawing>
          <wp:inline distT="0" distB="0" distL="0" distR="0">
            <wp:extent cx="5486400" cy="32004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50CC" w:rsidRPr="009D50CC" w:rsidRDefault="009D50CC" w:rsidP="009D50CC">
      <w:pPr>
        <w:jc w:val="center"/>
        <w:rPr>
          <w:rFonts w:ascii="宋体" w:hAnsi="宋体"/>
          <w:sz w:val="28"/>
          <w:szCs w:val="28"/>
        </w:rPr>
      </w:pPr>
      <w:r w:rsidRPr="009D50CC">
        <w:rPr>
          <w:rFonts w:ascii="宋体" w:hAnsi="宋体" w:hint="eastAsia"/>
          <w:sz w:val="28"/>
          <w:szCs w:val="28"/>
        </w:rPr>
        <w:t>图3  2014年特色产业占GDP比重图</w:t>
      </w:r>
    </w:p>
    <w:p w:rsidR="006144C3" w:rsidRDefault="00DA69F8" w:rsidP="006144C3">
      <w:pPr>
        <w:ind w:firstLineChars="200" w:firstLine="640"/>
        <w:rPr>
          <w:rFonts w:ascii="仿宋_GB2312" w:eastAsia="仿宋_GB2312" w:hAnsi="Calibri"/>
          <w:sz w:val="32"/>
          <w:szCs w:val="32"/>
        </w:rPr>
      </w:pPr>
      <w:r>
        <w:rPr>
          <w:rFonts w:ascii="仿宋_GB2312" w:eastAsia="仿宋_GB2312" w:hAnsi="Calibri" w:hint="eastAsia"/>
          <w:sz w:val="32"/>
          <w:szCs w:val="32"/>
        </w:rPr>
        <w:t>经济</w:t>
      </w:r>
      <w:r w:rsidR="00C428F2">
        <w:rPr>
          <w:rFonts w:ascii="仿宋_GB2312" w:eastAsia="仿宋_GB2312" w:hAnsi="Calibri" w:hint="eastAsia"/>
          <w:sz w:val="32"/>
          <w:szCs w:val="32"/>
        </w:rPr>
        <w:t>发展</w:t>
      </w:r>
      <w:r>
        <w:rPr>
          <w:rFonts w:ascii="仿宋_GB2312" w:eastAsia="仿宋_GB2312" w:hAnsi="Calibri"/>
          <w:sz w:val="32"/>
          <w:szCs w:val="32"/>
        </w:rPr>
        <w:t>质量</w:t>
      </w:r>
      <w:r>
        <w:rPr>
          <w:rFonts w:ascii="仿宋_GB2312" w:eastAsia="仿宋_GB2312" w:hAnsi="Calibri" w:hint="eastAsia"/>
          <w:sz w:val="32"/>
          <w:szCs w:val="32"/>
        </w:rPr>
        <w:t>提升</w:t>
      </w:r>
      <w:r>
        <w:rPr>
          <w:rFonts w:ascii="仿宋_GB2312" w:eastAsia="仿宋_GB2312" w:hAnsi="Calibri"/>
          <w:sz w:val="32"/>
          <w:szCs w:val="32"/>
        </w:rPr>
        <w:t>，</w:t>
      </w:r>
      <w:r w:rsidR="00D70C7A">
        <w:rPr>
          <w:rFonts w:ascii="仿宋_GB2312" w:eastAsia="仿宋_GB2312" w:hAnsi="Calibri" w:hint="eastAsia"/>
          <w:sz w:val="32"/>
          <w:szCs w:val="32"/>
        </w:rPr>
        <w:t>地区生产总值地均集约度为</w:t>
      </w:r>
      <w:r w:rsidR="008A6E24">
        <w:rPr>
          <w:rFonts w:ascii="仿宋_GB2312" w:eastAsia="仿宋_GB2312" w:hAnsi="Calibri" w:hint="eastAsia"/>
          <w:sz w:val="32"/>
          <w:szCs w:val="32"/>
        </w:rPr>
        <w:t>37.62</w:t>
      </w:r>
      <w:r w:rsidR="00D70C7A">
        <w:rPr>
          <w:rFonts w:ascii="仿宋_GB2312" w:eastAsia="仿宋_GB2312" w:hAnsi="Calibri" w:hint="eastAsia"/>
          <w:sz w:val="32"/>
          <w:szCs w:val="32"/>
        </w:rPr>
        <w:t>亿元/平方公里，增长</w:t>
      </w:r>
      <w:r w:rsidR="008A6E24">
        <w:rPr>
          <w:rFonts w:ascii="仿宋_GB2312" w:eastAsia="仿宋_GB2312" w:hAnsi="Calibri" w:hint="eastAsia"/>
          <w:sz w:val="32"/>
          <w:szCs w:val="32"/>
        </w:rPr>
        <w:t>8.9</w:t>
      </w:r>
      <w:r w:rsidR="008A6E24">
        <w:rPr>
          <w:rFonts w:ascii="仿宋_GB2312" w:eastAsia="仿宋_GB2312" w:hAnsi="Calibri"/>
          <w:sz w:val="32"/>
          <w:szCs w:val="32"/>
        </w:rPr>
        <w:t>%</w:t>
      </w:r>
      <w:r w:rsidR="00D70C7A">
        <w:rPr>
          <w:rFonts w:ascii="仿宋_GB2312" w:eastAsia="仿宋_GB2312" w:hAnsi="Calibri" w:hint="eastAsia"/>
          <w:sz w:val="32"/>
          <w:szCs w:val="32"/>
        </w:rPr>
        <w:t>，为全市平均水平的</w:t>
      </w:r>
      <w:r w:rsidR="008A6E24">
        <w:rPr>
          <w:rFonts w:ascii="仿宋_GB2312" w:eastAsia="仿宋_GB2312" w:hAnsi="Calibri" w:hint="eastAsia"/>
          <w:sz w:val="32"/>
          <w:szCs w:val="32"/>
        </w:rPr>
        <w:t>5</w:t>
      </w:r>
      <w:r w:rsidR="00D70C7A">
        <w:rPr>
          <w:rFonts w:ascii="仿宋_GB2312" w:eastAsia="仿宋_GB2312" w:hAnsi="Calibri" w:hint="eastAsia"/>
          <w:sz w:val="32"/>
          <w:szCs w:val="32"/>
        </w:rPr>
        <w:t>倍；税收地均集约度为</w:t>
      </w:r>
      <w:r w:rsidR="008A6E24">
        <w:rPr>
          <w:rFonts w:ascii="仿宋_GB2312" w:eastAsia="仿宋_GB2312" w:hAnsi="Calibri" w:hint="eastAsia"/>
          <w:sz w:val="32"/>
          <w:szCs w:val="32"/>
        </w:rPr>
        <w:t>10.17</w:t>
      </w:r>
      <w:r w:rsidR="00D70C7A">
        <w:rPr>
          <w:rFonts w:ascii="仿宋_GB2312" w:eastAsia="仿宋_GB2312" w:hAnsi="Calibri" w:hint="eastAsia"/>
          <w:sz w:val="32"/>
          <w:szCs w:val="32"/>
        </w:rPr>
        <w:t>亿元/平方公里，增长</w:t>
      </w:r>
      <w:r w:rsidR="008A6E24">
        <w:rPr>
          <w:rFonts w:ascii="仿宋_GB2312" w:eastAsia="仿宋_GB2312" w:hAnsi="Calibri" w:hint="eastAsia"/>
          <w:sz w:val="32"/>
          <w:szCs w:val="32"/>
        </w:rPr>
        <w:t>13.4</w:t>
      </w:r>
      <w:r w:rsidR="008A6E24">
        <w:rPr>
          <w:rFonts w:ascii="仿宋_GB2312" w:eastAsia="仿宋_GB2312" w:hAnsi="Calibri"/>
          <w:sz w:val="32"/>
          <w:szCs w:val="32"/>
        </w:rPr>
        <w:t>%</w:t>
      </w:r>
      <w:r w:rsidR="00D70C7A">
        <w:rPr>
          <w:rFonts w:ascii="仿宋_GB2312" w:eastAsia="仿宋_GB2312" w:hAnsi="Calibri" w:hint="eastAsia"/>
          <w:sz w:val="32"/>
          <w:szCs w:val="32"/>
        </w:rPr>
        <w:t>，</w:t>
      </w:r>
      <w:r w:rsidR="008A6E24">
        <w:rPr>
          <w:rFonts w:ascii="仿宋_GB2312" w:eastAsia="仿宋_GB2312" w:hAnsi="Calibri" w:hint="eastAsia"/>
          <w:sz w:val="32"/>
          <w:szCs w:val="32"/>
        </w:rPr>
        <w:t>位列全市</w:t>
      </w:r>
      <w:r w:rsidR="008A6E24">
        <w:rPr>
          <w:rFonts w:ascii="仿宋_GB2312" w:eastAsia="仿宋_GB2312" w:hAnsi="Calibri"/>
          <w:sz w:val="32"/>
          <w:szCs w:val="32"/>
        </w:rPr>
        <w:t>各区</w:t>
      </w:r>
      <w:r w:rsidR="008A6E24">
        <w:rPr>
          <w:rFonts w:ascii="仿宋_GB2312" w:eastAsia="仿宋_GB2312" w:hAnsi="Calibri" w:hint="eastAsia"/>
          <w:sz w:val="32"/>
          <w:szCs w:val="32"/>
        </w:rPr>
        <w:t>第一</w:t>
      </w:r>
      <w:r w:rsidR="00D70C7A">
        <w:rPr>
          <w:rFonts w:ascii="仿宋_GB2312" w:eastAsia="仿宋_GB2312" w:hAnsi="Calibri" w:hint="eastAsia"/>
          <w:sz w:val="32"/>
          <w:szCs w:val="32"/>
        </w:rPr>
        <w:t>；万元地区生产总值建设用地</w:t>
      </w:r>
      <w:r w:rsidR="008A6E24">
        <w:rPr>
          <w:rFonts w:ascii="仿宋_GB2312" w:eastAsia="仿宋_GB2312" w:hAnsi="Calibri" w:hint="eastAsia"/>
          <w:sz w:val="32"/>
          <w:szCs w:val="32"/>
        </w:rPr>
        <w:t>1.91</w:t>
      </w:r>
      <w:r w:rsidR="00D70C7A">
        <w:rPr>
          <w:rFonts w:ascii="仿宋_GB2312" w:eastAsia="仿宋_GB2312" w:hAnsi="Calibri" w:hint="eastAsia"/>
          <w:sz w:val="32"/>
          <w:szCs w:val="32"/>
        </w:rPr>
        <w:t>平方米，下降</w:t>
      </w:r>
      <w:r w:rsidR="008A6E24">
        <w:rPr>
          <w:rFonts w:ascii="仿宋_GB2312" w:eastAsia="仿宋_GB2312" w:hAnsi="Calibri" w:hint="eastAsia"/>
          <w:sz w:val="32"/>
          <w:szCs w:val="32"/>
        </w:rPr>
        <w:t>8.2</w:t>
      </w:r>
      <w:r w:rsidR="008A6E24">
        <w:rPr>
          <w:rFonts w:ascii="仿宋_GB2312" w:eastAsia="仿宋_GB2312" w:hAnsi="Calibri"/>
          <w:sz w:val="32"/>
          <w:szCs w:val="32"/>
        </w:rPr>
        <w:t>%</w:t>
      </w:r>
      <w:r w:rsidR="00D70C7A">
        <w:rPr>
          <w:rFonts w:ascii="仿宋_GB2312" w:eastAsia="仿宋_GB2312" w:hAnsi="Calibri" w:hint="eastAsia"/>
          <w:sz w:val="32"/>
          <w:szCs w:val="32"/>
        </w:rPr>
        <w:t>，仅为全市平均水平的三分之一；万元地区生产总值水耗</w:t>
      </w:r>
      <w:r w:rsidR="008A6E24">
        <w:rPr>
          <w:rFonts w:ascii="仿宋_GB2312" w:eastAsia="仿宋_GB2312" w:hAnsi="Calibri" w:hint="eastAsia"/>
          <w:sz w:val="32"/>
          <w:szCs w:val="32"/>
        </w:rPr>
        <w:t>5.91</w:t>
      </w:r>
      <w:r w:rsidR="00D70C7A">
        <w:rPr>
          <w:rFonts w:ascii="仿宋_GB2312" w:eastAsia="仿宋_GB2312" w:hAnsi="Calibri" w:hint="eastAsia"/>
          <w:sz w:val="32"/>
          <w:szCs w:val="32"/>
        </w:rPr>
        <w:t>吨，下降</w:t>
      </w:r>
      <w:r w:rsidR="008A6E24">
        <w:rPr>
          <w:rFonts w:ascii="仿宋_GB2312" w:eastAsia="仿宋_GB2312" w:hAnsi="Calibri" w:hint="eastAsia"/>
          <w:sz w:val="32"/>
          <w:szCs w:val="32"/>
        </w:rPr>
        <w:t>3.5</w:t>
      </w:r>
      <w:r w:rsidR="008A6E24">
        <w:rPr>
          <w:rFonts w:ascii="仿宋_GB2312" w:eastAsia="仿宋_GB2312" w:hAnsi="Calibri"/>
          <w:sz w:val="32"/>
          <w:szCs w:val="32"/>
        </w:rPr>
        <w:t>%</w:t>
      </w:r>
      <w:r w:rsidR="00D70C7A">
        <w:rPr>
          <w:rFonts w:ascii="仿宋_GB2312" w:eastAsia="仿宋_GB2312" w:hAnsi="Calibri" w:hint="eastAsia"/>
          <w:sz w:val="32"/>
          <w:szCs w:val="32"/>
        </w:rPr>
        <w:t>；万元地区生产总值电耗</w:t>
      </w:r>
      <w:r w:rsidR="008A6E24">
        <w:rPr>
          <w:rFonts w:ascii="仿宋_GB2312" w:eastAsia="仿宋_GB2312" w:hAnsi="Calibri" w:hint="eastAsia"/>
          <w:sz w:val="32"/>
          <w:szCs w:val="32"/>
        </w:rPr>
        <w:t>232</w:t>
      </w:r>
      <w:r w:rsidR="00D70C7A">
        <w:rPr>
          <w:rFonts w:ascii="仿宋_GB2312" w:eastAsia="仿宋_GB2312" w:hAnsi="Calibri" w:hint="eastAsia"/>
          <w:sz w:val="32"/>
          <w:szCs w:val="32"/>
        </w:rPr>
        <w:t>千瓦时（按供电量计算），下降</w:t>
      </w:r>
      <w:r w:rsidR="008A6E24">
        <w:rPr>
          <w:rFonts w:ascii="仿宋_GB2312" w:eastAsia="仿宋_GB2312" w:hAnsi="Calibri" w:hint="eastAsia"/>
          <w:sz w:val="32"/>
          <w:szCs w:val="32"/>
        </w:rPr>
        <w:t>2.1</w:t>
      </w:r>
      <w:r w:rsidR="008A6E24">
        <w:rPr>
          <w:rFonts w:ascii="仿宋_GB2312" w:eastAsia="仿宋_GB2312" w:hAnsi="Calibri"/>
          <w:sz w:val="32"/>
          <w:szCs w:val="32"/>
        </w:rPr>
        <w:t>%</w:t>
      </w:r>
      <w:r w:rsidR="00001A5C">
        <w:rPr>
          <w:rFonts w:ascii="仿宋_GB2312" w:eastAsia="仿宋_GB2312" w:hAnsi="Calibri" w:hint="eastAsia"/>
          <w:sz w:val="32"/>
          <w:szCs w:val="32"/>
        </w:rPr>
        <w:t>。</w:t>
      </w:r>
      <w:r w:rsidR="00001A5C">
        <w:rPr>
          <w:rFonts w:ascii="仿宋_GB2312" w:eastAsia="仿宋_GB2312" w:hAnsi="Calibri"/>
          <w:sz w:val="32"/>
          <w:szCs w:val="32"/>
        </w:rPr>
        <w:t xml:space="preserve"> </w:t>
      </w:r>
    </w:p>
    <w:p w:rsidR="004D62D9" w:rsidRPr="007957CF" w:rsidRDefault="004D62D9" w:rsidP="006144C3">
      <w:pPr>
        <w:ind w:firstLineChars="200" w:firstLine="640"/>
        <w:rPr>
          <w:rFonts w:ascii="仿宋_GB2312" w:eastAsia="仿宋_GB2312" w:hAnsi="Calibri"/>
          <w:sz w:val="32"/>
          <w:szCs w:val="32"/>
        </w:rPr>
      </w:pPr>
      <w:r w:rsidRPr="00D66CC3">
        <w:rPr>
          <w:rFonts w:ascii="仿宋_GB2312" w:eastAsia="仿宋_GB2312" w:hAnsi="Calibri" w:hint="eastAsia"/>
          <w:sz w:val="32"/>
          <w:szCs w:val="32"/>
        </w:rPr>
        <w:t>居民消费价格指数上涨2.0%。分类别看，八</w:t>
      </w:r>
      <w:r w:rsidRPr="00D66CC3">
        <w:rPr>
          <w:rFonts w:ascii="仿宋_GB2312" w:eastAsia="仿宋_GB2312" w:hAnsi="Calibri"/>
          <w:sz w:val="32"/>
          <w:szCs w:val="32"/>
        </w:rPr>
        <w:t>大类商品价格呈现</w:t>
      </w:r>
      <w:r w:rsidRPr="00D66CC3">
        <w:rPr>
          <w:rFonts w:ascii="仿宋_GB2312" w:eastAsia="仿宋_GB2312" w:hAnsi="Calibri" w:hint="eastAsia"/>
          <w:sz w:val="32"/>
          <w:szCs w:val="32"/>
        </w:rPr>
        <w:t>“五升三降”</w:t>
      </w:r>
      <w:r w:rsidRPr="00D66CC3">
        <w:rPr>
          <w:rFonts w:ascii="仿宋_GB2312" w:eastAsia="仿宋_GB2312" w:hAnsi="Calibri"/>
          <w:sz w:val="32"/>
          <w:szCs w:val="32"/>
        </w:rPr>
        <w:t>态势。</w:t>
      </w:r>
      <w:r w:rsidRPr="00D66CC3">
        <w:rPr>
          <w:rFonts w:ascii="仿宋_GB2312" w:eastAsia="仿宋_GB2312" w:hAnsi="Calibri" w:hint="eastAsia"/>
          <w:sz w:val="32"/>
          <w:szCs w:val="32"/>
        </w:rPr>
        <w:t>其中</w:t>
      </w:r>
      <w:r w:rsidR="0037424C" w:rsidRPr="00D66CC3">
        <w:rPr>
          <w:rFonts w:ascii="仿宋_GB2312" w:eastAsia="仿宋_GB2312" w:hAnsi="Calibri" w:hint="eastAsia"/>
          <w:sz w:val="32"/>
          <w:szCs w:val="32"/>
        </w:rPr>
        <w:t>衣着类价格上涨4.3%，</w:t>
      </w:r>
      <w:r w:rsidRPr="00D66CC3">
        <w:rPr>
          <w:rFonts w:ascii="仿宋_GB2312" w:eastAsia="仿宋_GB2312" w:hAnsi="Calibri" w:hint="eastAsia"/>
          <w:sz w:val="32"/>
          <w:szCs w:val="32"/>
        </w:rPr>
        <w:t>食品类价格上涨3.5%，</w:t>
      </w:r>
      <w:r w:rsidR="0037424C" w:rsidRPr="00D66CC3">
        <w:rPr>
          <w:rFonts w:ascii="仿宋_GB2312" w:eastAsia="仿宋_GB2312" w:hAnsi="Calibri" w:hint="eastAsia"/>
          <w:sz w:val="32"/>
          <w:szCs w:val="32"/>
        </w:rPr>
        <w:t>居住类价格上涨2.1%</w:t>
      </w:r>
      <w:r w:rsidR="0037424C">
        <w:rPr>
          <w:rFonts w:ascii="仿宋_GB2312" w:eastAsia="仿宋_GB2312" w:hAnsi="Calibri" w:hint="eastAsia"/>
          <w:sz w:val="32"/>
          <w:szCs w:val="32"/>
        </w:rPr>
        <w:t>，</w:t>
      </w:r>
      <w:r w:rsidR="0037424C" w:rsidRPr="00D66CC3">
        <w:rPr>
          <w:rFonts w:ascii="仿宋_GB2312" w:eastAsia="仿宋_GB2312" w:hAnsi="Calibri" w:hint="eastAsia"/>
          <w:sz w:val="32"/>
          <w:szCs w:val="32"/>
        </w:rPr>
        <w:t>娱乐教育文化用品及服务类价格上涨1.3%，医疗保健和个人用品类价格上涨1.0%，</w:t>
      </w:r>
      <w:r w:rsidRPr="00D66CC3">
        <w:rPr>
          <w:rFonts w:ascii="仿宋_GB2312" w:eastAsia="仿宋_GB2312" w:hAnsi="Calibri" w:hint="eastAsia"/>
          <w:sz w:val="32"/>
          <w:szCs w:val="32"/>
        </w:rPr>
        <w:t>烟酒类价格下降0.5%，家庭设备用品及维修服务类价格下降0.6%，交通和通信类价格下降0.7%。</w:t>
      </w:r>
      <w:r w:rsidRPr="007957CF">
        <w:rPr>
          <w:rFonts w:ascii="仿宋_GB2312" w:eastAsia="仿宋_GB2312" w:hAnsi="Calibri" w:hint="eastAsia"/>
          <w:sz w:val="32"/>
          <w:szCs w:val="32"/>
        </w:rPr>
        <w:t>工业生产者出厂价格下降0.9%，其中生活资料</w:t>
      </w:r>
      <w:r w:rsidRPr="007957CF">
        <w:rPr>
          <w:rFonts w:ascii="仿宋_GB2312" w:eastAsia="仿宋_GB2312" w:hAnsi="Calibri" w:hint="eastAsia"/>
          <w:sz w:val="32"/>
          <w:szCs w:val="32"/>
        </w:rPr>
        <w:lastRenderedPageBreak/>
        <w:t>价格下降2.3%，生产资料价格下降0.5%。工业生产者购进价格下降0.4%，其中</w:t>
      </w:r>
      <w:r w:rsidR="00206DC3" w:rsidRPr="007957CF">
        <w:rPr>
          <w:rFonts w:ascii="仿宋_GB2312" w:eastAsia="仿宋_GB2312" w:hAnsi="Calibri" w:hint="eastAsia"/>
          <w:sz w:val="32"/>
          <w:szCs w:val="32"/>
        </w:rPr>
        <w:t>有色金属材料及</w:t>
      </w:r>
      <w:r w:rsidR="00206DC3" w:rsidRPr="007957CF">
        <w:rPr>
          <w:rFonts w:ascii="仿宋_GB2312" w:eastAsia="仿宋_GB2312" w:hAnsi="Calibri"/>
          <w:sz w:val="32"/>
          <w:szCs w:val="32"/>
        </w:rPr>
        <w:t>电线</w:t>
      </w:r>
      <w:r w:rsidR="00206DC3" w:rsidRPr="007957CF">
        <w:rPr>
          <w:rFonts w:ascii="仿宋_GB2312" w:eastAsia="仿宋_GB2312" w:hAnsi="Calibri" w:hint="eastAsia"/>
          <w:sz w:val="32"/>
          <w:szCs w:val="32"/>
        </w:rPr>
        <w:t>类价格下降4.2%，黑色金属材料类价格下降3.6%</w:t>
      </w:r>
      <w:r w:rsidR="00206DC3">
        <w:rPr>
          <w:rFonts w:ascii="仿宋_GB2312" w:eastAsia="仿宋_GB2312" w:hAnsi="Calibri" w:hint="eastAsia"/>
          <w:sz w:val="32"/>
          <w:szCs w:val="32"/>
        </w:rPr>
        <w:t>，</w:t>
      </w:r>
      <w:r w:rsidRPr="007957CF">
        <w:rPr>
          <w:rFonts w:ascii="仿宋_GB2312" w:eastAsia="仿宋_GB2312" w:hAnsi="Calibri" w:hint="eastAsia"/>
          <w:sz w:val="32"/>
          <w:szCs w:val="32"/>
        </w:rPr>
        <w:t>燃料</w:t>
      </w:r>
      <w:r w:rsidR="00AA2784" w:rsidRPr="007957CF">
        <w:rPr>
          <w:rFonts w:ascii="仿宋_GB2312" w:eastAsia="仿宋_GB2312" w:hAnsi="Calibri" w:hint="eastAsia"/>
          <w:sz w:val="32"/>
          <w:szCs w:val="32"/>
        </w:rPr>
        <w:t>、</w:t>
      </w:r>
      <w:r w:rsidRPr="007957CF">
        <w:rPr>
          <w:rFonts w:ascii="仿宋_GB2312" w:eastAsia="仿宋_GB2312" w:hAnsi="Calibri" w:hint="eastAsia"/>
          <w:sz w:val="32"/>
          <w:szCs w:val="32"/>
        </w:rPr>
        <w:t>动力类价格下降0.9%</w:t>
      </w:r>
      <w:r w:rsidR="00D03446" w:rsidRPr="007957CF">
        <w:rPr>
          <w:rFonts w:ascii="仿宋_GB2312" w:eastAsia="仿宋_GB2312" w:hAnsi="Calibri" w:hint="eastAsia"/>
          <w:sz w:val="32"/>
          <w:szCs w:val="32"/>
        </w:rPr>
        <w:t>。</w:t>
      </w:r>
    </w:p>
    <w:p w:rsidR="00EA0845" w:rsidRDefault="002A231B" w:rsidP="006E5F0E">
      <w:pPr>
        <w:jc w:val="center"/>
      </w:pPr>
      <w:r>
        <w:rPr>
          <w:noProof/>
        </w:rPr>
        <w:drawing>
          <wp:inline distT="0" distB="0" distL="0" distR="0">
            <wp:extent cx="5867400" cy="2476500"/>
            <wp:effectExtent l="0" t="0" r="0" b="0"/>
            <wp:docPr id="121" name="对象 1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828" w:rsidRPr="00585828" w:rsidRDefault="00585828" w:rsidP="00585828">
      <w:pPr>
        <w:jc w:val="center"/>
        <w:rPr>
          <w:rFonts w:ascii="宋体" w:hAnsi="宋体"/>
          <w:sz w:val="28"/>
          <w:szCs w:val="28"/>
        </w:rPr>
      </w:pPr>
      <w:r w:rsidRPr="00585828">
        <w:rPr>
          <w:rFonts w:ascii="宋体" w:hAnsi="宋体" w:hint="eastAsia"/>
          <w:sz w:val="28"/>
          <w:szCs w:val="28"/>
        </w:rPr>
        <w:t>图4  2014年居民消费价格涨跌幅度(月度同比)</w:t>
      </w:r>
    </w:p>
    <w:p w:rsidR="005961EC" w:rsidRDefault="002A231B" w:rsidP="006E5F0E">
      <w:pPr>
        <w:jc w:val="center"/>
        <w:rPr>
          <w:rFonts w:ascii="黑体" w:eastAsia="黑体" w:hAnsi="黑体"/>
          <w:sz w:val="32"/>
          <w:szCs w:val="32"/>
        </w:rPr>
      </w:pPr>
      <w:r>
        <w:rPr>
          <w:rFonts w:ascii="仿宋" w:eastAsia="仿宋" w:hAnsi="仿宋"/>
          <w:noProof/>
          <w:sz w:val="32"/>
          <w:szCs w:val="32"/>
        </w:rPr>
        <w:drawing>
          <wp:inline distT="0" distB="0" distL="0" distR="0">
            <wp:extent cx="5876925" cy="2371725"/>
            <wp:effectExtent l="0" t="0" r="9525" b="9525"/>
            <wp:docPr id="123" name="对象 1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5620" w:rsidRPr="00325620" w:rsidRDefault="00325620" w:rsidP="00325620">
      <w:pPr>
        <w:jc w:val="center"/>
        <w:rPr>
          <w:rFonts w:ascii="宋体" w:hAnsi="宋体"/>
          <w:sz w:val="28"/>
          <w:szCs w:val="28"/>
        </w:rPr>
      </w:pPr>
      <w:r w:rsidRPr="00325620">
        <w:rPr>
          <w:rFonts w:ascii="宋体" w:hAnsi="宋体" w:hint="eastAsia"/>
          <w:sz w:val="28"/>
          <w:szCs w:val="28"/>
        </w:rPr>
        <w:t>图5  2010-2014</w:t>
      </w:r>
      <w:r>
        <w:rPr>
          <w:rFonts w:ascii="宋体" w:hAnsi="宋体" w:hint="eastAsia"/>
          <w:sz w:val="28"/>
          <w:szCs w:val="28"/>
        </w:rPr>
        <w:t>年</w:t>
      </w:r>
      <w:r w:rsidRPr="00325620">
        <w:rPr>
          <w:rFonts w:ascii="宋体" w:hAnsi="宋体" w:hint="eastAsia"/>
          <w:sz w:val="28"/>
          <w:szCs w:val="28"/>
        </w:rPr>
        <w:t>居民消费价格涨跌幅度</w:t>
      </w:r>
    </w:p>
    <w:p w:rsidR="00D70C7A" w:rsidRDefault="00D70C7A" w:rsidP="006E5F0E">
      <w:pPr>
        <w:jc w:val="center"/>
        <w:rPr>
          <w:rFonts w:ascii="黑体" w:eastAsia="黑体" w:hAnsi="黑体"/>
          <w:sz w:val="32"/>
          <w:szCs w:val="32"/>
        </w:rPr>
      </w:pPr>
      <w:r>
        <w:rPr>
          <w:rFonts w:ascii="黑体" w:eastAsia="黑体" w:hAnsi="黑体" w:hint="eastAsia"/>
          <w:sz w:val="32"/>
          <w:szCs w:val="32"/>
        </w:rPr>
        <w:t>二、农业</w:t>
      </w:r>
    </w:p>
    <w:p w:rsidR="00D70C7A" w:rsidRDefault="00D70C7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农业总产值</w:t>
      </w:r>
      <w:r w:rsidR="00952D60">
        <w:rPr>
          <w:rFonts w:ascii="仿宋_GB2312" w:eastAsia="仿宋_GB2312" w:hAnsi="Calibri"/>
          <w:sz w:val="32"/>
          <w:szCs w:val="32"/>
        </w:rPr>
        <w:t>3.21</w:t>
      </w:r>
      <w:r>
        <w:rPr>
          <w:rFonts w:ascii="仿宋_GB2312" w:eastAsia="仿宋_GB2312" w:hAnsi="Calibri" w:hint="eastAsia"/>
          <w:sz w:val="32"/>
          <w:szCs w:val="32"/>
        </w:rPr>
        <w:t>亿元,增长</w:t>
      </w:r>
      <w:r w:rsidR="00952D60">
        <w:rPr>
          <w:rFonts w:ascii="仿宋_GB2312" w:eastAsia="仿宋_GB2312" w:hAnsi="Calibri"/>
          <w:sz w:val="32"/>
          <w:szCs w:val="32"/>
        </w:rPr>
        <w:t>23.9%</w:t>
      </w:r>
      <w:r>
        <w:rPr>
          <w:rFonts w:ascii="仿宋_GB2312" w:eastAsia="仿宋_GB2312" w:hAnsi="Calibri" w:hint="eastAsia"/>
          <w:sz w:val="32"/>
          <w:szCs w:val="32"/>
        </w:rPr>
        <w:t>。其中种植业总产值</w:t>
      </w:r>
      <w:r w:rsidR="00952D60">
        <w:rPr>
          <w:rFonts w:ascii="仿宋_GB2312" w:eastAsia="仿宋_GB2312" w:hAnsi="Calibri"/>
          <w:sz w:val="32"/>
          <w:szCs w:val="32"/>
        </w:rPr>
        <w:t>0.01</w:t>
      </w:r>
      <w:r>
        <w:rPr>
          <w:rFonts w:ascii="仿宋_GB2312" w:eastAsia="仿宋_GB2312" w:hAnsi="Calibri" w:hint="eastAsia"/>
          <w:sz w:val="32"/>
          <w:szCs w:val="32"/>
        </w:rPr>
        <w:t>亿元，渔业产值</w:t>
      </w:r>
      <w:r w:rsidR="00952D60">
        <w:rPr>
          <w:rFonts w:ascii="仿宋_GB2312" w:eastAsia="仿宋_GB2312" w:hAnsi="Calibri"/>
          <w:sz w:val="32"/>
          <w:szCs w:val="32"/>
        </w:rPr>
        <w:t>3.20</w:t>
      </w:r>
      <w:r>
        <w:rPr>
          <w:rFonts w:ascii="仿宋_GB2312" w:eastAsia="仿宋_GB2312" w:hAnsi="Calibri" w:hint="eastAsia"/>
          <w:sz w:val="32"/>
          <w:szCs w:val="32"/>
        </w:rPr>
        <w:t>亿元。</w:t>
      </w:r>
    </w:p>
    <w:p w:rsidR="00D70C7A" w:rsidRDefault="00D70C7A" w:rsidP="006E5F0E">
      <w:pPr>
        <w:jc w:val="center"/>
        <w:rPr>
          <w:rFonts w:ascii="黑体" w:eastAsia="黑体" w:hAnsi="黑体"/>
          <w:sz w:val="32"/>
          <w:szCs w:val="32"/>
        </w:rPr>
      </w:pPr>
      <w:r>
        <w:rPr>
          <w:rFonts w:ascii="黑体" w:eastAsia="黑体" w:hAnsi="黑体" w:hint="eastAsia"/>
          <w:sz w:val="32"/>
          <w:szCs w:val="32"/>
        </w:rPr>
        <w:t>三、工业和建筑业</w:t>
      </w:r>
    </w:p>
    <w:p w:rsidR="001E2C0C" w:rsidRDefault="00231D7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全年规模以上工业企业</w:t>
      </w:r>
      <w:r w:rsidRPr="005559A1">
        <w:rPr>
          <w:rFonts w:ascii="仿宋_GB2312" w:eastAsia="仿宋_GB2312" w:hAnsi="Calibri" w:hint="eastAsia"/>
          <w:sz w:val="28"/>
          <w:szCs w:val="28"/>
        </w:rPr>
        <w:t>（年主营业务收入2000万元及以上的法人企业）</w:t>
      </w:r>
      <w:r>
        <w:rPr>
          <w:rFonts w:ascii="仿宋_GB2312" w:eastAsia="仿宋_GB2312" w:hAnsi="Calibri" w:hint="eastAsia"/>
          <w:sz w:val="32"/>
          <w:szCs w:val="32"/>
        </w:rPr>
        <w:t>实现增加值</w:t>
      </w:r>
      <w:r>
        <w:rPr>
          <w:rFonts w:ascii="仿宋_GB2312" w:eastAsia="仿宋_GB2312" w:hAnsi="Calibri"/>
          <w:sz w:val="32"/>
          <w:szCs w:val="32"/>
        </w:rPr>
        <w:t>164.70</w:t>
      </w:r>
      <w:r>
        <w:rPr>
          <w:rFonts w:ascii="仿宋_GB2312" w:eastAsia="仿宋_GB2312" w:hAnsi="Calibri" w:hint="eastAsia"/>
          <w:sz w:val="32"/>
          <w:szCs w:val="32"/>
        </w:rPr>
        <w:t>亿元，</w:t>
      </w:r>
      <w:r w:rsidR="00AF27D6">
        <w:rPr>
          <w:rFonts w:ascii="仿宋_GB2312" w:eastAsia="仿宋_GB2312" w:hAnsi="Calibri" w:hint="eastAsia"/>
          <w:sz w:val="32"/>
          <w:szCs w:val="32"/>
        </w:rPr>
        <w:t>比上年同口径</w:t>
      </w:r>
      <w:r>
        <w:rPr>
          <w:rFonts w:ascii="仿宋_GB2312" w:eastAsia="仿宋_GB2312" w:hAnsi="Calibri" w:hint="eastAsia"/>
          <w:sz w:val="32"/>
          <w:szCs w:val="32"/>
        </w:rPr>
        <w:t>增长6.0</w:t>
      </w:r>
      <w:r>
        <w:rPr>
          <w:rFonts w:ascii="仿宋_GB2312" w:eastAsia="仿宋_GB2312" w:hAnsi="Calibri"/>
          <w:sz w:val="32"/>
          <w:szCs w:val="32"/>
        </w:rPr>
        <w:t>%。</w:t>
      </w:r>
      <w:r w:rsidR="00D70C7A">
        <w:rPr>
          <w:rFonts w:ascii="仿宋_GB2312" w:eastAsia="仿宋_GB2312" w:hAnsi="Calibri" w:hint="eastAsia"/>
          <w:sz w:val="32"/>
          <w:szCs w:val="32"/>
        </w:rPr>
        <w:t>规模以上工业企业总产值</w:t>
      </w:r>
      <w:r>
        <w:rPr>
          <w:rFonts w:ascii="仿宋_GB2312" w:eastAsia="仿宋_GB2312" w:hAnsi="Calibri"/>
          <w:sz w:val="32"/>
          <w:szCs w:val="32"/>
        </w:rPr>
        <w:t>984.54</w:t>
      </w:r>
      <w:r w:rsidR="00D70C7A">
        <w:rPr>
          <w:rFonts w:ascii="仿宋_GB2312" w:eastAsia="仿宋_GB2312" w:hAnsi="Calibri" w:hint="eastAsia"/>
          <w:sz w:val="32"/>
          <w:szCs w:val="32"/>
        </w:rPr>
        <w:t>亿元，增长</w:t>
      </w:r>
      <w:r>
        <w:rPr>
          <w:rFonts w:ascii="仿宋_GB2312" w:eastAsia="仿宋_GB2312" w:hAnsi="Calibri"/>
          <w:sz w:val="32"/>
          <w:szCs w:val="32"/>
        </w:rPr>
        <w:t>6.5%</w:t>
      </w:r>
      <w:r>
        <w:rPr>
          <w:rFonts w:ascii="仿宋_GB2312" w:eastAsia="仿宋_GB2312" w:hAnsi="Calibri" w:hint="eastAsia"/>
          <w:sz w:val="32"/>
          <w:szCs w:val="32"/>
        </w:rPr>
        <w:t>。其中高新技术工业企业实现产值</w:t>
      </w:r>
      <w:r>
        <w:rPr>
          <w:rFonts w:ascii="仿宋_GB2312" w:eastAsia="仿宋_GB2312" w:hAnsi="Calibri"/>
          <w:sz w:val="32"/>
          <w:szCs w:val="32"/>
        </w:rPr>
        <w:t>573.62</w:t>
      </w:r>
      <w:r>
        <w:rPr>
          <w:rFonts w:ascii="仿宋_GB2312" w:eastAsia="仿宋_GB2312" w:hAnsi="Calibri" w:hint="eastAsia"/>
          <w:sz w:val="32"/>
          <w:szCs w:val="32"/>
        </w:rPr>
        <w:t>亿元，增长</w:t>
      </w:r>
      <w:r>
        <w:rPr>
          <w:rFonts w:ascii="仿宋_GB2312" w:eastAsia="仿宋_GB2312" w:hAnsi="Calibri"/>
          <w:sz w:val="32"/>
          <w:szCs w:val="32"/>
        </w:rPr>
        <w:t>6.2%</w:t>
      </w:r>
      <w:r>
        <w:rPr>
          <w:rFonts w:ascii="仿宋_GB2312" w:eastAsia="仿宋_GB2312" w:hAnsi="Calibri" w:hint="eastAsia"/>
          <w:sz w:val="32"/>
          <w:szCs w:val="32"/>
        </w:rPr>
        <w:t>，</w:t>
      </w:r>
      <w:proofErr w:type="gramStart"/>
      <w:r>
        <w:rPr>
          <w:rFonts w:ascii="仿宋_GB2312" w:eastAsia="仿宋_GB2312" w:hAnsi="Calibri"/>
          <w:sz w:val="32"/>
          <w:szCs w:val="32"/>
        </w:rPr>
        <w:t>占</w:t>
      </w:r>
      <w:r>
        <w:rPr>
          <w:rFonts w:ascii="仿宋_GB2312" w:eastAsia="仿宋_GB2312" w:hAnsi="Calibri" w:hint="eastAsia"/>
          <w:sz w:val="32"/>
          <w:szCs w:val="32"/>
        </w:rPr>
        <w:t>规模</w:t>
      </w:r>
      <w:proofErr w:type="gramEnd"/>
      <w:r>
        <w:rPr>
          <w:rFonts w:ascii="仿宋_GB2312" w:eastAsia="仿宋_GB2312" w:hAnsi="Calibri" w:hint="eastAsia"/>
          <w:sz w:val="32"/>
          <w:szCs w:val="32"/>
        </w:rPr>
        <w:t>以上工业企业总产值的58.3</w:t>
      </w:r>
      <w:r>
        <w:rPr>
          <w:rFonts w:ascii="仿宋_GB2312" w:eastAsia="仿宋_GB2312" w:hAnsi="Calibri"/>
          <w:sz w:val="32"/>
          <w:szCs w:val="32"/>
        </w:rPr>
        <w:t>%</w:t>
      </w:r>
      <w:r w:rsidR="00C04AC3">
        <w:rPr>
          <w:rFonts w:ascii="仿宋_GB2312" w:eastAsia="仿宋_GB2312" w:hAnsi="Calibri" w:hint="eastAsia"/>
          <w:sz w:val="32"/>
          <w:szCs w:val="32"/>
        </w:rPr>
        <w:t>；</w:t>
      </w:r>
      <w:r w:rsidR="00C04AC3">
        <w:rPr>
          <w:rFonts w:ascii="仿宋_GB2312" w:eastAsia="仿宋_GB2312" w:hAnsi="Calibri"/>
          <w:sz w:val="32"/>
          <w:szCs w:val="32"/>
        </w:rPr>
        <w:t>电子通信设备制造业实现产值</w:t>
      </w:r>
      <w:r w:rsidR="00C04AC3">
        <w:rPr>
          <w:rFonts w:ascii="仿宋_GB2312" w:eastAsia="仿宋_GB2312" w:hAnsi="Calibri" w:hint="eastAsia"/>
          <w:sz w:val="32"/>
          <w:szCs w:val="32"/>
        </w:rPr>
        <w:t>725.52亿元</w:t>
      </w:r>
      <w:r w:rsidR="00C04AC3">
        <w:rPr>
          <w:rFonts w:ascii="仿宋_GB2312" w:eastAsia="仿宋_GB2312" w:hAnsi="Calibri"/>
          <w:sz w:val="32"/>
          <w:szCs w:val="32"/>
        </w:rPr>
        <w:t>，增长</w:t>
      </w:r>
      <w:r w:rsidR="00C04AC3">
        <w:rPr>
          <w:rFonts w:ascii="仿宋_GB2312" w:eastAsia="仿宋_GB2312" w:hAnsi="Calibri" w:hint="eastAsia"/>
          <w:sz w:val="32"/>
          <w:szCs w:val="32"/>
        </w:rPr>
        <w:t>7.0</w:t>
      </w:r>
      <w:r w:rsidR="00C04AC3">
        <w:rPr>
          <w:rFonts w:ascii="仿宋_GB2312" w:eastAsia="仿宋_GB2312" w:hAnsi="Calibri"/>
          <w:sz w:val="32"/>
          <w:szCs w:val="32"/>
        </w:rPr>
        <w:t>%，</w:t>
      </w:r>
      <w:proofErr w:type="gramStart"/>
      <w:r w:rsidR="00C04AC3">
        <w:rPr>
          <w:rFonts w:ascii="仿宋_GB2312" w:eastAsia="仿宋_GB2312" w:hAnsi="Calibri"/>
          <w:sz w:val="32"/>
          <w:szCs w:val="32"/>
        </w:rPr>
        <w:t>占</w:t>
      </w:r>
      <w:r w:rsidR="00C04AC3">
        <w:rPr>
          <w:rFonts w:ascii="仿宋_GB2312" w:eastAsia="仿宋_GB2312" w:hAnsi="Calibri" w:hint="eastAsia"/>
          <w:sz w:val="32"/>
          <w:szCs w:val="32"/>
        </w:rPr>
        <w:t>规模</w:t>
      </w:r>
      <w:proofErr w:type="gramEnd"/>
      <w:r w:rsidR="00C04AC3">
        <w:rPr>
          <w:rFonts w:ascii="仿宋_GB2312" w:eastAsia="仿宋_GB2312" w:hAnsi="Calibri" w:hint="eastAsia"/>
          <w:sz w:val="32"/>
          <w:szCs w:val="32"/>
        </w:rPr>
        <w:t>以上工业企业总产值的73.7</w:t>
      </w:r>
      <w:r w:rsidR="00C04AC3">
        <w:rPr>
          <w:rFonts w:ascii="仿宋_GB2312" w:eastAsia="仿宋_GB2312" w:hAnsi="Calibri"/>
          <w:sz w:val="32"/>
          <w:szCs w:val="32"/>
        </w:rPr>
        <w:t>%。</w:t>
      </w:r>
      <w:r w:rsidR="00D70C7A">
        <w:rPr>
          <w:rFonts w:ascii="仿宋_GB2312" w:eastAsia="仿宋_GB2312" w:hAnsi="Calibri" w:hint="eastAsia"/>
          <w:sz w:val="32"/>
          <w:szCs w:val="32"/>
        </w:rPr>
        <w:t>分类别</w:t>
      </w:r>
      <w:r w:rsidR="00D70C7A">
        <w:rPr>
          <w:rFonts w:ascii="仿宋_GB2312" w:eastAsia="仿宋_GB2312" w:hAnsi="Calibri"/>
          <w:sz w:val="32"/>
          <w:szCs w:val="32"/>
        </w:rPr>
        <w:t>看，</w:t>
      </w:r>
      <w:r w:rsidR="00D70C7A">
        <w:rPr>
          <w:rFonts w:ascii="仿宋_GB2312" w:eastAsia="仿宋_GB2312" w:hAnsi="Calibri" w:hint="eastAsia"/>
          <w:sz w:val="32"/>
          <w:szCs w:val="32"/>
        </w:rPr>
        <w:t>国有企业实现产值</w:t>
      </w:r>
      <w:r w:rsidR="00C04AC3">
        <w:rPr>
          <w:rFonts w:ascii="仿宋_GB2312" w:eastAsia="仿宋_GB2312" w:hAnsi="Calibri"/>
          <w:sz w:val="32"/>
          <w:szCs w:val="32"/>
        </w:rPr>
        <w:t>2.53</w:t>
      </w:r>
      <w:r w:rsidR="00C04AC3">
        <w:rPr>
          <w:rFonts w:ascii="仿宋_GB2312" w:eastAsia="仿宋_GB2312" w:hAnsi="Calibri" w:hint="eastAsia"/>
          <w:sz w:val="32"/>
          <w:szCs w:val="32"/>
        </w:rPr>
        <w:t>亿元，下降36.6</w:t>
      </w:r>
      <w:r w:rsidR="00C04AC3">
        <w:rPr>
          <w:rFonts w:ascii="仿宋_GB2312" w:eastAsia="仿宋_GB2312" w:hAnsi="Calibri"/>
          <w:sz w:val="32"/>
          <w:szCs w:val="32"/>
        </w:rPr>
        <w:t>%</w:t>
      </w:r>
      <w:r w:rsidR="00D70C7A">
        <w:rPr>
          <w:rFonts w:ascii="仿宋_GB2312" w:eastAsia="仿宋_GB2312" w:hAnsi="Calibri"/>
          <w:sz w:val="32"/>
          <w:szCs w:val="32"/>
        </w:rPr>
        <w:t>；</w:t>
      </w:r>
      <w:r w:rsidR="00D70C7A">
        <w:rPr>
          <w:rFonts w:ascii="仿宋_GB2312" w:eastAsia="仿宋_GB2312" w:hAnsi="Calibri" w:hint="eastAsia"/>
          <w:sz w:val="32"/>
          <w:szCs w:val="32"/>
        </w:rPr>
        <w:t>股份制企业实现产值</w:t>
      </w:r>
      <w:r w:rsidR="00407CAD">
        <w:rPr>
          <w:rFonts w:ascii="仿宋_GB2312" w:eastAsia="仿宋_GB2312" w:hAnsi="Calibri" w:hint="eastAsia"/>
          <w:sz w:val="32"/>
          <w:szCs w:val="32"/>
        </w:rPr>
        <w:t>189.48</w:t>
      </w:r>
      <w:r w:rsidR="00D70C7A">
        <w:rPr>
          <w:rFonts w:ascii="仿宋_GB2312" w:eastAsia="仿宋_GB2312" w:hAnsi="Calibri" w:hint="eastAsia"/>
          <w:sz w:val="32"/>
          <w:szCs w:val="32"/>
        </w:rPr>
        <w:t>亿元，增长</w:t>
      </w:r>
      <w:r w:rsidR="00407CAD">
        <w:rPr>
          <w:rFonts w:ascii="仿宋_GB2312" w:eastAsia="仿宋_GB2312" w:hAnsi="Calibri"/>
          <w:sz w:val="32"/>
          <w:szCs w:val="32"/>
        </w:rPr>
        <w:t>16.7%</w:t>
      </w:r>
      <w:r w:rsidR="00D70C7A">
        <w:rPr>
          <w:rFonts w:ascii="仿宋_GB2312" w:eastAsia="仿宋_GB2312" w:hAnsi="Calibri"/>
          <w:sz w:val="32"/>
          <w:szCs w:val="32"/>
        </w:rPr>
        <w:t>；</w:t>
      </w:r>
      <w:r w:rsidR="00D70C7A">
        <w:rPr>
          <w:rFonts w:ascii="仿宋_GB2312" w:eastAsia="仿宋_GB2312" w:hAnsi="Calibri" w:hint="eastAsia"/>
          <w:sz w:val="32"/>
          <w:szCs w:val="32"/>
        </w:rPr>
        <w:t>港、澳、台商投资企业实现产值</w:t>
      </w:r>
      <w:r w:rsidR="00407CAD">
        <w:rPr>
          <w:rFonts w:ascii="仿宋_GB2312" w:eastAsia="仿宋_GB2312" w:hAnsi="Calibri"/>
          <w:sz w:val="32"/>
          <w:szCs w:val="32"/>
        </w:rPr>
        <w:t>155.09</w:t>
      </w:r>
      <w:r w:rsidR="00D70C7A">
        <w:rPr>
          <w:rFonts w:ascii="仿宋_GB2312" w:eastAsia="仿宋_GB2312" w:hAnsi="Calibri" w:hint="eastAsia"/>
          <w:sz w:val="32"/>
          <w:szCs w:val="32"/>
        </w:rPr>
        <w:t>亿元，</w:t>
      </w:r>
      <w:r w:rsidR="005559A1">
        <w:rPr>
          <w:rFonts w:ascii="仿宋_GB2312" w:eastAsia="仿宋_GB2312" w:hAnsi="Calibri" w:hint="eastAsia"/>
          <w:sz w:val="32"/>
          <w:szCs w:val="32"/>
        </w:rPr>
        <w:t>增长</w:t>
      </w:r>
      <w:r w:rsidR="00407CAD">
        <w:rPr>
          <w:rFonts w:ascii="仿宋_GB2312" w:eastAsia="仿宋_GB2312" w:hAnsi="Calibri" w:hint="eastAsia"/>
          <w:sz w:val="32"/>
          <w:szCs w:val="32"/>
        </w:rPr>
        <w:t>26.2</w:t>
      </w:r>
      <w:r w:rsidR="00407CAD">
        <w:rPr>
          <w:rFonts w:ascii="仿宋_GB2312" w:eastAsia="仿宋_GB2312" w:hAnsi="Calibri"/>
          <w:sz w:val="32"/>
          <w:szCs w:val="32"/>
        </w:rPr>
        <w:t>%</w:t>
      </w:r>
      <w:r w:rsidR="00D70C7A">
        <w:rPr>
          <w:rFonts w:ascii="仿宋_GB2312" w:eastAsia="仿宋_GB2312" w:hAnsi="Calibri"/>
          <w:sz w:val="32"/>
          <w:szCs w:val="32"/>
        </w:rPr>
        <w:t>；</w:t>
      </w:r>
      <w:r w:rsidR="00D70C7A">
        <w:rPr>
          <w:rFonts w:ascii="仿宋_GB2312" w:eastAsia="仿宋_GB2312" w:hAnsi="Calibri" w:hint="eastAsia"/>
          <w:sz w:val="32"/>
          <w:szCs w:val="32"/>
        </w:rPr>
        <w:t>外商投资企业实现产值</w:t>
      </w:r>
      <w:r w:rsidR="00407CAD">
        <w:rPr>
          <w:rFonts w:ascii="仿宋_GB2312" w:eastAsia="仿宋_GB2312" w:hAnsi="Calibri"/>
          <w:sz w:val="32"/>
          <w:szCs w:val="32"/>
        </w:rPr>
        <w:t>547.48</w:t>
      </w:r>
      <w:r w:rsidR="00D70C7A">
        <w:rPr>
          <w:rFonts w:ascii="仿宋_GB2312" w:eastAsia="仿宋_GB2312" w:hAnsi="Calibri" w:hint="eastAsia"/>
          <w:sz w:val="32"/>
          <w:szCs w:val="32"/>
        </w:rPr>
        <w:t>亿元，增长</w:t>
      </w:r>
      <w:r w:rsidR="00407CAD">
        <w:rPr>
          <w:rFonts w:ascii="仿宋_GB2312" w:eastAsia="仿宋_GB2312" w:hAnsi="Calibri"/>
          <w:sz w:val="32"/>
          <w:szCs w:val="32"/>
        </w:rPr>
        <w:t>1.2%</w:t>
      </w:r>
      <w:r w:rsidR="00D70C7A">
        <w:rPr>
          <w:rFonts w:ascii="仿宋_GB2312" w:eastAsia="仿宋_GB2312" w:hAnsi="Calibri" w:hint="eastAsia"/>
          <w:sz w:val="32"/>
          <w:szCs w:val="32"/>
        </w:rPr>
        <w:t>。</w:t>
      </w:r>
    </w:p>
    <w:p w:rsidR="00D70C7A" w:rsidRDefault="00D70C7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规模以上工业企业实现销售产值</w:t>
      </w:r>
      <w:r w:rsidR="00875F37">
        <w:rPr>
          <w:rFonts w:ascii="仿宋_GB2312" w:eastAsia="仿宋_GB2312" w:hAnsi="Calibri"/>
          <w:sz w:val="32"/>
          <w:szCs w:val="32"/>
        </w:rPr>
        <w:t>982.17</w:t>
      </w:r>
      <w:r>
        <w:rPr>
          <w:rFonts w:ascii="仿宋_GB2312" w:eastAsia="仿宋_GB2312" w:hAnsi="Calibri" w:hint="eastAsia"/>
          <w:sz w:val="32"/>
          <w:szCs w:val="32"/>
        </w:rPr>
        <w:t>亿元，增长</w:t>
      </w:r>
      <w:r w:rsidR="00875F37">
        <w:rPr>
          <w:rFonts w:ascii="仿宋_GB2312" w:eastAsia="仿宋_GB2312" w:hAnsi="Calibri"/>
          <w:sz w:val="32"/>
          <w:szCs w:val="32"/>
        </w:rPr>
        <w:t>8.1%</w:t>
      </w:r>
      <w:r>
        <w:rPr>
          <w:rFonts w:ascii="仿宋_GB2312" w:eastAsia="仿宋_GB2312" w:hAnsi="Calibri" w:hint="eastAsia"/>
          <w:sz w:val="32"/>
          <w:szCs w:val="32"/>
        </w:rPr>
        <w:t>。其中出口交货值</w:t>
      </w:r>
      <w:r w:rsidR="00875F37">
        <w:rPr>
          <w:rFonts w:ascii="仿宋_GB2312" w:eastAsia="仿宋_GB2312" w:hAnsi="Calibri"/>
          <w:sz w:val="32"/>
          <w:szCs w:val="32"/>
        </w:rPr>
        <w:t>749.58</w:t>
      </w:r>
      <w:r>
        <w:rPr>
          <w:rFonts w:ascii="仿宋_GB2312" w:eastAsia="仿宋_GB2312" w:hAnsi="Calibri" w:hint="eastAsia"/>
          <w:sz w:val="32"/>
          <w:szCs w:val="32"/>
        </w:rPr>
        <w:t>亿元，增长</w:t>
      </w:r>
      <w:r w:rsidR="00875F37">
        <w:rPr>
          <w:rFonts w:ascii="仿宋_GB2312" w:eastAsia="仿宋_GB2312" w:hAnsi="Calibri"/>
          <w:sz w:val="32"/>
          <w:szCs w:val="32"/>
        </w:rPr>
        <w:t>15.2%</w:t>
      </w:r>
      <w:r>
        <w:rPr>
          <w:rFonts w:ascii="仿宋_GB2312" w:eastAsia="仿宋_GB2312" w:hAnsi="Calibri" w:hint="eastAsia"/>
          <w:sz w:val="32"/>
          <w:szCs w:val="32"/>
        </w:rPr>
        <w:t>，</w:t>
      </w:r>
      <w:proofErr w:type="gramStart"/>
      <w:r>
        <w:rPr>
          <w:rFonts w:ascii="仿宋_GB2312" w:eastAsia="仿宋_GB2312" w:hAnsi="Calibri"/>
          <w:sz w:val="32"/>
          <w:szCs w:val="32"/>
        </w:rPr>
        <w:t>占</w:t>
      </w:r>
      <w:r>
        <w:rPr>
          <w:rFonts w:ascii="仿宋_GB2312" w:eastAsia="仿宋_GB2312" w:hAnsi="Calibri" w:hint="eastAsia"/>
          <w:sz w:val="32"/>
          <w:szCs w:val="32"/>
        </w:rPr>
        <w:t>规模</w:t>
      </w:r>
      <w:proofErr w:type="gramEnd"/>
      <w:r w:rsidR="00875F37">
        <w:rPr>
          <w:rFonts w:ascii="仿宋_GB2312" w:eastAsia="仿宋_GB2312" w:hAnsi="Calibri"/>
          <w:sz w:val="32"/>
          <w:szCs w:val="32"/>
        </w:rPr>
        <w:t>以上工业企业销售产值</w:t>
      </w:r>
      <w:r w:rsidR="00875F37">
        <w:rPr>
          <w:rFonts w:ascii="仿宋_GB2312" w:eastAsia="仿宋_GB2312" w:hAnsi="Calibri" w:hint="eastAsia"/>
          <w:sz w:val="32"/>
          <w:szCs w:val="32"/>
        </w:rPr>
        <w:t>的</w:t>
      </w:r>
      <w:r w:rsidR="00875F37">
        <w:rPr>
          <w:rFonts w:ascii="仿宋_GB2312" w:eastAsia="仿宋_GB2312" w:hAnsi="Calibri"/>
          <w:sz w:val="32"/>
          <w:szCs w:val="32"/>
        </w:rPr>
        <w:t>76.3%</w:t>
      </w:r>
      <w:r>
        <w:rPr>
          <w:rFonts w:ascii="仿宋_GB2312" w:eastAsia="仿宋_GB2312" w:hAnsi="Calibri" w:hint="eastAsia"/>
          <w:sz w:val="32"/>
          <w:szCs w:val="32"/>
        </w:rPr>
        <w:t>。产品销售</w:t>
      </w:r>
      <w:r>
        <w:rPr>
          <w:rFonts w:ascii="仿宋_GB2312" w:eastAsia="仿宋_GB2312" w:hAnsi="Calibri"/>
          <w:sz w:val="32"/>
          <w:szCs w:val="32"/>
        </w:rPr>
        <w:t>率</w:t>
      </w:r>
      <w:r w:rsidR="00875F37">
        <w:rPr>
          <w:rFonts w:ascii="仿宋_GB2312" w:eastAsia="仿宋_GB2312" w:hAnsi="Calibri"/>
          <w:sz w:val="32"/>
          <w:szCs w:val="32"/>
        </w:rPr>
        <w:t>99.8%</w:t>
      </w:r>
      <w:r w:rsidR="00E73A16">
        <w:rPr>
          <w:rFonts w:ascii="仿宋_GB2312" w:eastAsia="仿宋_GB2312" w:hAnsi="Calibri" w:hint="eastAsia"/>
          <w:sz w:val="32"/>
          <w:szCs w:val="32"/>
        </w:rPr>
        <w:t>（</w:t>
      </w:r>
      <w:r>
        <w:rPr>
          <w:rFonts w:ascii="仿宋_GB2312" w:eastAsia="仿宋_GB2312" w:hAnsi="Calibri"/>
          <w:sz w:val="32"/>
          <w:szCs w:val="32"/>
        </w:rPr>
        <w:t>主要工业产品产量详见表</w:t>
      </w:r>
      <w:r w:rsidR="0099365D">
        <w:rPr>
          <w:rFonts w:ascii="仿宋_GB2312" w:eastAsia="仿宋_GB2312" w:hAnsi="Calibri"/>
          <w:sz w:val="32"/>
          <w:szCs w:val="32"/>
        </w:rPr>
        <w:t>2</w:t>
      </w:r>
      <w:r w:rsidR="00E73A16">
        <w:rPr>
          <w:rFonts w:ascii="仿宋_GB2312" w:eastAsia="仿宋_GB2312" w:hAnsi="Calibri" w:hint="eastAsia"/>
          <w:sz w:val="32"/>
          <w:szCs w:val="32"/>
        </w:rPr>
        <w:t>）</w:t>
      </w:r>
      <w:r>
        <w:rPr>
          <w:rFonts w:ascii="仿宋_GB2312" w:eastAsia="仿宋_GB2312" w:hAnsi="Calibri" w:hint="eastAsia"/>
          <w:sz w:val="32"/>
          <w:szCs w:val="32"/>
        </w:rPr>
        <w:t>。</w:t>
      </w:r>
    </w:p>
    <w:p w:rsidR="00D70C7A" w:rsidRDefault="00D70C7A" w:rsidP="00D70C7A">
      <w:pPr>
        <w:jc w:val="center"/>
        <w:rPr>
          <w:rFonts w:ascii="宋体" w:hAnsi="宋体"/>
          <w:sz w:val="28"/>
          <w:szCs w:val="28"/>
        </w:rPr>
      </w:pPr>
      <w:r>
        <w:rPr>
          <w:rFonts w:ascii="宋体" w:hAnsi="宋体" w:hint="eastAsia"/>
          <w:sz w:val="28"/>
          <w:szCs w:val="28"/>
        </w:rPr>
        <w:t>表</w:t>
      </w:r>
      <w:r w:rsidR="003E46B0">
        <w:rPr>
          <w:rFonts w:ascii="宋体" w:hAnsi="宋体"/>
          <w:sz w:val="28"/>
          <w:szCs w:val="28"/>
        </w:rPr>
        <w:t>2</w:t>
      </w:r>
      <w:r w:rsidR="00C84459">
        <w:rPr>
          <w:rFonts w:ascii="宋体" w:hAnsi="宋体" w:hint="eastAsia"/>
          <w:sz w:val="28"/>
          <w:szCs w:val="28"/>
        </w:rPr>
        <w:t xml:space="preserve">  2014</w:t>
      </w:r>
      <w:r>
        <w:rPr>
          <w:rFonts w:ascii="宋体" w:hAnsi="宋体" w:hint="eastAsia"/>
          <w:sz w:val="28"/>
          <w:szCs w:val="28"/>
        </w:rPr>
        <w:t>年全区主要工业产品产量</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2535"/>
        <w:gridCol w:w="1363"/>
        <w:gridCol w:w="1975"/>
        <w:gridCol w:w="3062"/>
      </w:tblGrid>
      <w:tr w:rsidR="00D70C7A">
        <w:trPr>
          <w:trHeight w:val="665"/>
          <w:jc w:val="center"/>
        </w:trPr>
        <w:tc>
          <w:tcPr>
            <w:tcW w:w="2535" w:type="dxa"/>
            <w:tcBorders>
              <w:top w:val="single" w:sz="4" w:space="0" w:color="auto"/>
              <w:bottom w:val="single" w:sz="4" w:space="0" w:color="auto"/>
            </w:tcBorders>
            <w:vAlign w:val="center"/>
          </w:tcPr>
          <w:p w:rsidR="00D70C7A" w:rsidRPr="00D5312C" w:rsidRDefault="00D70C7A" w:rsidP="00D70C7A">
            <w:pPr>
              <w:rPr>
                <w:rFonts w:ascii="宋体" w:hAnsi="宋体"/>
                <w:b/>
                <w:sz w:val="24"/>
              </w:rPr>
            </w:pPr>
            <w:bookmarkStart w:id="0" w:name="OLE_LINK2"/>
            <w:r w:rsidRPr="00D5312C">
              <w:rPr>
                <w:rFonts w:ascii="宋体" w:hAnsi="宋体" w:hint="eastAsia"/>
                <w:b/>
                <w:sz w:val="24"/>
              </w:rPr>
              <w:t>产品名称</w:t>
            </w:r>
          </w:p>
        </w:tc>
        <w:tc>
          <w:tcPr>
            <w:tcW w:w="1363" w:type="dxa"/>
            <w:tcBorders>
              <w:top w:val="single" w:sz="4" w:space="0" w:color="auto"/>
              <w:bottom w:val="single" w:sz="4" w:space="0" w:color="auto"/>
            </w:tcBorders>
            <w:vAlign w:val="center"/>
          </w:tcPr>
          <w:p w:rsidR="00D70C7A" w:rsidRPr="00D5312C" w:rsidRDefault="00D70C7A" w:rsidP="00D70C7A">
            <w:pPr>
              <w:jc w:val="center"/>
              <w:rPr>
                <w:rFonts w:ascii="宋体" w:hAnsi="宋体"/>
                <w:b/>
                <w:sz w:val="24"/>
              </w:rPr>
            </w:pPr>
            <w:r w:rsidRPr="00D5312C">
              <w:rPr>
                <w:rFonts w:ascii="宋体" w:hAnsi="宋体" w:hint="eastAsia"/>
                <w:b/>
                <w:sz w:val="24"/>
              </w:rPr>
              <w:t>单位</w:t>
            </w:r>
          </w:p>
        </w:tc>
        <w:tc>
          <w:tcPr>
            <w:tcW w:w="1975" w:type="dxa"/>
            <w:tcBorders>
              <w:top w:val="single" w:sz="4" w:space="0" w:color="auto"/>
              <w:bottom w:val="single" w:sz="4" w:space="0" w:color="auto"/>
            </w:tcBorders>
            <w:vAlign w:val="center"/>
          </w:tcPr>
          <w:p w:rsidR="00D70C7A" w:rsidRPr="00D5312C" w:rsidRDefault="00D70C7A" w:rsidP="00D70C7A">
            <w:pPr>
              <w:jc w:val="center"/>
              <w:rPr>
                <w:rFonts w:ascii="宋体" w:hAnsi="宋体"/>
                <w:b/>
                <w:sz w:val="24"/>
              </w:rPr>
            </w:pPr>
            <w:r w:rsidRPr="00D5312C">
              <w:rPr>
                <w:rFonts w:ascii="宋体" w:hAnsi="宋体" w:hint="eastAsia"/>
                <w:b/>
                <w:sz w:val="24"/>
              </w:rPr>
              <w:t>产量</w:t>
            </w:r>
          </w:p>
        </w:tc>
        <w:tc>
          <w:tcPr>
            <w:tcW w:w="3062" w:type="dxa"/>
            <w:tcBorders>
              <w:top w:val="single" w:sz="4" w:space="0" w:color="auto"/>
              <w:bottom w:val="single" w:sz="4" w:space="0" w:color="auto"/>
            </w:tcBorders>
            <w:vAlign w:val="center"/>
          </w:tcPr>
          <w:p w:rsidR="00D70C7A" w:rsidRPr="00D5312C" w:rsidRDefault="00D70C7A" w:rsidP="00D70C7A">
            <w:pPr>
              <w:jc w:val="center"/>
              <w:rPr>
                <w:rFonts w:ascii="宋体" w:hAnsi="宋体"/>
                <w:b/>
                <w:sz w:val="24"/>
              </w:rPr>
            </w:pPr>
            <w:r w:rsidRPr="00D5312C">
              <w:rPr>
                <w:rFonts w:ascii="宋体" w:hAnsi="宋体" w:hint="eastAsia"/>
                <w:b/>
                <w:sz w:val="24"/>
              </w:rPr>
              <w:t>比上年（同口径）增长（%）</w:t>
            </w:r>
          </w:p>
        </w:tc>
      </w:tr>
      <w:tr w:rsidR="00D30F33">
        <w:trPr>
          <w:trHeight w:val="558"/>
          <w:jc w:val="center"/>
        </w:trPr>
        <w:tc>
          <w:tcPr>
            <w:tcW w:w="2535" w:type="dxa"/>
            <w:tcBorders>
              <w:top w:val="single" w:sz="4" w:space="0" w:color="auto"/>
            </w:tcBorders>
            <w:vAlign w:val="center"/>
          </w:tcPr>
          <w:p w:rsidR="00D30F33" w:rsidRDefault="00D30F33" w:rsidP="00D30F33">
            <w:pPr>
              <w:rPr>
                <w:rFonts w:ascii="宋体" w:hAnsi="宋体"/>
                <w:sz w:val="24"/>
              </w:rPr>
            </w:pPr>
            <w:r>
              <w:rPr>
                <w:rFonts w:ascii="宋体" w:hAnsi="宋体" w:hint="eastAsia"/>
                <w:sz w:val="24"/>
              </w:rPr>
              <w:t>微型计算机设备</w:t>
            </w:r>
          </w:p>
        </w:tc>
        <w:tc>
          <w:tcPr>
            <w:tcW w:w="1363" w:type="dxa"/>
            <w:tcBorders>
              <w:top w:val="single" w:sz="4" w:space="0" w:color="auto"/>
            </w:tcBorders>
            <w:vAlign w:val="center"/>
          </w:tcPr>
          <w:p w:rsidR="00D30F33" w:rsidRDefault="00D30F33" w:rsidP="00D30F33">
            <w:pPr>
              <w:jc w:val="center"/>
              <w:rPr>
                <w:rFonts w:ascii="宋体" w:hAnsi="宋体"/>
                <w:sz w:val="24"/>
              </w:rPr>
            </w:pPr>
            <w:r>
              <w:rPr>
                <w:rFonts w:ascii="宋体" w:hAnsi="宋体" w:hint="eastAsia"/>
                <w:sz w:val="24"/>
              </w:rPr>
              <w:t>万台</w:t>
            </w:r>
          </w:p>
        </w:tc>
        <w:tc>
          <w:tcPr>
            <w:tcW w:w="1975" w:type="dxa"/>
            <w:tcBorders>
              <w:top w:val="single" w:sz="4" w:space="0" w:color="auto"/>
            </w:tcBorders>
            <w:vAlign w:val="center"/>
          </w:tcPr>
          <w:p w:rsidR="00D30F33" w:rsidRPr="00D30F33" w:rsidRDefault="00D30F33" w:rsidP="00F95529">
            <w:pPr>
              <w:jc w:val="right"/>
              <w:rPr>
                <w:rFonts w:ascii="宋体" w:hAnsi="宋体"/>
                <w:sz w:val="24"/>
              </w:rPr>
            </w:pPr>
            <w:r w:rsidRPr="00D30F33">
              <w:rPr>
                <w:rFonts w:ascii="宋体" w:hAnsi="宋体" w:hint="eastAsia"/>
                <w:sz w:val="24"/>
              </w:rPr>
              <w:t>676.75</w:t>
            </w:r>
          </w:p>
        </w:tc>
        <w:tc>
          <w:tcPr>
            <w:tcW w:w="3062" w:type="dxa"/>
            <w:tcBorders>
              <w:top w:val="single" w:sz="4" w:space="0" w:color="auto"/>
            </w:tcBorders>
            <w:vAlign w:val="center"/>
          </w:tcPr>
          <w:p w:rsidR="00D30F33" w:rsidRPr="00D30F33" w:rsidRDefault="00D30F33" w:rsidP="00F95529">
            <w:pPr>
              <w:jc w:val="right"/>
              <w:rPr>
                <w:rFonts w:ascii="宋体" w:hAnsi="宋体"/>
                <w:sz w:val="24"/>
              </w:rPr>
            </w:pPr>
            <w:r w:rsidRPr="00D30F33">
              <w:rPr>
                <w:rFonts w:ascii="宋体" w:hAnsi="宋体" w:hint="eastAsia"/>
                <w:sz w:val="24"/>
              </w:rPr>
              <w:t>-0.3</w:t>
            </w:r>
          </w:p>
        </w:tc>
      </w:tr>
      <w:tr w:rsidR="00D30F33">
        <w:trPr>
          <w:trHeight w:val="559"/>
          <w:jc w:val="center"/>
        </w:trPr>
        <w:tc>
          <w:tcPr>
            <w:tcW w:w="2535" w:type="dxa"/>
            <w:vAlign w:val="center"/>
          </w:tcPr>
          <w:p w:rsidR="00D30F33" w:rsidRDefault="00D30F33" w:rsidP="00D30F33">
            <w:pPr>
              <w:rPr>
                <w:rFonts w:ascii="宋体" w:hAnsi="宋体"/>
                <w:sz w:val="24"/>
              </w:rPr>
            </w:pPr>
            <w:r>
              <w:rPr>
                <w:rFonts w:ascii="宋体" w:hAnsi="宋体" w:hint="eastAsia"/>
                <w:sz w:val="24"/>
              </w:rPr>
              <w:t>复印和胶版印制设备</w:t>
            </w:r>
          </w:p>
        </w:tc>
        <w:tc>
          <w:tcPr>
            <w:tcW w:w="1363" w:type="dxa"/>
            <w:vAlign w:val="center"/>
          </w:tcPr>
          <w:p w:rsidR="00D30F33" w:rsidRDefault="00D30F33" w:rsidP="00D30F33">
            <w:pPr>
              <w:jc w:val="center"/>
              <w:rPr>
                <w:rFonts w:ascii="宋体" w:hAnsi="宋体"/>
                <w:sz w:val="24"/>
              </w:rPr>
            </w:pPr>
            <w:r>
              <w:rPr>
                <w:rFonts w:ascii="宋体" w:hAnsi="宋体" w:hint="eastAsia"/>
                <w:sz w:val="24"/>
              </w:rPr>
              <w:t>万台</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99.12</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16.5</w:t>
            </w:r>
          </w:p>
        </w:tc>
      </w:tr>
      <w:tr w:rsidR="00D30F33">
        <w:trPr>
          <w:trHeight w:val="559"/>
          <w:jc w:val="center"/>
        </w:trPr>
        <w:tc>
          <w:tcPr>
            <w:tcW w:w="2535" w:type="dxa"/>
            <w:vAlign w:val="center"/>
          </w:tcPr>
          <w:p w:rsidR="00D30F33" w:rsidRDefault="00D30F33" w:rsidP="00D30F33">
            <w:pPr>
              <w:rPr>
                <w:rFonts w:ascii="宋体" w:hAnsi="宋体"/>
                <w:sz w:val="24"/>
              </w:rPr>
            </w:pPr>
            <w:r>
              <w:rPr>
                <w:rFonts w:ascii="宋体" w:hAnsi="宋体" w:hint="eastAsia"/>
                <w:sz w:val="24"/>
              </w:rPr>
              <w:t>集成电路</w:t>
            </w:r>
          </w:p>
        </w:tc>
        <w:tc>
          <w:tcPr>
            <w:tcW w:w="1363" w:type="dxa"/>
            <w:vAlign w:val="center"/>
          </w:tcPr>
          <w:p w:rsidR="00D30F33" w:rsidRDefault="00D30F33" w:rsidP="00D30F33">
            <w:pPr>
              <w:jc w:val="center"/>
              <w:rPr>
                <w:rFonts w:ascii="宋体" w:hAnsi="宋体"/>
                <w:sz w:val="24"/>
              </w:rPr>
            </w:pPr>
            <w:r>
              <w:rPr>
                <w:rFonts w:ascii="宋体" w:hAnsi="宋体" w:hint="eastAsia"/>
                <w:sz w:val="24"/>
              </w:rPr>
              <w:t>万块</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416228</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0.2</w:t>
            </w:r>
          </w:p>
        </w:tc>
      </w:tr>
      <w:tr w:rsidR="00D30F33">
        <w:trPr>
          <w:trHeight w:val="559"/>
          <w:jc w:val="center"/>
        </w:trPr>
        <w:tc>
          <w:tcPr>
            <w:tcW w:w="2535" w:type="dxa"/>
            <w:vAlign w:val="center"/>
          </w:tcPr>
          <w:p w:rsidR="00D30F33" w:rsidRDefault="00D30F33" w:rsidP="00D30F33">
            <w:pPr>
              <w:rPr>
                <w:rFonts w:ascii="宋体" w:hAnsi="宋体"/>
                <w:sz w:val="24"/>
              </w:rPr>
            </w:pPr>
            <w:r>
              <w:rPr>
                <w:rFonts w:ascii="宋体" w:hAnsi="宋体" w:hint="eastAsia"/>
                <w:sz w:val="24"/>
              </w:rPr>
              <w:t>硬盘存储器</w:t>
            </w:r>
          </w:p>
        </w:tc>
        <w:tc>
          <w:tcPr>
            <w:tcW w:w="1363" w:type="dxa"/>
            <w:vAlign w:val="center"/>
          </w:tcPr>
          <w:p w:rsidR="00D30F33" w:rsidRDefault="00D30F33" w:rsidP="00D30F33">
            <w:pPr>
              <w:jc w:val="center"/>
              <w:rPr>
                <w:rFonts w:ascii="宋体" w:hAnsi="宋体"/>
                <w:sz w:val="24"/>
              </w:rPr>
            </w:pPr>
            <w:r>
              <w:rPr>
                <w:rFonts w:ascii="宋体" w:hAnsi="宋体" w:hint="eastAsia"/>
                <w:sz w:val="24"/>
              </w:rPr>
              <w:t>万台</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648.06</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35.2</w:t>
            </w:r>
          </w:p>
        </w:tc>
      </w:tr>
      <w:tr w:rsidR="00D30F33">
        <w:trPr>
          <w:trHeight w:val="558"/>
          <w:jc w:val="center"/>
        </w:trPr>
        <w:tc>
          <w:tcPr>
            <w:tcW w:w="2535" w:type="dxa"/>
            <w:vAlign w:val="center"/>
          </w:tcPr>
          <w:p w:rsidR="00D30F33" w:rsidRDefault="00D30F33" w:rsidP="00D30F33">
            <w:pPr>
              <w:rPr>
                <w:rFonts w:ascii="宋体" w:hAnsi="宋体"/>
                <w:sz w:val="24"/>
              </w:rPr>
            </w:pPr>
            <w:r>
              <w:rPr>
                <w:rFonts w:ascii="宋体" w:hAnsi="宋体" w:hint="eastAsia"/>
                <w:sz w:val="24"/>
              </w:rPr>
              <w:t>服装</w:t>
            </w:r>
          </w:p>
        </w:tc>
        <w:tc>
          <w:tcPr>
            <w:tcW w:w="1363" w:type="dxa"/>
            <w:vAlign w:val="center"/>
          </w:tcPr>
          <w:p w:rsidR="00D30F33" w:rsidRDefault="00D30F33" w:rsidP="00D30F33">
            <w:pPr>
              <w:jc w:val="center"/>
              <w:rPr>
                <w:rFonts w:ascii="宋体" w:hAnsi="宋体"/>
                <w:sz w:val="24"/>
              </w:rPr>
            </w:pPr>
            <w:r>
              <w:rPr>
                <w:rFonts w:ascii="宋体" w:hAnsi="宋体" w:hint="eastAsia"/>
                <w:sz w:val="24"/>
              </w:rPr>
              <w:t>万件</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348.57</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-21.2</w:t>
            </w:r>
          </w:p>
        </w:tc>
      </w:tr>
      <w:tr w:rsidR="00D30F33">
        <w:trPr>
          <w:trHeight w:val="559"/>
          <w:jc w:val="center"/>
        </w:trPr>
        <w:tc>
          <w:tcPr>
            <w:tcW w:w="2535" w:type="dxa"/>
            <w:vAlign w:val="center"/>
          </w:tcPr>
          <w:p w:rsidR="00D30F33" w:rsidRDefault="00D30F33" w:rsidP="00D30F33">
            <w:pPr>
              <w:rPr>
                <w:rFonts w:ascii="宋体" w:hAnsi="宋体"/>
                <w:sz w:val="24"/>
              </w:rPr>
            </w:pPr>
            <w:r>
              <w:rPr>
                <w:rFonts w:ascii="宋体" w:hAnsi="宋体" w:hint="eastAsia"/>
                <w:sz w:val="24"/>
              </w:rPr>
              <w:t>塑料制品</w:t>
            </w:r>
          </w:p>
        </w:tc>
        <w:tc>
          <w:tcPr>
            <w:tcW w:w="1363" w:type="dxa"/>
            <w:vAlign w:val="center"/>
          </w:tcPr>
          <w:p w:rsidR="00D30F33" w:rsidRDefault="00D30F33" w:rsidP="00D30F33">
            <w:pPr>
              <w:jc w:val="center"/>
              <w:rPr>
                <w:rFonts w:ascii="宋体" w:hAnsi="宋体"/>
                <w:sz w:val="24"/>
              </w:rPr>
            </w:pPr>
            <w:r>
              <w:rPr>
                <w:rFonts w:ascii="宋体" w:hAnsi="宋体" w:hint="eastAsia"/>
                <w:sz w:val="24"/>
              </w:rPr>
              <w:t>万吨</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5.27</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5.3</w:t>
            </w:r>
          </w:p>
        </w:tc>
      </w:tr>
      <w:tr w:rsidR="00D30F33">
        <w:trPr>
          <w:trHeight w:val="559"/>
          <w:jc w:val="center"/>
        </w:trPr>
        <w:tc>
          <w:tcPr>
            <w:tcW w:w="2535" w:type="dxa"/>
            <w:vAlign w:val="center"/>
          </w:tcPr>
          <w:p w:rsidR="00D30F33" w:rsidRDefault="00D30F33" w:rsidP="00D30F33">
            <w:pPr>
              <w:rPr>
                <w:rFonts w:ascii="宋体" w:hAnsi="宋体"/>
                <w:sz w:val="24"/>
              </w:rPr>
            </w:pPr>
            <w:r>
              <w:rPr>
                <w:rFonts w:ascii="宋体" w:hAnsi="宋体" w:hint="eastAsia"/>
                <w:sz w:val="24"/>
              </w:rPr>
              <w:t>电子元件</w:t>
            </w:r>
          </w:p>
        </w:tc>
        <w:tc>
          <w:tcPr>
            <w:tcW w:w="1363" w:type="dxa"/>
            <w:vAlign w:val="center"/>
          </w:tcPr>
          <w:p w:rsidR="00D30F33" w:rsidRDefault="00D30F33" w:rsidP="00D30F33">
            <w:pPr>
              <w:jc w:val="center"/>
              <w:rPr>
                <w:rFonts w:ascii="宋体" w:hAnsi="宋体"/>
                <w:sz w:val="24"/>
              </w:rPr>
            </w:pPr>
            <w:r>
              <w:rPr>
                <w:rFonts w:ascii="宋体" w:hAnsi="宋体" w:hint="eastAsia"/>
                <w:sz w:val="24"/>
              </w:rPr>
              <w:t>亿只</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1.24</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-8.1</w:t>
            </w:r>
          </w:p>
        </w:tc>
      </w:tr>
      <w:tr w:rsidR="00D30F33">
        <w:trPr>
          <w:trHeight w:val="559"/>
          <w:jc w:val="center"/>
        </w:trPr>
        <w:tc>
          <w:tcPr>
            <w:tcW w:w="2535" w:type="dxa"/>
            <w:vAlign w:val="center"/>
          </w:tcPr>
          <w:p w:rsidR="00D30F33" w:rsidRDefault="00D30F33" w:rsidP="00D30F33">
            <w:pPr>
              <w:rPr>
                <w:rFonts w:ascii="宋体" w:hAnsi="宋体"/>
                <w:sz w:val="24"/>
              </w:rPr>
            </w:pPr>
            <w:r>
              <w:rPr>
                <w:rFonts w:ascii="宋体" w:hAnsi="宋体" w:hint="eastAsia"/>
                <w:sz w:val="24"/>
              </w:rPr>
              <w:t>自来水生产量</w:t>
            </w:r>
          </w:p>
        </w:tc>
        <w:tc>
          <w:tcPr>
            <w:tcW w:w="1363" w:type="dxa"/>
            <w:vAlign w:val="center"/>
          </w:tcPr>
          <w:p w:rsidR="00D30F33" w:rsidRDefault="00D30F33" w:rsidP="00D30F33">
            <w:pPr>
              <w:jc w:val="center"/>
              <w:rPr>
                <w:rFonts w:ascii="宋体" w:hAnsi="宋体"/>
                <w:sz w:val="24"/>
              </w:rPr>
            </w:pPr>
            <w:r>
              <w:rPr>
                <w:rFonts w:ascii="宋体" w:hAnsi="宋体" w:hint="eastAsia"/>
                <w:sz w:val="24"/>
              </w:rPr>
              <w:t>万吨</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46502</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-1.0</w:t>
            </w:r>
          </w:p>
        </w:tc>
      </w:tr>
      <w:tr w:rsidR="00D30F33">
        <w:trPr>
          <w:trHeight w:val="559"/>
          <w:jc w:val="center"/>
        </w:trPr>
        <w:tc>
          <w:tcPr>
            <w:tcW w:w="2535" w:type="dxa"/>
            <w:vAlign w:val="center"/>
          </w:tcPr>
          <w:p w:rsidR="00D30F33" w:rsidRDefault="00D30F33" w:rsidP="00D30F33">
            <w:pPr>
              <w:rPr>
                <w:rFonts w:ascii="宋体" w:hAnsi="宋体"/>
                <w:sz w:val="24"/>
              </w:rPr>
            </w:pPr>
            <w:r>
              <w:rPr>
                <w:rFonts w:ascii="宋体" w:hAnsi="宋体" w:hint="eastAsia"/>
                <w:sz w:val="24"/>
              </w:rPr>
              <w:lastRenderedPageBreak/>
              <w:t>发电量</w:t>
            </w:r>
          </w:p>
        </w:tc>
        <w:tc>
          <w:tcPr>
            <w:tcW w:w="1363" w:type="dxa"/>
            <w:vAlign w:val="center"/>
          </w:tcPr>
          <w:p w:rsidR="00D30F33" w:rsidRDefault="00D30F33" w:rsidP="00D30F33">
            <w:pPr>
              <w:jc w:val="center"/>
              <w:rPr>
                <w:rFonts w:ascii="宋体" w:hAnsi="宋体"/>
                <w:sz w:val="24"/>
              </w:rPr>
            </w:pPr>
            <w:r>
              <w:rPr>
                <w:rFonts w:ascii="宋体" w:hAnsi="宋体" w:hint="eastAsia"/>
                <w:sz w:val="24"/>
              </w:rPr>
              <w:t>亿千瓦时</w:t>
            </w:r>
          </w:p>
        </w:tc>
        <w:tc>
          <w:tcPr>
            <w:tcW w:w="1975" w:type="dxa"/>
            <w:vAlign w:val="center"/>
          </w:tcPr>
          <w:p w:rsidR="00D30F33" w:rsidRPr="00D30F33" w:rsidRDefault="00D30F33" w:rsidP="00F95529">
            <w:pPr>
              <w:jc w:val="right"/>
              <w:rPr>
                <w:rFonts w:ascii="宋体" w:hAnsi="宋体"/>
                <w:sz w:val="24"/>
              </w:rPr>
            </w:pPr>
            <w:r w:rsidRPr="00D30F33">
              <w:rPr>
                <w:rFonts w:ascii="宋体" w:hAnsi="宋体" w:hint="eastAsia"/>
                <w:sz w:val="24"/>
              </w:rPr>
              <w:t>11.73</w:t>
            </w:r>
          </w:p>
        </w:tc>
        <w:tc>
          <w:tcPr>
            <w:tcW w:w="3062" w:type="dxa"/>
            <w:vAlign w:val="center"/>
          </w:tcPr>
          <w:p w:rsidR="00D30F33" w:rsidRPr="00D30F33" w:rsidRDefault="00D30F33" w:rsidP="00F95529">
            <w:pPr>
              <w:jc w:val="right"/>
              <w:rPr>
                <w:rFonts w:ascii="宋体" w:hAnsi="宋体"/>
                <w:sz w:val="24"/>
              </w:rPr>
            </w:pPr>
            <w:r w:rsidRPr="00D30F33">
              <w:rPr>
                <w:rFonts w:ascii="宋体" w:hAnsi="宋体" w:hint="eastAsia"/>
                <w:sz w:val="24"/>
              </w:rPr>
              <w:t>6.3</w:t>
            </w:r>
          </w:p>
        </w:tc>
      </w:tr>
      <w:bookmarkEnd w:id="0"/>
    </w:tbl>
    <w:p w:rsidR="00D70C7A" w:rsidRDefault="00D70C7A" w:rsidP="00D70C7A">
      <w:pPr>
        <w:spacing w:line="60" w:lineRule="exact"/>
        <w:ind w:firstLineChars="200" w:firstLine="640"/>
        <w:rPr>
          <w:rFonts w:ascii="仿宋_GB2312" w:eastAsia="仿宋_GB2312" w:hAnsi="仿宋"/>
          <w:color w:val="FF0000"/>
          <w:sz w:val="32"/>
          <w:szCs w:val="32"/>
        </w:rPr>
      </w:pPr>
    </w:p>
    <w:p w:rsidR="00D70C7A" w:rsidRDefault="00D70C7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全年规模以上工业企业经济</w:t>
      </w:r>
      <w:r>
        <w:rPr>
          <w:rFonts w:ascii="仿宋_GB2312" w:eastAsia="仿宋_GB2312" w:hAnsi="Calibri"/>
          <w:sz w:val="32"/>
          <w:szCs w:val="32"/>
        </w:rPr>
        <w:t>效益综合指数</w:t>
      </w:r>
      <w:r w:rsidR="00A33177">
        <w:rPr>
          <w:rFonts w:ascii="仿宋_GB2312" w:eastAsia="仿宋_GB2312" w:hAnsi="Calibri"/>
          <w:sz w:val="32"/>
          <w:szCs w:val="32"/>
        </w:rPr>
        <w:t>197.3%</w:t>
      </w:r>
      <w:r>
        <w:rPr>
          <w:rFonts w:ascii="仿宋_GB2312" w:eastAsia="仿宋_GB2312" w:hAnsi="Calibri"/>
          <w:sz w:val="32"/>
          <w:szCs w:val="32"/>
        </w:rPr>
        <w:t>；</w:t>
      </w:r>
      <w:r>
        <w:rPr>
          <w:rFonts w:ascii="仿宋_GB2312" w:eastAsia="仿宋_GB2312" w:hAnsi="Calibri" w:hint="eastAsia"/>
          <w:sz w:val="32"/>
          <w:szCs w:val="32"/>
        </w:rPr>
        <w:t>实现利润总额</w:t>
      </w:r>
      <w:r w:rsidR="00A33177">
        <w:rPr>
          <w:rFonts w:ascii="仿宋_GB2312" w:eastAsia="仿宋_GB2312" w:hAnsi="Calibri"/>
          <w:sz w:val="32"/>
          <w:szCs w:val="32"/>
        </w:rPr>
        <w:t>33.25</w:t>
      </w:r>
      <w:r>
        <w:rPr>
          <w:rFonts w:ascii="仿宋_GB2312" w:eastAsia="仿宋_GB2312" w:hAnsi="Calibri" w:hint="eastAsia"/>
          <w:sz w:val="32"/>
          <w:szCs w:val="32"/>
        </w:rPr>
        <w:t>亿元，增长</w:t>
      </w:r>
      <w:r w:rsidR="00A33177">
        <w:rPr>
          <w:rFonts w:ascii="仿宋_GB2312" w:eastAsia="仿宋_GB2312" w:hAnsi="Calibri"/>
          <w:sz w:val="32"/>
          <w:szCs w:val="32"/>
        </w:rPr>
        <w:t>4.5</w:t>
      </w:r>
      <w:r>
        <w:rPr>
          <w:rFonts w:ascii="仿宋_GB2312" w:eastAsia="仿宋_GB2312" w:hAnsi="Calibri"/>
          <w:sz w:val="32"/>
          <w:szCs w:val="32"/>
        </w:rPr>
        <w:t>%</w:t>
      </w:r>
      <w:r>
        <w:rPr>
          <w:rFonts w:ascii="仿宋_GB2312" w:eastAsia="仿宋_GB2312" w:hAnsi="Calibri" w:hint="eastAsia"/>
          <w:sz w:val="32"/>
          <w:szCs w:val="32"/>
        </w:rPr>
        <w:t>；上缴税金</w:t>
      </w:r>
      <w:r w:rsidR="00A33177">
        <w:rPr>
          <w:rFonts w:ascii="仿宋_GB2312" w:eastAsia="仿宋_GB2312" w:hAnsi="Calibri"/>
          <w:sz w:val="32"/>
          <w:szCs w:val="32"/>
        </w:rPr>
        <w:t>11.83</w:t>
      </w:r>
      <w:r>
        <w:rPr>
          <w:rFonts w:ascii="仿宋_GB2312" w:eastAsia="仿宋_GB2312" w:hAnsi="Calibri" w:hint="eastAsia"/>
          <w:sz w:val="32"/>
          <w:szCs w:val="32"/>
        </w:rPr>
        <w:t>亿元，增长</w:t>
      </w:r>
      <w:r w:rsidR="00A33177">
        <w:rPr>
          <w:rFonts w:ascii="仿宋_GB2312" w:eastAsia="仿宋_GB2312" w:hAnsi="Calibri"/>
          <w:sz w:val="32"/>
          <w:szCs w:val="32"/>
        </w:rPr>
        <w:t>7.5%</w:t>
      </w:r>
      <w:r>
        <w:rPr>
          <w:rFonts w:ascii="仿宋_GB2312" w:eastAsia="仿宋_GB2312" w:hAnsi="Calibri" w:hint="eastAsia"/>
          <w:sz w:val="32"/>
          <w:szCs w:val="32"/>
        </w:rPr>
        <w:t>；资产负债率</w:t>
      </w:r>
      <w:r w:rsidR="00E31F7F">
        <w:rPr>
          <w:rFonts w:ascii="仿宋_GB2312" w:eastAsia="仿宋_GB2312" w:hAnsi="Calibri"/>
          <w:sz w:val="32"/>
          <w:szCs w:val="32"/>
        </w:rPr>
        <w:t>53.0%</w:t>
      </w:r>
      <w:r>
        <w:rPr>
          <w:rFonts w:ascii="仿宋_GB2312" w:eastAsia="仿宋_GB2312" w:hAnsi="Calibri" w:hint="eastAsia"/>
          <w:sz w:val="32"/>
          <w:szCs w:val="32"/>
        </w:rPr>
        <w:t>，上升</w:t>
      </w:r>
      <w:r w:rsidR="00E31F7F">
        <w:rPr>
          <w:rFonts w:ascii="仿宋_GB2312" w:eastAsia="仿宋_GB2312" w:hAnsi="Calibri"/>
          <w:sz w:val="32"/>
          <w:szCs w:val="32"/>
        </w:rPr>
        <w:t>0.4</w:t>
      </w:r>
      <w:r>
        <w:rPr>
          <w:rFonts w:ascii="仿宋_GB2312" w:eastAsia="仿宋_GB2312" w:hAnsi="Calibri" w:hint="eastAsia"/>
          <w:sz w:val="32"/>
          <w:szCs w:val="32"/>
        </w:rPr>
        <w:t>个百分点；亏</w:t>
      </w:r>
      <w:r>
        <w:rPr>
          <w:rFonts w:ascii="仿宋_GB2312" w:eastAsia="仿宋_GB2312" w:hAnsi="Calibri"/>
          <w:sz w:val="32"/>
          <w:szCs w:val="32"/>
        </w:rPr>
        <w:t>损企业数</w:t>
      </w:r>
      <w:r w:rsidR="00E31F7F">
        <w:rPr>
          <w:rFonts w:ascii="仿宋_GB2312" w:eastAsia="仿宋_GB2312" w:hAnsi="Calibri"/>
          <w:sz w:val="32"/>
          <w:szCs w:val="32"/>
        </w:rPr>
        <w:t>26</w:t>
      </w:r>
      <w:r>
        <w:rPr>
          <w:rFonts w:ascii="仿宋_GB2312" w:eastAsia="仿宋_GB2312" w:hAnsi="Calibri" w:hint="eastAsia"/>
          <w:sz w:val="32"/>
          <w:szCs w:val="32"/>
        </w:rPr>
        <w:t>个</w:t>
      </w:r>
      <w:r>
        <w:rPr>
          <w:rFonts w:ascii="仿宋_GB2312" w:eastAsia="仿宋_GB2312" w:hAnsi="Calibri"/>
          <w:sz w:val="32"/>
          <w:szCs w:val="32"/>
        </w:rPr>
        <w:t>，下降</w:t>
      </w:r>
      <w:r w:rsidR="00E31F7F">
        <w:rPr>
          <w:rFonts w:ascii="仿宋_GB2312" w:eastAsia="仿宋_GB2312" w:hAnsi="Calibri"/>
          <w:sz w:val="32"/>
          <w:szCs w:val="32"/>
        </w:rPr>
        <w:t>3.7%</w:t>
      </w:r>
      <w:r>
        <w:rPr>
          <w:rFonts w:ascii="仿宋_GB2312" w:eastAsia="仿宋_GB2312" w:hAnsi="Calibri"/>
          <w:sz w:val="32"/>
          <w:szCs w:val="32"/>
        </w:rPr>
        <w:t>，</w:t>
      </w:r>
      <w:r>
        <w:rPr>
          <w:rFonts w:ascii="仿宋_GB2312" w:eastAsia="仿宋_GB2312" w:hAnsi="Calibri" w:hint="eastAsia"/>
          <w:sz w:val="32"/>
          <w:szCs w:val="32"/>
        </w:rPr>
        <w:t>亏损企业亏损额为</w:t>
      </w:r>
      <w:r w:rsidR="00E31F7F">
        <w:rPr>
          <w:rFonts w:ascii="仿宋_GB2312" w:eastAsia="仿宋_GB2312" w:hAnsi="Calibri"/>
          <w:sz w:val="32"/>
          <w:szCs w:val="32"/>
        </w:rPr>
        <w:t>2.97</w:t>
      </w:r>
      <w:r>
        <w:rPr>
          <w:rFonts w:ascii="仿宋_GB2312" w:eastAsia="仿宋_GB2312" w:hAnsi="Calibri" w:hint="eastAsia"/>
          <w:sz w:val="32"/>
          <w:szCs w:val="32"/>
        </w:rPr>
        <w:t>亿元，下降</w:t>
      </w:r>
      <w:r w:rsidR="00E31F7F">
        <w:rPr>
          <w:rFonts w:ascii="仿宋_GB2312" w:eastAsia="仿宋_GB2312" w:hAnsi="Calibri"/>
          <w:sz w:val="32"/>
          <w:szCs w:val="32"/>
        </w:rPr>
        <w:t>0.7%</w:t>
      </w:r>
      <w:r>
        <w:rPr>
          <w:rFonts w:ascii="仿宋_GB2312" w:eastAsia="仿宋_GB2312" w:hAnsi="Calibri" w:hint="eastAsia"/>
          <w:sz w:val="32"/>
          <w:szCs w:val="32"/>
        </w:rPr>
        <w:t>；工业全员劳动生产率</w:t>
      </w:r>
      <w:r w:rsidR="00E31F7F">
        <w:rPr>
          <w:rFonts w:ascii="仿宋_GB2312" w:eastAsia="仿宋_GB2312" w:hAnsi="Calibri"/>
          <w:sz w:val="32"/>
          <w:szCs w:val="32"/>
        </w:rPr>
        <w:t>22.95</w:t>
      </w:r>
      <w:r>
        <w:rPr>
          <w:rFonts w:ascii="仿宋_GB2312" w:eastAsia="仿宋_GB2312" w:hAnsi="Calibri" w:hint="eastAsia"/>
          <w:sz w:val="32"/>
          <w:szCs w:val="32"/>
        </w:rPr>
        <w:t>万元/人，增长</w:t>
      </w:r>
      <w:r w:rsidR="00E31F7F">
        <w:rPr>
          <w:rFonts w:ascii="仿宋_GB2312" w:eastAsia="仿宋_GB2312" w:hAnsi="Calibri"/>
          <w:sz w:val="32"/>
          <w:szCs w:val="32"/>
        </w:rPr>
        <w:t>8.4%</w:t>
      </w:r>
      <w:r>
        <w:rPr>
          <w:rFonts w:ascii="仿宋_GB2312" w:eastAsia="仿宋_GB2312" w:hAnsi="Calibri" w:hint="eastAsia"/>
          <w:sz w:val="32"/>
          <w:szCs w:val="32"/>
        </w:rPr>
        <w:t>。</w:t>
      </w:r>
    </w:p>
    <w:p w:rsidR="00D70C7A" w:rsidRDefault="00D70C7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年末全区资质等级以上建筑企业共有</w:t>
      </w:r>
      <w:r w:rsidR="00B541A0">
        <w:rPr>
          <w:rFonts w:ascii="仿宋_GB2312" w:eastAsia="仿宋_GB2312" w:hAnsi="Calibri"/>
          <w:sz w:val="32"/>
          <w:szCs w:val="32"/>
        </w:rPr>
        <w:t>383</w:t>
      </w:r>
      <w:r w:rsidR="00430616">
        <w:rPr>
          <w:rFonts w:ascii="仿宋_GB2312" w:eastAsia="仿宋_GB2312" w:hAnsi="Calibri" w:hint="eastAsia"/>
          <w:sz w:val="32"/>
          <w:szCs w:val="32"/>
        </w:rPr>
        <w:t>家</w:t>
      </w:r>
      <w:r>
        <w:rPr>
          <w:rFonts w:ascii="仿宋_GB2312" w:eastAsia="仿宋_GB2312" w:hAnsi="Calibri" w:hint="eastAsia"/>
          <w:sz w:val="32"/>
          <w:szCs w:val="32"/>
        </w:rPr>
        <w:t>，</w:t>
      </w:r>
      <w:r w:rsidR="00430616">
        <w:rPr>
          <w:rFonts w:ascii="仿宋_GB2312" w:eastAsia="仿宋_GB2312" w:hAnsi="Calibri" w:hint="eastAsia"/>
          <w:sz w:val="32"/>
          <w:szCs w:val="32"/>
        </w:rPr>
        <w:t>比上年减少</w:t>
      </w:r>
      <w:r w:rsidR="00872CF5">
        <w:rPr>
          <w:rFonts w:ascii="仿宋_GB2312" w:eastAsia="仿宋_GB2312" w:hAnsi="Calibri" w:hint="eastAsia"/>
          <w:sz w:val="32"/>
          <w:szCs w:val="32"/>
        </w:rPr>
        <w:t>6.6</w:t>
      </w:r>
      <w:r w:rsidR="00872CF5">
        <w:rPr>
          <w:rFonts w:ascii="仿宋_GB2312" w:eastAsia="仿宋_GB2312" w:hAnsi="Calibri"/>
          <w:sz w:val="32"/>
          <w:szCs w:val="32"/>
        </w:rPr>
        <w:t>%</w:t>
      </w:r>
      <w:r w:rsidR="0049781A">
        <w:rPr>
          <w:rFonts w:ascii="仿宋_GB2312" w:eastAsia="仿宋_GB2312" w:hAnsi="Calibri"/>
          <w:sz w:val="32"/>
          <w:szCs w:val="32"/>
        </w:rPr>
        <w:t xml:space="preserve"> </w:t>
      </w:r>
      <w:r>
        <w:rPr>
          <w:rFonts w:ascii="仿宋_GB2312" w:eastAsia="仿宋_GB2312" w:hAnsi="Calibri" w:hint="eastAsia"/>
          <w:sz w:val="32"/>
          <w:szCs w:val="32"/>
        </w:rPr>
        <w:t>。全年</w:t>
      </w:r>
      <w:r>
        <w:rPr>
          <w:rFonts w:ascii="仿宋_GB2312" w:eastAsia="仿宋_GB2312" w:hAnsi="Calibri"/>
          <w:sz w:val="32"/>
          <w:szCs w:val="32"/>
        </w:rPr>
        <w:t>全区</w:t>
      </w:r>
      <w:r>
        <w:rPr>
          <w:rFonts w:ascii="仿宋_GB2312" w:eastAsia="仿宋_GB2312" w:hAnsi="Calibri" w:hint="eastAsia"/>
          <w:sz w:val="32"/>
          <w:szCs w:val="32"/>
        </w:rPr>
        <w:t>建筑业实现增加值</w:t>
      </w:r>
      <w:r w:rsidR="00ED5BD7">
        <w:rPr>
          <w:rFonts w:ascii="仿宋_GB2312" w:eastAsia="仿宋_GB2312" w:hAnsi="Calibri" w:hint="eastAsia"/>
          <w:sz w:val="32"/>
          <w:szCs w:val="32"/>
        </w:rPr>
        <w:t>33.82</w:t>
      </w:r>
      <w:r>
        <w:rPr>
          <w:rFonts w:ascii="仿宋_GB2312" w:eastAsia="仿宋_GB2312" w:hAnsi="Calibri" w:hint="eastAsia"/>
          <w:sz w:val="32"/>
          <w:szCs w:val="32"/>
        </w:rPr>
        <w:t>亿元，增长</w:t>
      </w:r>
      <w:r w:rsidR="00ED5BD7">
        <w:rPr>
          <w:rFonts w:ascii="仿宋_GB2312" w:eastAsia="仿宋_GB2312" w:hAnsi="Calibri" w:hint="eastAsia"/>
          <w:sz w:val="32"/>
          <w:szCs w:val="32"/>
        </w:rPr>
        <w:t>2.8%</w:t>
      </w:r>
      <w:r>
        <w:rPr>
          <w:rFonts w:ascii="仿宋_GB2312" w:eastAsia="仿宋_GB2312" w:hAnsi="Calibri" w:hint="eastAsia"/>
          <w:sz w:val="32"/>
          <w:szCs w:val="32"/>
        </w:rPr>
        <w:t>，占地区生产总值的比重为</w:t>
      </w:r>
      <w:r w:rsidR="00ED5BD7">
        <w:rPr>
          <w:rFonts w:ascii="仿宋_GB2312" w:eastAsia="仿宋_GB2312" w:hAnsi="Calibri" w:hint="eastAsia"/>
          <w:sz w:val="32"/>
          <w:szCs w:val="32"/>
        </w:rPr>
        <w:t>1.1%</w:t>
      </w:r>
      <w:r>
        <w:rPr>
          <w:rFonts w:ascii="仿宋_GB2312" w:eastAsia="仿宋_GB2312" w:hAnsi="Calibri" w:hint="eastAsia"/>
          <w:sz w:val="32"/>
          <w:szCs w:val="32"/>
        </w:rPr>
        <w:t>。</w:t>
      </w:r>
    </w:p>
    <w:p w:rsidR="00D70C7A" w:rsidRPr="000C0616" w:rsidRDefault="00D70C7A" w:rsidP="006E5F0E">
      <w:pPr>
        <w:jc w:val="center"/>
        <w:rPr>
          <w:rFonts w:ascii="黑体" w:eastAsia="黑体" w:hAnsi="黑体"/>
          <w:sz w:val="32"/>
          <w:szCs w:val="32"/>
        </w:rPr>
      </w:pPr>
      <w:r w:rsidRPr="000C0616">
        <w:rPr>
          <w:rFonts w:ascii="黑体" w:eastAsia="黑体" w:hAnsi="黑体" w:hint="eastAsia"/>
          <w:sz w:val="32"/>
          <w:szCs w:val="32"/>
        </w:rPr>
        <w:t>四、固定资产投资和房地产开发</w:t>
      </w:r>
    </w:p>
    <w:p w:rsidR="00D70C7A" w:rsidRDefault="001F65F4" w:rsidP="00D70C7A">
      <w:pPr>
        <w:ind w:firstLineChars="200" w:firstLine="640"/>
        <w:rPr>
          <w:rFonts w:ascii="仿宋_GB2312" w:eastAsia="仿宋_GB2312" w:hAnsi="Calibri"/>
          <w:sz w:val="32"/>
          <w:szCs w:val="32"/>
        </w:rPr>
      </w:pPr>
      <w:r>
        <w:rPr>
          <w:rFonts w:ascii="仿宋_GB2312" w:eastAsia="仿宋_GB2312" w:hAnsi="Calibri"/>
          <w:sz w:val="32"/>
          <w:szCs w:val="32"/>
        </w:rPr>
        <w:t>全</w:t>
      </w:r>
      <w:r>
        <w:rPr>
          <w:rFonts w:ascii="仿宋_GB2312" w:eastAsia="仿宋_GB2312" w:hAnsi="Calibri" w:hint="eastAsia"/>
          <w:sz w:val="32"/>
          <w:szCs w:val="32"/>
        </w:rPr>
        <w:t>年</w:t>
      </w:r>
      <w:r w:rsidR="00D70C7A">
        <w:rPr>
          <w:rFonts w:ascii="仿宋_GB2312" w:eastAsia="仿宋_GB2312" w:hAnsi="Calibri" w:hint="eastAsia"/>
          <w:sz w:val="32"/>
          <w:szCs w:val="32"/>
        </w:rPr>
        <w:t>完成固定资产投资额</w:t>
      </w:r>
      <w:r>
        <w:rPr>
          <w:rFonts w:ascii="仿宋_GB2312" w:eastAsia="仿宋_GB2312" w:hAnsi="Calibri"/>
          <w:sz w:val="32"/>
          <w:szCs w:val="32"/>
        </w:rPr>
        <w:t>181.18</w:t>
      </w:r>
      <w:r w:rsidR="00D70C7A">
        <w:rPr>
          <w:rFonts w:ascii="仿宋_GB2312" w:eastAsia="仿宋_GB2312" w:hAnsi="Calibri" w:hint="eastAsia"/>
          <w:sz w:val="32"/>
          <w:szCs w:val="32"/>
        </w:rPr>
        <w:t>亿元，比上年增长</w:t>
      </w:r>
      <w:r>
        <w:rPr>
          <w:rFonts w:ascii="仿宋_GB2312" w:eastAsia="仿宋_GB2312" w:hAnsi="Calibri"/>
          <w:sz w:val="32"/>
          <w:szCs w:val="32"/>
        </w:rPr>
        <w:t>14.2%</w:t>
      </w:r>
      <w:r w:rsidR="00D70C7A">
        <w:rPr>
          <w:rFonts w:ascii="仿宋_GB2312" w:eastAsia="仿宋_GB2312" w:hAnsi="Calibri" w:hint="eastAsia"/>
          <w:sz w:val="32"/>
          <w:szCs w:val="32"/>
        </w:rPr>
        <w:t>。其中房地产开发项目投资</w:t>
      </w:r>
      <w:r>
        <w:rPr>
          <w:rFonts w:ascii="仿宋_GB2312" w:eastAsia="仿宋_GB2312" w:hAnsi="Calibri"/>
          <w:sz w:val="32"/>
          <w:szCs w:val="32"/>
        </w:rPr>
        <w:t>124.60</w:t>
      </w:r>
      <w:r w:rsidR="00D70C7A">
        <w:rPr>
          <w:rFonts w:ascii="仿宋_GB2312" w:eastAsia="仿宋_GB2312" w:hAnsi="Calibri" w:hint="eastAsia"/>
          <w:sz w:val="32"/>
          <w:szCs w:val="32"/>
        </w:rPr>
        <w:t>亿元，增长</w:t>
      </w:r>
      <w:r>
        <w:rPr>
          <w:rFonts w:ascii="仿宋_GB2312" w:eastAsia="仿宋_GB2312" w:hAnsi="Calibri"/>
          <w:sz w:val="32"/>
          <w:szCs w:val="32"/>
        </w:rPr>
        <w:t>8.9%</w:t>
      </w:r>
      <w:r w:rsidR="00D70C7A">
        <w:rPr>
          <w:rFonts w:ascii="仿宋_GB2312" w:eastAsia="仿宋_GB2312" w:hAnsi="Calibri" w:hint="eastAsia"/>
          <w:sz w:val="32"/>
          <w:szCs w:val="32"/>
        </w:rPr>
        <w:t>，</w:t>
      </w:r>
      <w:r w:rsidR="00D70C7A">
        <w:rPr>
          <w:rFonts w:ascii="仿宋_GB2312" w:eastAsia="仿宋_GB2312" w:hAnsi="Calibri"/>
          <w:sz w:val="32"/>
          <w:szCs w:val="32"/>
        </w:rPr>
        <w:t>占固定资产投资总额的</w:t>
      </w:r>
      <w:r w:rsidR="00284362">
        <w:rPr>
          <w:rFonts w:ascii="仿宋_GB2312" w:eastAsia="仿宋_GB2312" w:hAnsi="Calibri"/>
          <w:sz w:val="32"/>
          <w:szCs w:val="32"/>
        </w:rPr>
        <w:t>68.8%</w:t>
      </w:r>
      <w:r w:rsidR="00D70C7A">
        <w:rPr>
          <w:rFonts w:ascii="仿宋_GB2312" w:eastAsia="仿宋_GB2312" w:hAnsi="Calibri" w:hint="eastAsia"/>
          <w:sz w:val="32"/>
          <w:szCs w:val="32"/>
        </w:rPr>
        <w:t>；非房地产开发项目投资</w:t>
      </w:r>
      <w:r>
        <w:rPr>
          <w:rFonts w:ascii="仿宋_GB2312" w:eastAsia="仿宋_GB2312" w:hAnsi="Calibri"/>
          <w:sz w:val="32"/>
          <w:szCs w:val="32"/>
        </w:rPr>
        <w:t>56.58</w:t>
      </w:r>
      <w:r w:rsidR="00D70C7A">
        <w:rPr>
          <w:rFonts w:ascii="仿宋_GB2312" w:eastAsia="仿宋_GB2312" w:hAnsi="Calibri" w:hint="eastAsia"/>
          <w:sz w:val="32"/>
          <w:szCs w:val="32"/>
        </w:rPr>
        <w:t>亿元，</w:t>
      </w:r>
      <w:r w:rsidR="00736589">
        <w:rPr>
          <w:rFonts w:ascii="仿宋_GB2312" w:eastAsia="仿宋_GB2312" w:hAnsi="Calibri" w:hint="eastAsia"/>
          <w:sz w:val="32"/>
          <w:szCs w:val="32"/>
        </w:rPr>
        <w:t>增长</w:t>
      </w:r>
      <w:r>
        <w:rPr>
          <w:rFonts w:ascii="仿宋_GB2312" w:eastAsia="仿宋_GB2312" w:hAnsi="Calibri" w:hint="eastAsia"/>
          <w:sz w:val="32"/>
          <w:szCs w:val="32"/>
        </w:rPr>
        <w:t>27.7</w:t>
      </w:r>
      <w:r>
        <w:rPr>
          <w:rFonts w:ascii="仿宋_GB2312" w:eastAsia="仿宋_GB2312" w:hAnsi="Calibri"/>
          <w:sz w:val="32"/>
          <w:szCs w:val="32"/>
        </w:rPr>
        <w:t>%</w:t>
      </w:r>
      <w:r w:rsidR="00D70C7A">
        <w:rPr>
          <w:rFonts w:ascii="仿宋_GB2312" w:eastAsia="仿宋_GB2312" w:hAnsi="Calibri" w:hint="eastAsia"/>
          <w:sz w:val="32"/>
          <w:szCs w:val="32"/>
        </w:rPr>
        <w:t>。全年新增固定资产</w:t>
      </w:r>
      <w:r>
        <w:rPr>
          <w:rFonts w:ascii="仿宋_GB2312" w:eastAsia="仿宋_GB2312" w:hAnsi="Calibri"/>
          <w:sz w:val="32"/>
          <w:szCs w:val="32"/>
        </w:rPr>
        <w:t>57.28</w:t>
      </w:r>
      <w:r>
        <w:rPr>
          <w:rFonts w:ascii="仿宋_GB2312" w:eastAsia="仿宋_GB2312" w:hAnsi="Calibri" w:hint="eastAsia"/>
          <w:sz w:val="32"/>
          <w:szCs w:val="32"/>
        </w:rPr>
        <w:t>亿元，下降56.2</w:t>
      </w:r>
      <w:r>
        <w:rPr>
          <w:rFonts w:ascii="仿宋_GB2312" w:eastAsia="仿宋_GB2312" w:hAnsi="Calibri"/>
          <w:sz w:val="32"/>
          <w:szCs w:val="32"/>
        </w:rPr>
        <w:t>%</w:t>
      </w:r>
      <w:r w:rsidR="00D70C7A">
        <w:rPr>
          <w:rFonts w:ascii="仿宋_GB2312" w:eastAsia="仿宋_GB2312" w:hAnsi="Calibri" w:hint="eastAsia"/>
          <w:sz w:val="32"/>
          <w:szCs w:val="32"/>
        </w:rPr>
        <w:t>。</w:t>
      </w:r>
    </w:p>
    <w:p w:rsidR="00D70C7A" w:rsidRDefault="00D70C7A" w:rsidP="00D70C7A">
      <w:pPr>
        <w:ind w:firstLineChars="200" w:firstLine="640"/>
        <w:rPr>
          <w:rFonts w:ascii="仿宋_GB2312" w:eastAsia="仿宋_GB2312" w:hAnsi="Calibri"/>
          <w:sz w:val="32"/>
          <w:szCs w:val="32"/>
        </w:rPr>
      </w:pPr>
      <w:r w:rsidRPr="004D408B">
        <w:rPr>
          <w:rFonts w:ascii="仿宋_GB2312" w:eastAsia="仿宋_GB2312" w:hAnsi="Calibri" w:hint="eastAsia"/>
          <w:sz w:val="32"/>
          <w:szCs w:val="32"/>
        </w:rPr>
        <w:t>分</w:t>
      </w:r>
      <w:r w:rsidRPr="004D408B">
        <w:rPr>
          <w:rFonts w:ascii="仿宋_GB2312" w:eastAsia="仿宋_GB2312" w:hAnsi="Calibri"/>
          <w:sz w:val="32"/>
          <w:szCs w:val="32"/>
        </w:rPr>
        <w:t>产业看，第二产业</w:t>
      </w:r>
      <w:r w:rsidRPr="004D408B">
        <w:rPr>
          <w:rFonts w:ascii="仿宋_GB2312" w:eastAsia="仿宋_GB2312" w:hAnsi="Calibri" w:hint="eastAsia"/>
          <w:sz w:val="32"/>
          <w:szCs w:val="32"/>
        </w:rPr>
        <w:t>完成</w:t>
      </w:r>
      <w:r w:rsidRPr="004D408B">
        <w:rPr>
          <w:rFonts w:ascii="仿宋_GB2312" w:eastAsia="仿宋_GB2312" w:hAnsi="Calibri"/>
          <w:sz w:val="32"/>
          <w:szCs w:val="32"/>
        </w:rPr>
        <w:t>固定资产投资</w:t>
      </w:r>
      <w:r w:rsidRPr="004D408B">
        <w:rPr>
          <w:rFonts w:ascii="仿宋_GB2312" w:eastAsia="仿宋_GB2312" w:hAnsi="Calibri" w:hint="eastAsia"/>
          <w:sz w:val="32"/>
          <w:szCs w:val="32"/>
        </w:rPr>
        <w:t>额</w:t>
      </w:r>
      <w:r w:rsidR="00CD0D22" w:rsidRPr="004D408B">
        <w:rPr>
          <w:rFonts w:ascii="仿宋_GB2312" w:eastAsia="仿宋_GB2312" w:hAnsi="Calibri" w:hint="eastAsia"/>
          <w:sz w:val="32"/>
          <w:szCs w:val="32"/>
        </w:rPr>
        <w:t>0.72</w:t>
      </w:r>
      <w:r w:rsidRPr="004D408B">
        <w:rPr>
          <w:rFonts w:ascii="仿宋_GB2312" w:eastAsia="仿宋_GB2312" w:hAnsi="Calibri"/>
          <w:sz w:val="32"/>
          <w:szCs w:val="32"/>
        </w:rPr>
        <w:t>亿元，</w:t>
      </w:r>
      <w:r w:rsidR="00D334B8" w:rsidRPr="004D408B">
        <w:rPr>
          <w:rFonts w:ascii="仿宋_GB2312" w:eastAsia="仿宋_GB2312" w:hAnsi="Calibri"/>
          <w:sz w:val="32"/>
          <w:szCs w:val="32"/>
        </w:rPr>
        <w:t>占全区固定资产投资总额</w:t>
      </w:r>
      <w:r w:rsidR="00D334B8" w:rsidRPr="004D408B">
        <w:rPr>
          <w:rFonts w:ascii="仿宋_GB2312" w:eastAsia="仿宋_GB2312" w:hAnsi="Calibri" w:hint="eastAsia"/>
          <w:sz w:val="32"/>
          <w:szCs w:val="32"/>
        </w:rPr>
        <w:t>的0.4%</w:t>
      </w:r>
      <w:r w:rsidRPr="004D408B">
        <w:rPr>
          <w:rFonts w:ascii="仿宋_GB2312" w:eastAsia="仿宋_GB2312" w:hAnsi="Calibri"/>
          <w:sz w:val="32"/>
          <w:szCs w:val="32"/>
        </w:rPr>
        <w:t>；第三产业投资</w:t>
      </w:r>
      <w:r w:rsidR="00CD0D22" w:rsidRPr="004D408B">
        <w:rPr>
          <w:rFonts w:ascii="仿宋_GB2312" w:eastAsia="仿宋_GB2312" w:hAnsi="Calibri" w:hint="eastAsia"/>
          <w:sz w:val="32"/>
          <w:szCs w:val="32"/>
        </w:rPr>
        <w:t>180.46</w:t>
      </w:r>
      <w:r w:rsidRPr="004D408B">
        <w:rPr>
          <w:rFonts w:ascii="仿宋_GB2312" w:eastAsia="仿宋_GB2312" w:hAnsi="Calibri"/>
          <w:sz w:val="32"/>
          <w:szCs w:val="32"/>
        </w:rPr>
        <w:t>亿元，占全区固定资产投资总额的</w:t>
      </w:r>
      <w:r w:rsidR="00CD0D22" w:rsidRPr="004D408B">
        <w:rPr>
          <w:rFonts w:ascii="仿宋_GB2312" w:eastAsia="仿宋_GB2312" w:hAnsi="Calibri" w:hint="eastAsia"/>
          <w:sz w:val="32"/>
          <w:szCs w:val="32"/>
        </w:rPr>
        <w:t>99.6%</w:t>
      </w:r>
      <w:r w:rsidRPr="004D408B">
        <w:rPr>
          <w:rFonts w:ascii="仿宋_GB2312" w:eastAsia="仿宋_GB2312" w:hAnsi="Calibri"/>
          <w:sz w:val="32"/>
          <w:szCs w:val="32"/>
        </w:rPr>
        <w:t>。</w:t>
      </w:r>
    </w:p>
    <w:p w:rsidR="0072481C" w:rsidRDefault="0072481C" w:rsidP="0072481C">
      <w:pPr>
        <w:rPr>
          <w:rFonts w:ascii="仿宋_GB2312" w:eastAsia="仿宋_GB2312" w:hAnsi="Calibri"/>
          <w:sz w:val="32"/>
          <w:szCs w:val="32"/>
        </w:rPr>
      </w:pPr>
      <w:r>
        <w:rPr>
          <w:rFonts w:ascii="仿宋_GB2312" w:eastAsia="仿宋_GB2312" w:hAnsi="Calibri" w:hint="eastAsia"/>
          <w:noProof/>
          <w:sz w:val="32"/>
          <w:szCs w:val="32"/>
        </w:rPr>
        <w:lastRenderedPageBreak/>
        <w:drawing>
          <wp:inline distT="0" distB="0" distL="0" distR="0" wp14:anchorId="2BE32D3C" wp14:editId="454B0F71">
            <wp:extent cx="5705475" cy="2552700"/>
            <wp:effectExtent l="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481C" w:rsidRPr="00DE6A77" w:rsidRDefault="0072481C" w:rsidP="0072481C">
      <w:pPr>
        <w:jc w:val="center"/>
        <w:rPr>
          <w:rFonts w:ascii="宋体" w:hAnsi="宋体"/>
          <w:sz w:val="28"/>
          <w:szCs w:val="28"/>
        </w:rPr>
      </w:pPr>
      <w:r w:rsidRPr="00DE6A77">
        <w:rPr>
          <w:rFonts w:ascii="宋体" w:hAnsi="宋体" w:hint="eastAsia"/>
          <w:sz w:val="28"/>
          <w:szCs w:val="28"/>
        </w:rPr>
        <w:t>图</w:t>
      </w:r>
      <w:r>
        <w:rPr>
          <w:rFonts w:ascii="宋体" w:hAnsi="宋体" w:hint="eastAsia"/>
          <w:sz w:val="28"/>
          <w:szCs w:val="28"/>
        </w:rPr>
        <w:t>6</w:t>
      </w:r>
      <w:r w:rsidRPr="00DE6A77">
        <w:rPr>
          <w:rFonts w:ascii="宋体" w:hAnsi="宋体" w:hint="eastAsia"/>
          <w:sz w:val="28"/>
          <w:szCs w:val="28"/>
        </w:rPr>
        <w:t xml:space="preserve">  </w:t>
      </w:r>
      <w:r>
        <w:rPr>
          <w:rFonts w:ascii="宋体" w:hAnsi="宋体"/>
          <w:sz w:val="28"/>
          <w:szCs w:val="28"/>
        </w:rPr>
        <w:t>2014</w:t>
      </w:r>
      <w:r>
        <w:rPr>
          <w:rFonts w:ascii="宋体" w:hAnsi="宋体" w:hint="eastAsia"/>
          <w:sz w:val="28"/>
          <w:szCs w:val="28"/>
        </w:rPr>
        <w:t>年固定资产投资</w:t>
      </w:r>
      <w:r w:rsidRPr="00DE6A77">
        <w:rPr>
          <w:rFonts w:ascii="宋体" w:hAnsi="宋体" w:hint="eastAsia"/>
          <w:sz w:val="28"/>
          <w:szCs w:val="28"/>
        </w:rPr>
        <w:t>额分</w:t>
      </w:r>
      <w:r>
        <w:rPr>
          <w:rFonts w:ascii="宋体" w:hAnsi="宋体" w:hint="eastAsia"/>
          <w:sz w:val="28"/>
          <w:szCs w:val="28"/>
        </w:rPr>
        <w:t>月</w:t>
      </w:r>
      <w:r w:rsidRPr="00DE6A77">
        <w:rPr>
          <w:rFonts w:ascii="宋体" w:hAnsi="宋体" w:hint="eastAsia"/>
          <w:sz w:val="28"/>
          <w:szCs w:val="28"/>
        </w:rPr>
        <w:t>累计增长速度</w:t>
      </w:r>
    </w:p>
    <w:p w:rsidR="00E03A3A" w:rsidRDefault="00D70C7A" w:rsidP="008D05AF">
      <w:pPr>
        <w:ind w:firstLineChars="200" w:firstLine="640"/>
        <w:rPr>
          <w:rFonts w:ascii="仿宋_GB2312" w:eastAsia="仿宋_GB2312" w:hAnsi="Calibri"/>
          <w:sz w:val="32"/>
          <w:szCs w:val="32"/>
        </w:rPr>
      </w:pPr>
      <w:r>
        <w:rPr>
          <w:rFonts w:ascii="仿宋_GB2312" w:eastAsia="仿宋_GB2312" w:hAnsi="Calibri"/>
          <w:sz w:val="32"/>
          <w:szCs w:val="32"/>
        </w:rPr>
        <w:t>全区</w:t>
      </w:r>
      <w:r>
        <w:rPr>
          <w:rFonts w:ascii="仿宋_GB2312" w:eastAsia="仿宋_GB2312" w:hAnsi="Calibri" w:hint="eastAsia"/>
          <w:sz w:val="32"/>
          <w:szCs w:val="32"/>
        </w:rPr>
        <w:t>商品房施工面积</w:t>
      </w:r>
      <w:r w:rsidR="006E3D28">
        <w:rPr>
          <w:rFonts w:ascii="仿宋_GB2312" w:eastAsia="仿宋_GB2312" w:hAnsi="Calibri" w:hint="eastAsia"/>
          <w:sz w:val="32"/>
          <w:szCs w:val="32"/>
        </w:rPr>
        <w:t>522.37</w:t>
      </w:r>
      <w:r>
        <w:rPr>
          <w:rFonts w:ascii="仿宋_GB2312" w:eastAsia="仿宋_GB2312" w:hAnsi="Calibri" w:hint="eastAsia"/>
          <w:sz w:val="32"/>
          <w:szCs w:val="32"/>
        </w:rPr>
        <w:t>万平方米，增长</w:t>
      </w:r>
      <w:r w:rsidR="006E3D28">
        <w:rPr>
          <w:rFonts w:ascii="仿宋_GB2312" w:eastAsia="仿宋_GB2312" w:hAnsi="Calibri" w:hint="eastAsia"/>
          <w:sz w:val="32"/>
          <w:szCs w:val="32"/>
        </w:rPr>
        <w:t>29.2</w:t>
      </w:r>
      <w:r w:rsidR="007F7C14">
        <w:rPr>
          <w:rFonts w:ascii="仿宋_GB2312" w:eastAsia="仿宋_GB2312" w:hAnsi="Calibri" w:hint="eastAsia"/>
          <w:sz w:val="32"/>
          <w:szCs w:val="32"/>
        </w:rPr>
        <w:t>%</w:t>
      </w:r>
      <w:r>
        <w:rPr>
          <w:rFonts w:ascii="仿宋_GB2312" w:eastAsia="仿宋_GB2312" w:hAnsi="Calibri" w:hint="eastAsia"/>
          <w:sz w:val="32"/>
          <w:szCs w:val="32"/>
        </w:rPr>
        <w:t>。其中住宅</w:t>
      </w:r>
      <w:r w:rsidR="003C0C6E">
        <w:rPr>
          <w:rFonts w:ascii="仿宋_GB2312" w:eastAsia="仿宋_GB2312" w:hAnsi="Calibri" w:hint="eastAsia"/>
          <w:sz w:val="32"/>
          <w:szCs w:val="32"/>
        </w:rPr>
        <w:t>233.80万</w:t>
      </w:r>
      <w:r>
        <w:rPr>
          <w:rFonts w:ascii="仿宋_GB2312" w:eastAsia="仿宋_GB2312" w:hAnsi="Calibri" w:hint="eastAsia"/>
          <w:sz w:val="32"/>
          <w:szCs w:val="32"/>
        </w:rPr>
        <w:t>平方米，增长</w:t>
      </w:r>
      <w:r w:rsidR="003C0C6E">
        <w:rPr>
          <w:rFonts w:ascii="仿宋_GB2312" w:eastAsia="仿宋_GB2312" w:hAnsi="Calibri" w:hint="eastAsia"/>
          <w:sz w:val="32"/>
          <w:szCs w:val="32"/>
        </w:rPr>
        <w:t>34.6%</w:t>
      </w:r>
      <w:r>
        <w:rPr>
          <w:rFonts w:ascii="仿宋_GB2312" w:eastAsia="仿宋_GB2312" w:hAnsi="Calibri" w:hint="eastAsia"/>
          <w:sz w:val="32"/>
          <w:szCs w:val="32"/>
        </w:rPr>
        <w:t>；写字楼</w:t>
      </w:r>
      <w:r w:rsidR="003275A3">
        <w:rPr>
          <w:rFonts w:ascii="仿宋_GB2312" w:eastAsia="仿宋_GB2312" w:hAnsi="Calibri" w:hint="eastAsia"/>
          <w:sz w:val="32"/>
          <w:szCs w:val="32"/>
        </w:rPr>
        <w:t>114.87</w:t>
      </w:r>
      <w:r>
        <w:rPr>
          <w:rFonts w:ascii="仿宋_GB2312" w:eastAsia="仿宋_GB2312" w:hAnsi="Calibri" w:hint="eastAsia"/>
          <w:sz w:val="32"/>
          <w:szCs w:val="32"/>
        </w:rPr>
        <w:t>万平方米，增长</w:t>
      </w:r>
      <w:r w:rsidR="003275A3">
        <w:rPr>
          <w:rFonts w:ascii="仿宋_GB2312" w:eastAsia="仿宋_GB2312" w:hAnsi="Calibri" w:hint="eastAsia"/>
          <w:sz w:val="32"/>
          <w:szCs w:val="32"/>
        </w:rPr>
        <w:t>26.6%</w:t>
      </w:r>
      <w:r>
        <w:rPr>
          <w:rFonts w:ascii="仿宋_GB2312" w:eastAsia="仿宋_GB2312" w:hAnsi="Calibri" w:hint="eastAsia"/>
          <w:sz w:val="32"/>
          <w:szCs w:val="32"/>
        </w:rPr>
        <w:t>。全年商品房销售面积（含预售）</w:t>
      </w:r>
      <w:r w:rsidR="004004BA">
        <w:rPr>
          <w:rFonts w:ascii="仿宋_GB2312" w:eastAsia="仿宋_GB2312" w:hAnsi="Calibri" w:hint="eastAsia"/>
          <w:sz w:val="32"/>
          <w:szCs w:val="32"/>
        </w:rPr>
        <w:t>39.06</w:t>
      </w:r>
      <w:r>
        <w:rPr>
          <w:rFonts w:ascii="仿宋_GB2312" w:eastAsia="仿宋_GB2312" w:hAnsi="Calibri" w:hint="eastAsia"/>
          <w:sz w:val="32"/>
          <w:szCs w:val="32"/>
        </w:rPr>
        <w:t>万平方米，</w:t>
      </w:r>
      <w:r w:rsidR="004004BA">
        <w:rPr>
          <w:rFonts w:ascii="仿宋_GB2312" w:eastAsia="仿宋_GB2312" w:hAnsi="Calibri" w:hint="eastAsia"/>
          <w:sz w:val="32"/>
          <w:szCs w:val="32"/>
        </w:rPr>
        <w:t>下降36.2%</w:t>
      </w:r>
      <w:r>
        <w:rPr>
          <w:rFonts w:ascii="仿宋_GB2312" w:eastAsia="仿宋_GB2312" w:hAnsi="Calibri" w:hint="eastAsia"/>
          <w:sz w:val="32"/>
          <w:szCs w:val="32"/>
        </w:rPr>
        <w:t>。其中住宅</w:t>
      </w:r>
      <w:r w:rsidR="006B5327">
        <w:rPr>
          <w:rFonts w:ascii="仿宋_GB2312" w:eastAsia="仿宋_GB2312" w:hAnsi="Calibri" w:hint="eastAsia"/>
          <w:sz w:val="32"/>
          <w:szCs w:val="32"/>
        </w:rPr>
        <w:t>19.52</w:t>
      </w:r>
      <w:r>
        <w:rPr>
          <w:rFonts w:ascii="仿宋_GB2312" w:eastAsia="仿宋_GB2312" w:hAnsi="Calibri" w:hint="eastAsia"/>
          <w:sz w:val="32"/>
          <w:szCs w:val="32"/>
        </w:rPr>
        <w:t>万</w:t>
      </w:r>
      <w:r>
        <w:rPr>
          <w:rFonts w:ascii="仿宋_GB2312" w:eastAsia="仿宋_GB2312" w:hAnsi="Calibri"/>
          <w:sz w:val="32"/>
          <w:szCs w:val="32"/>
        </w:rPr>
        <w:t>平方米，</w:t>
      </w:r>
      <w:r w:rsidR="006B5327">
        <w:rPr>
          <w:rFonts w:ascii="仿宋_GB2312" w:eastAsia="仿宋_GB2312" w:hAnsi="Calibri" w:hint="eastAsia"/>
          <w:sz w:val="32"/>
          <w:szCs w:val="32"/>
        </w:rPr>
        <w:t>下降46.1%</w:t>
      </w:r>
      <w:r>
        <w:rPr>
          <w:rFonts w:ascii="仿宋_GB2312" w:eastAsia="仿宋_GB2312" w:hAnsi="Calibri"/>
          <w:sz w:val="32"/>
          <w:szCs w:val="32"/>
        </w:rPr>
        <w:t>；写字楼</w:t>
      </w:r>
      <w:r w:rsidR="006B5327">
        <w:rPr>
          <w:rFonts w:ascii="仿宋_GB2312" w:eastAsia="仿宋_GB2312" w:hAnsi="Calibri" w:hint="eastAsia"/>
          <w:sz w:val="32"/>
          <w:szCs w:val="32"/>
        </w:rPr>
        <w:t>9.69</w:t>
      </w:r>
      <w:r>
        <w:rPr>
          <w:rFonts w:ascii="仿宋_GB2312" w:eastAsia="仿宋_GB2312" w:hAnsi="Calibri" w:hint="eastAsia"/>
          <w:sz w:val="32"/>
          <w:szCs w:val="32"/>
        </w:rPr>
        <w:t>万</w:t>
      </w:r>
      <w:r w:rsidR="006B5327">
        <w:rPr>
          <w:rFonts w:ascii="仿宋_GB2312" w:eastAsia="仿宋_GB2312" w:hAnsi="Calibri"/>
          <w:sz w:val="32"/>
          <w:szCs w:val="32"/>
        </w:rPr>
        <w:t>平方米，</w:t>
      </w:r>
      <w:r w:rsidR="006B5327">
        <w:rPr>
          <w:rFonts w:ascii="仿宋_GB2312" w:eastAsia="仿宋_GB2312" w:hAnsi="Calibri" w:hint="eastAsia"/>
          <w:sz w:val="32"/>
          <w:szCs w:val="32"/>
        </w:rPr>
        <w:t>下降29.3%</w:t>
      </w:r>
      <w:r>
        <w:rPr>
          <w:rFonts w:ascii="仿宋_GB2312" w:eastAsia="仿宋_GB2312" w:hAnsi="Calibri"/>
          <w:sz w:val="32"/>
          <w:szCs w:val="32"/>
        </w:rPr>
        <w:t>。</w:t>
      </w:r>
      <w:r>
        <w:rPr>
          <w:rFonts w:ascii="仿宋_GB2312" w:eastAsia="仿宋_GB2312" w:hAnsi="Calibri" w:hint="eastAsia"/>
          <w:sz w:val="32"/>
          <w:szCs w:val="32"/>
        </w:rPr>
        <w:t>年末商品房空置面积</w:t>
      </w:r>
      <w:r w:rsidR="007F7C14">
        <w:rPr>
          <w:rFonts w:ascii="仿宋_GB2312" w:eastAsia="仿宋_GB2312" w:hAnsi="Calibri" w:hint="eastAsia"/>
          <w:sz w:val="32"/>
          <w:szCs w:val="32"/>
        </w:rPr>
        <w:t>18.49</w:t>
      </w:r>
      <w:r w:rsidR="00513660">
        <w:rPr>
          <w:rFonts w:ascii="仿宋_GB2312" w:eastAsia="仿宋_GB2312" w:hAnsi="Calibri" w:hint="eastAsia"/>
          <w:sz w:val="32"/>
          <w:szCs w:val="32"/>
        </w:rPr>
        <w:t>万平方米，</w:t>
      </w:r>
      <w:r w:rsidR="007F7C14">
        <w:rPr>
          <w:rFonts w:ascii="仿宋_GB2312" w:eastAsia="仿宋_GB2312" w:hAnsi="Calibri" w:hint="eastAsia"/>
          <w:sz w:val="32"/>
          <w:szCs w:val="32"/>
        </w:rPr>
        <w:t>下降46.7%</w:t>
      </w:r>
      <w:r>
        <w:rPr>
          <w:rFonts w:ascii="仿宋_GB2312" w:eastAsia="仿宋_GB2312" w:hAnsi="Calibri" w:hint="eastAsia"/>
          <w:sz w:val="32"/>
          <w:szCs w:val="32"/>
        </w:rPr>
        <w:t>。其中</w:t>
      </w:r>
      <w:r>
        <w:rPr>
          <w:rFonts w:ascii="仿宋_GB2312" w:eastAsia="仿宋_GB2312" w:hAnsi="Calibri"/>
          <w:sz w:val="32"/>
          <w:szCs w:val="32"/>
        </w:rPr>
        <w:t>住宅</w:t>
      </w:r>
      <w:r w:rsidR="006D44D3">
        <w:rPr>
          <w:rFonts w:ascii="仿宋_GB2312" w:eastAsia="仿宋_GB2312" w:hAnsi="Calibri" w:hint="eastAsia"/>
          <w:sz w:val="32"/>
          <w:szCs w:val="32"/>
        </w:rPr>
        <w:t>9.48</w:t>
      </w:r>
      <w:r>
        <w:rPr>
          <w:rFonts w:ascii="仿宋_GB2312" w:eastAsia="仿宋_GB2312" w:hAnsi="Calibri" w:hint="eastAsia"/>
          <w:sz w:val="32"/>
          <w:szCs w:val="32"/>
        </w:rPr>
        <w:t>万</w:t>
      </w:r>
      <w:r w:rsidR="00513660">
        <w:rPr>
          <w:rFonts w:ascii="仿宋_GB2312" w:eastAsia="仿宋_GB2312" w:hAnsi="Calibri"/>
          <w:sz w:val="32"/>
          <w:szCs w:val="32"/>
        </w:rPr>
        <w:t>平方米</w:t>
      </w:r>
      <w:r w:rsidR="006D44D3">
        <w:rPr>
          <w:rFonts w:ascii="仿宋_GB2312" w:eastAsia="仿宋_GB2312" w:hAnsi="Calibri" w:hint="eastAsia"/>
          <w:sz w:val="32"/>
          <w:szCs w:val="32"/>
        </w:rPr>
        <w:t>，下降3</w:t>
      </w:r>
      <w:r w:rsidR="006D44D3">
        <w:rPr>
          <w:rFonts w:ascii="仿宋_GB2312" w:eastAsia="仿宋_GB2312" w:hAnsi="Calibri"/>
          <w:sz w:val="32"/>
          <w:szCs w:val="32"/>
        </w:rPr>
        <w:t>3.8%</w:t>
      </w:r>
      <w:r>
        <w:rPr>
          <w:rFonts w:ascii="仿宋_GB2312" w:eastAsia="仿宋_GB2312" w:hAnsi="Calibri"/>
          <w:sz w:val="32"/>
          <w:szCs w:val="32"/>
        </w:rPr>
        <w:t>；写字楼</w:t>
      </w:r>
      <w:r w:rsidR="006D44D3">
        <w:rPr>
          <w:rFonts w:ascii="仿宋_GB2312" w:eastAsia="仿宋_GB2312" w:hAnsi="Calibri" w:hint="eastAsia"/>
          <w:sz w:val="32"/>
          <w:szCs w:val="32"/>
        </w:rPr>
        <w:t>3</w:t>
      </w:r>
      <w:r w:rsidR="006D44D3">
        <w:rPr>
          <w:rFonts w:ascii="仿宋_GB2312" w:eastAsia="仿宋_GB2312" w:hAnsi="Calibri"/>
          <w:sz w:val="32"/>
          <w:szCs w:val="32"/>
        </w:rPr>
        <w:t>.99</w:t>
      </w:r>
      <w:r>
        <w:rPr>
          <w:rFonts w:ascii="仿宋_GB2312" w:eastAsia="仿宋_GB2312" w:hAnsi="Calibri" w:hint="eastAsia"/>
          <w:sz w:val="32"/>
          <w:szCs w:val="32"/>
        </w:rPr>
        <w:t>万</w:t>
      </w:r>
      <w:r>
        <w:rPr>
          <w:rFonts w:ascii="仿宋_GB2312" w:eastAsia="仿宋_GB2312" w:hAnsi="Calibri"/>
          <w:sz w:val="32"/>
          <w:szCs w:val="32"/>
        </w:rPr>
        <w:t>平方米，</w:t>
      </w:r>
      <w:r w:rsidR="00FF551A">
        <w:rPr>
          <w:rFonts w:ascii="仿宋_GB2312" w:eastAsia="仿宋_GB2312" w:hAnsi="Calibri" w:hint="eastAsia"/>
          <w:sz w:val="32"/>
          <w:szCs w:val="32"/>
        </w:rPr>
        <w:t>增长</w:t>
      </w:r>
      <w:r w:rsidR="006D44D3">
        <w:rPr>
          <w:rFonts w:ascii="仿宋_GB2312" w:eastAsia="仿宋_GB2312" w:hAnsi="Calibri" w:hint="eastAsia"/>
          <w:sz w:val="32"/>
          <w:szCs w:val="32"/>
        </w:rPr>
        <w:t>4</w:t>
      </w:r>
      <w:r w:rsidR="006D44D3">
        <w:rPr>
          <w:rFonts w:ascii="仿宋_GB2312" w:eastAsia="仿宋_GB2312" w:hAnsi="Calibri"/>
          <w:sz w:val="32"/>
          <w:szCs w:val="32"/>
        </w:rPr>
        <w:t>7.2%。</w:t>
      </w:r>
    </w:p>
    <w:p w:rsidR="00D70C7A" w:rsidRDefault="00D70C7A" w:rsidP="006E5F0E">
      <w:pPr>
        <w:jc w:val="center"/>
        <w:rPr>
          <w:rFonts w:ascii="黑体" w:eastAsia="黑体" w:hAnsi="黑体"/>
          <w:sz w:val="32"/>
          <w:szCs w:val="32"/>
        </w:rPr>
      </w:pPr>
      <w:r>
        <w:rPr>
          <w:rFonts w:ascii="黑体" w:eastAsia="黑体" w:hAnsi="黑体" w:hint="eastAsia"/>
          <w:sz w:val="32"/>
          <w:szCs w:val="32"/>
        </w:rPr>
        <w:t>五、国内贸易和旅游</w:t>
      </w:r>
    </w:p>
    <w:p w:rsidR="00155CB1" w:rsidRDefault="00381A49" w:rsidP="0012151D">
      <w:pPr>
        <w:ind w:firstLineChars="200" w:firstLine="640"/>
        <w:rPr>
          <w:rFonts w:ascii="仿宋_GB2312" w:eastAsia="仿宋_GB2312" w:hAnsi="Calibri"/>
          <w:sz w:val="32"/>
          <w:szCs w:val="32"/>
        </w:rPr>
      </w:pPr>
      <w:r>
        <w:rPr>
          <w:rFonts w:ascii="仿宋_GB2312" w:eastAsia="仿宋_GB2312" w:hAnsi="Calibri"/>
          <w:sz w:val="32"/>
          <w:szCs w:val="32"/>
        </w:rPr>
        <w:t>全年</w:t>
      </w:r>
      <w:r w:rsidR="00D70C7A">
        <w:rPr>
          <w:rFonts w:ascii="仿宋_GB2312" w:eastAsia="仿宋_GB2312" w:hAnsi="Calibri" w:hint="eastAsia"/>
          <w:sz w:val="32"/>
          <w:szCs w:val="32"/>
        </w:rPr>
        <w:t>实现社会消费品零售总额</w:t>
      </w:r>
      <w:r>
        <w:rPr>
          <w:rFonts w:ascii="仿宋_GB2312" w:eastAsia="仿宋_GB2312" w:hAnsi="Calibri"/>
          <w:sz w:val="32"/>
          <w:szCs w:val="32"/>
        </w:rPr>
        <w:t>1509.56</w:t>
      </w:r>
      <w:r w:rsidR="00D70C7A">
        <w:rPr>
          <w:rFonts w:ascii="仿宋_GB2312" w:eastAsia="仿宋_GB2312" w:hAnsi="Calibri" w:hint="eastAsia"/>
          <w:sz w:val="32"/>
          <w:szCs w:val="32"/>
        </w:rPr>
        <w:t>亿元，增长</w:t>
      </w:r>
      <w:r>
        <w:rPr>
          <w:rFonts w:ascii="仿宋_GB2312" w:eastAsia="仿宋_GB2312" w:hAnsi="Calibri"/>
          <w:sz w:val="32"/>
          <w:szCs w:val="32"/>
        </w:rPr>
        <w:t>8.4%</w:t>
      </w:r>
      <w:r w:rsidR="00D70C7A">
        <w:rPr>
          <w:rFonts w:ascii="仿宋_GB2312" w:eastAsia="仿宋_GB2312" w:hAnsi="Calibri" w:hint="eastAsia"/>
          <w:sz w:val="32"/>
          <w:szCs w:val="32"/>
        </w:rPr>
        <w:t>，</w:t>
      </w:r>
      <w:r w:rsidR="00D70C7A">
        <w:rPr>
          <w:rFonts w:ascii="仿宋_GB2312" w:eastAsia="仿宋_GB2312" w:hAnsi="Calibri"/>
          <w:sz w:val="32"/>
          <w:szCs w:val="32"/>
        </w:rPr>
        <w:t>占全市总额的</w:t>
      </w:r>
      <w:r w:rsidR="00626407">
        <w:rPr>
          <w:rFonts w:ascii="仿宋_GB2312" w:eastAsia="仿宋_GB2312" w:hAnsi="Calibri" w:hint="eastAsia"/>
          <w:sz w:val="32"/>
          <w:szCs w:val="32"/>
        </w:rPr>
        <w:t>31.2%</w:t>
      </w:r>
      <w:r w:rsidR="00D70C7A">
        <w:rPr>
          <w:rFonts w:ascii="仿宋_GB2312" w:eastAsia="仿宋_GB2312" w:hAnsi="Calibri" w:hint="eastAsia"/>
          <w:sz w:val="32"/>
          <w:szCs w:val="32"/>
        </w:rPr>
        <w:t>。</w:t>
      </w:r>
      <w:r w:rsidR="0012151D">
        <w:rPr>
          <w:rFonts w:ascii="仿宋_GB2312" w:eastAsia="仿宋_GB2312" w:hAnsi="Calibri" w:hint="eastAsia"/>
          <w:sz w:val="32"/>
          <w:szCs w:val="32"/>
        </w:rPr>
        <w:t>限额</w:t>
      </w:r>
      <w:r w:rsidR="0012151D">
        <w:rPr>
          <w:rFonts w:ascii="仿宋_GB2312" w:eastAsia="仿宋_GB2312" w:hAnsi="Calibri"/>
          <w:sz w:val="32"/>
          <w:szCs w:val="32"/>
        </w:rPr>
        <w:t>以上</w:t>
      </w:r>
      <w:r w:rsidR="0012151D" w:rsidRPr="008F21A8">
        <w:rPr>
          <w:rFonts w:ascii="仿宋_GB2312" w:eastAsia="仿宋_GB2312" w:hAnsi="Calibri"/>
          <w:sz w:val="32"/>
          <w:szCs w:val="32"/>
        </w:rPr>
        <w:t>批发和零售业零售额</w:t>
      </w:r>
      <w:r w:rsidR="0012151D">
        <w:rPr>
          <w:rFonts w:ascii="仿宋_GB2312" w:eastAsia="仿宋_GB2312" w:hAnsi="Calibri" w:hint="eastAsia"/>
          <w:sz w:val="32"/>
          <w:szCs w:val="32"/>
        </w:rPr>
        <w:t>968.42</w:t>
      </w:r>
      <w:r w:rsidR="0012151D" w:rsidRPr="008F21A8">
        <w:rPr>
          <w:rFonts w:ascii="仿宋_GB2312" w:eastAsia="仿宋_GB2312" w:hAnsi="Calibri"/>
          <w:sz w:val="32"/>
          <w:szCs w:val="32"/>
        </w:rPr>
        <w:t>亿元，增长</w:t>
      </w:r>
      <w:r w:rsidR="0012151D">
        <w:rPr>
          <w:rFonts w:ascii="仿宋_GB2312" w:eastAsia="仿宋_GB2312" w:hAnsi="Calibri" w:hint="eastAsia"/>
          <w:sz w:val="32"/>
          <w:szCs w:val="32"/>
        </w:rPr>
        <w:t>6.3%</w:t>
      </w:r>
      <w:r w:rsidR="00A43424">
        <w:rPr>
          <w:rFonts w:ascii="仿宋_GB2312" w:eastAsia="仿宋_GB2312" w:hAnsi="Calibri" w:hint="eastAsia"/>
          <w:sz w:val="32"/>
          <w:szCs w:val="32"/>
        </w:rPr>
        <w:t>；</w:t>
      </w:r>
      <w:r w:rsidR="0012151D">
        <w:rPr>
          <w:rFonts w:ascii="仿宋_GB2312" w:eastAsia="仿宋_GB2312" w:hAnsi="Calibri" w:hint="eastAsia"/>
          <w:sz w:val="32"/>
          <w:szCs w:val="32"/>
        </w:rPr>
        <w:t>限额</w:t>
      </w:r>
      <w:r w:rsidR="0012151D">
        <w:rPr>
          <w:rFonts w:ascii="仿宋_GB2312" w:eastAsia="仿宋_GB2312" w:hAnsi="Calibri"/>
          <w:sz w:val="32"/>
          <w:szCs w:val="32"/>
        </w:rPr>
        <w:t>以上</w:t>
      </w:r>
      <w:r w:rsidR="0012151D" w:rsidRPr="008F21A8">
        <w:rPr>
          <w:rFonts w:ascii="仿宋_GB2312" w:eastAsia="仿宋_GB2312" w:hAnsi="Calibri"/>
          <w:sz w:val="32"/>
          <w:szCs w:val="32"/>
        </w:rPr>
        <w:t>住宿和餐饮业零售额</w:t>
      </w:r>
      <w:r w:rsidR="0012151D">
        <w:rPr>
          <w:rFonts w:ascii="仿宋_GB2312" w:eastAsia="仿宋_GB2312" w:hAnsi="Calibri" w:hint="eastAsia"/>
          <w:sz w:val="32"/>
          <w:szCs w:val="32"/>
        </w:rPr>
        <w:t>76.07</w:t>
      </w:r>
      <w:r w:rsidR="0012151D" w:rsidRPr="008F21A8">
        <w:rPr>
          <w:rFonts w:ascii="仿宋_GB2312" w:eastAsia="仿宋_GB2312" w:hAnsi="Calibri"/>
          <w:sz w:val="32"/>
          <w:szCs w:val="32"/>
        </w:rPr>
        <w:t>亿元，增长</w:t>
      </w:r>
      <w:r w:rsidR="0012151D">
        <w:rPr>
          <w:rFonts w:ascii="仿宋_GB2312" w:eastAsia="仿宋_GB2312" w:hAnsi="Calibri" w:hint="eastAsia"/>
          <w:sz w:val="32"/>
          <w:szCs w:val="32"/>
        </w:rPr>
        <w:t>4.9%</w:t>
      </w:r>
      <w:r w:rsidR="0012151D" w:rsidRPr="008F21A8">
        <w:rPr>
          <w:rFonts w:ascii="仿宋_GB2312" w:eastAsia="仿宋_GB2312" w:hAnsi="Calibri"/>
          <w:sz w:val="32"/>
          <w:szCs w:val="32"/>
        </w:rPr>
        <w:t>。</w:t>
      </w:r>
    </w:p>
    <w:p w:rsidR="00196ABE" w:rsidRDefault="00D31E19" w:rsidP="006F2ADE">
      <w:pPr>
        <w:jc w:val="left"/>
        <w:rPr>
          <w:rFonts w:ascii="仿宋_GB2312" w:eastAsia="仿宋_GB2312" w:hAnsi="Calibri"/>
          <w:sz w:val="32"/>
          <w:szCs w:val="32"/>
        </w:rPr>
      </w:pPr>
      <w:r>
        <w:rPr>
          <w:rFonts w:ascii="仿宋_GB2312" w:eastAsia="仿宋_GB2312" w:hAnsi="Calibri" w:hint="eastAsia"/>
          <w:noProof/>
          <w:sz w:val="32"/>
          <w:szCs w:val="32"/>
        </w:rPr>
        <w:lastRenderedPageBreak/>
        <w:drawing>
          <wp:inline distT="0" distB="0" distL="0" distR="0">
            <wp:extent cx="5705475" cy="2552700"/>
            <wp:effectExtent l="0" t="0" r="9525"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6A77" w:rsidRPr="00DE6A77" w:rsidRDefault="00DE6A77" w:rsidP="00DE6A77">
      <w:pPr>
        <w:jc w:val="center"/>
        <w:rPr>
          <w:rFonts w:ascii="宋体" w:hAnsi="宋体"/>
          <w:sz w:val="28"/>
          <w:szCs w:val="28"/>
        </w:rPr>
      </w:pPr>
      <w:r w:rsidRPr="00DE6A77">
        <w:rPr>
          <w:rFonts w:ascii="宋体" w:hAnsi="宋体" w:hint="eastAsia"/>
          <w:sz w:val="28"/>
          <w:szCs w:val="28"/>
        </w:rPr>
        <w:t xml:space="preserve">图7  </w:t>
      </w:r>
      <w:r w:rsidR="00B30E5B">
        <w:rPr>
          <w:rFonts w:ascii="宋体" w:hAnsi="宋体"/>
          <w:sz w:val="28"/>
          <w:szCs w:val="28"/>
        </w:rPr>
        <w:t>2014</w:t>
      </w:r>
      <w:r w:rsidR="00B30E5B">
        <w:rPr>
          <w:rFonts w:ascii="宋体" w:hAnsi="宋体" w:hint="eastAsia"/>
          <w:sz w:val="28"/>
          <w:szCs w:val="28"/>
        </w:rPr>
        <w:t>年</w:t>
      </w:r>
      <w:r w:rsidRPr="00DE6A77">
        <w:rPr>
          <w:rFonts w:ascii="宋体" w:hAnsi="宋体" w:hint="eastAsia"/>
          <w:sz w:val="28"/>
          <w:szCs w:val="28"/>
        </w:rPr>
        <w:t>社会消费品零售总额分季度累计增长速度</w:t>
      </w:r>
    </w:p>
    <w:p w:rsidR="00FE4DE3" w:rsidRDefault="00FA41D4" w:rsidP="00FA41D4">
      <w:pPr>
        <w:rPr>
          <w:rFonts w:ascii="仿宋_GB2312" w:eastAsia="仿宋_GB2312"/>
          <w:sz w:val="32"/>
          <w:szCs w:val="32"/>
        </w:rPr>
      </w:pPr>
      <w:r>
        <w:rPr>
          <w:rFonts w:ascii="仿宋" w:eastAsia="仿宋" w:hAnsi="仿宋"/>
          <w:noProof/>
          <w:sz w:val="32"/>
          <w:szCs w:val="32"/>
        </w:rPr>
        <w:drawing>
          <wp:inline distT="0" distB="0" distL="0" distR="0" wp14:anchorId="2481A65F" wp14:editId="1CD8446F">
            <wp:extent cx="5724525" cy="3076575"/>
            <wp:effectExtent l="0" t="0" r="9525" b="9525"/>
            <wp:docPr id="15" name="对象 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7088" w:rsidRPr="00787088" w:rsidRDefault="00787088" w:rsidP="00787088">
      <w:pPr>
        <w:jc w:val="center"/>
        <w:rPr>
          <w:rFonts w:ascii="宋体" w:hAnsi="宋体"/>
          <w:sz w:val="28"/>
          <w:szCs w:val="28"/>
        </w:rPr>
      </w:pPr>
      <w:r w:rsidRPr="00787088">
        <w:rPr>
          <w:rFonts w:ascii="宋体" w:hAnsi="宋体" w:hint="eastAsia"/>
          <w:sz w:val="28"/>
          <w:szCs w:val="28"/>
        </w:rPr>
        <w:t>图8  2010-2014年社会消费品零售总额及其增长速度</w:t>
      </w:r>
    </w:p>
    <w:p w:rsidR="001452D7" w:rsidRPr="004C259E" w:rsidRDefault="001452D7" w:rsidP="001452D7">
      <w:pPr>
        <w:ind w:firstLineChars="200" w:firstLine="640"/>
        <w:rPr>
          <w:rFonts w:ascii="仿宋_GB2312" w:eastAsia="仿宋_GB2312" w:hAnsi="Calibri"/>
          <w:sz w:val="32"/>
          <w:szCs w:val="32"/>
        </w:rPr>
      </w:pPr>
      <w:r w:rsidRPr="004C259E">
        <w:rPr>
          <w:rFonts w:ascii="仿宋_GB2312" w:eastAsia="仿宋_GB2312" w:hAnsi="Calibri" w:hint="eastAsia"/>
          <w:sz w:val="32"/>
          <w:szCs w:val="32"/>
        </w:rPr>
        <w:t>全年限额以上批发零售业商品销售中，十大类商品销售情况为：汽车类增长19.6%；金银珠宝类增长18.7%</w:t>
      </w:r>
      <w:r>
        <w:rPr>
          <w:rFonts w:ascii="仿宋_GB2312" w:eastAsia="仿宋_GB2312" w:hAnsi="Calibri" w:hint="eastAsia"/>
          <w:sz w:val="32"/>
          <w:szCs w:val="32"/>
        </w:rPr>
        <w:t>；</w:t>
      </w:r>
      <w:r w:rsidRPr="004C259E">
        <w:rPr>
          <w:rFonts w:ascii="仿宋_GB2312" w:eastAsia="仿宋_GB2312" w:hAnsi="Calibri" w:hint="eastAsia"/>
          <w:sz w:val="32"/>
          <w:szCs w:val="32"/>
        </w:rPr>
        <w:t>日用品类增长9.9%；服装鞋帽针织类增长8.0</w:t>
      </w:r>
      <w:r>
        <w:rPr>
          <w:rFonts w:ascii="仿宋_GB2312" w:eastAsia="仿宋_GB2312" w:hAnsi="Calibri"/>
          <w:sz w:val="32"/>
          <w:szCs w:val="32"/>
        </w:rPr>
        <w:t>%</w:t>
      </w:r>
      <w:r w:rsidRPr="004C259E">
        <w:rPr>
          <w:rFonts w:ascii="仿宋_GB2312" w:eastAsia="仿宋_GB2312" w:hAnsi="Calibri" w:hint="eastAsia"/>
          <w:sz w:val="32"/>
          <w:szCs w:val="32"/>
        </w:rPr>
        <w:t>；家用电器和音响器材类增长5.9%</w:t>
      </w:r>
      <w:r>
        <w:rPr>
          <w:rFonts w:ascii="仿宋_GB2312" w:eastAsia="仿宋_GB2312" w:hAnsi="Calibri" w:hint="eastAsia"/>
          <w:sz w:val="32"/>
          <w:szCs w:val="32"/>
        </w:rPr>
        <w:t>；食品饮料烟酒类增长</w:t>
      </w:r>
      <w:r w:rsidRPr="004C259E">
        <w:rPr>
          <w:rFonts w:ascii="仿宋_GB2312" w:eastAsia="仿宋_GB2312" w:hAnsi="Calibri" w:hint="eastAsia"/>
          <w:sz w:val="32"/>
          <w:szCs w:val="32"/>
        </w:rPr>
        <w:t>3.1%;化妆品类增长2.5%</w:t>
      </w:r>
      <w:r>
        <w:rPr>
          <w:rFonts w:ascii="仿宋_GB2312" w:eastAsia="仿宋_GB2312" w:hAnsi="Calibri" w:hint="eastAsia"/>
          <w:sz w:val="32"/>
          <w:szCs w:val="32"/>
        </w:rPr>
        <w:t>；</w:t>
      </w:r>
      <w:r w:rsidRPr="004C259E">
        <w:rPr>
          <w:rFonts w:ascii="仿宋_GB2312" w:eastAsia="仿宋_GB2312" w:hAnsi="Calibri" w:hint="eastAsia"/>
          <w:sz w:val="32"/>
          <w:szCs w:val="32"/>
        </w:rPr>
        <w:t>文化办公用品类增长0.3%</w:t>
      </w:r>
      <w:r>
        <w:rPr>
          <w:rFonts w:ascii="仿宋_GB2312" w:eastAsia="仿宋_GB2312" w:hAnsi="Calibri" w:hint="eastAsia"/>
          <w:sz w:val="32"/>
          <w:szCs w:val="32"/>
        </w:rPr>
        <w:t>；</w:t>
      </w:r>
      <w:r w:rsidRPr="004C259E">
        <w:rPr>
          <w:rFonts w:ascii="仿宋_GB2312" w:eastAsia="仿宋_GB2312" w:hAnsi="Calibri" w:hint="eastAsia"/>
          <w:sz w:val="32"/>
          <w:szCs w:val="32"/>
        </w:rPr>
        <w:t>石油及制品类</w:t>
      </w:r>
      <w:r>
        <w:rPr>
          <w:rFonts w:ascii="仿宋_GB2312" w:eastAsia="仿宋_GB2312" w:hAnsi="Calibri" w:hint="eastAsia"/>
          <w:sz w:val="32"/>
          <w:szCs w:val="32"/>
        </w:rPr>
        <w:t>下降</w:t>
      </w:r>
      <w:r w:rsidRPr="004C259E">
        <w:rPr>
          <w:rFonts w:ascii="仿宋_GB2312" w:eastAsia="仿宋_GB2312" w:hAnsi="Calibri" w:hint="eastAsia"/>
          <w:sz w:val="32"/>
          <w:szCs w:val="32"/>
        </w:rPr>
        <w:t>0.2%</w:t>
      </w:r>
      <w:r>
        <w:rPr>
          <w:rFonts w:ascii="仿宋_GB2312" w:eastAsia="仿宋_GB2312" w:hAnsi="Calibri" w:hint="eastAsia"/>
          <w:sz w:val="32"/>
          <w:szCs w:val="32"/>
        </w:rPr>
        <w:t>；通讯器材类下降</w:t>
      </w:r>
      <w:r w:rsidRPr="004C259E">
        <w:rPr>
          <w:rFonts w:ascii="仿宋_GB2312" w:eastAsia="仿宋_GB2312" w:hAnsi="Calibri" w:hint="eastAsia"/>
          <w:sz w:val="32"/>
          <w:szCs w:val="32"/>
        </w:rPr>
        <w:t>43.3%</w:t>
      </w:r>
      <w:r w:rsidRPr="008F21A8">
        <w:rPr>
          <w:rFonts w:ascii="仿宋_GB2312" w:eastAsia="仿宋_GB2312" w:hAnsi="Calibri"/>
          <w:sz w:val="32"/>
          <w:szCs w:val="32"/>
        </w:rPr>
        <w:t>。</w:t>
      </w:r>
    </w:p>
    <w:p w:rsidR="00D70C7A" w:rsidRPr="00FE4DE3" w:rsidRDefault="00D70C7A" w:rsidP="00D70C7A">
      <w:pPr>
        <w:ind w:firstLineChars="200" w:firstLine="640"/>
        <w:rPr>
          <w:rFonts w:ascii="仿宋_GB2312" w:eastAsia="仿宋_GB2312" w:hAnsi="Calibri"/>
          <w:sz w:val="32"/>
          <w:szCs w:val="32"/>
        </w:rPr>
      </w:pPr>
      <w:r w:rsidRPr="00FE4DE3">
        <w:rPr>
          <w:rFonts w:ascii="仿宋_GB2312" w:eastAsia="仿宋_GB2312" w:hAnsi="Calibri" w:hint="eastAsia"/>
          <w:sz w:val="32"/>
          <w:szCs w:val="32"/>
        </w:rPr>
        <w:lastRenderedPageBreak/>
        <w:t>全区星级宾馆（以挂牌为准）共</w:t>
      </w:r>
      <w:r w:rsidR="006A5B97" w:rsidRPr="00FE4DE3">
        <w:rPr>
          <w:rFonts w:ascii="仿宋_GB2312" w:eastAsia="仿宋_GB2312" w:hAnsi="Calibri"/>
          <w:sz w:val="32"/>
          <w:szCs w:val="32"/>
        </w:rPr>
        <w:t>29</w:t>
      </w:r>
      <w:r w:rsidRPr="00FE4DE3">
        <w:rPr>
          <w:rFonts w:ascii="仿宋_GB2312" w:eastAsia="仿宋_GB2312" w:hAnsi="Calibri" w:hint="eastAsia"/>
          <w:sz w:val="32"/>
          <w:szCs w:val="32"/>
        </w:rPr>
        <w:t>家，其中五星级宾馆</w:t>
      </w:r>
      <w:r w:rsidR="00D81988" w:rsidRPr="00FE4DE3">
        <w:rPr>
          <w:rFonts w:ascii="仿宋_GB2312" w:eastAsia="仿宋_GB2312" w:hAnsi="Calibri"/>
          <w:sz w:val="32"/>
          <w:szCs w:val="32"/>
        </w:rPr>
        <w:t xml:space="preserve"> </w:t>
      </w:r>
      <w:r w:rsidR="006A5B97" w:rsidRPr="00FE4DE3">
        <w:rPr>
          <w:rFonts w:ascii="仿宋_GB2312" w:eastAsia="仿宋_GB2312" w:hAnsi="Calibri"/>
          <w:sz w:val="32"/>
          <w:szCs w:val="32"/>
        </w:rPr>
        <w:t>6</w:t>
      </w:r>
      <w:r w:rsidRPr="00FE4DE3">
        <w:rPr>
          <w:rFonts w:ascii="仿宋_GB2312" w:eastAsia="仿宋_GB2312" w:hAnsi="Calibri" w:hint="eastAsia"/>
          <w:sz w:val="32"/>
          <w:szCs w:val="32"/>
        </w:rPr>
        <w:t>家，四星级宾馆</w:t>
      </w:r>
      <w:r w:rsidR="006A5B97" w:rsidRPr="00FE4DE3">
        <w:rPr>
          <w:rFonts w:ascii="仿宋_GB2312" w:eastAsia="仿宋_GB2312" w:hAnsi="Calibri"/>
          <w:sz w:val="32"/>
          <w:szCs w:val="32"/>
        </w:rPr>
        <w:t>3</w:t>
      </w:r>
      <w:r w:rsidRPr="00FE4DE3">
        <w:rPr>
          <w:rFonts w:ascii="仿宋_GB2312" w:eastAsia="仿宋_GB2312" w:hAnsi="Calibri" w:hint="eastAsia"/>
          <w:sz w:val="32"/>
          <w:szCs w:val="32"/>
        </w:rPr>
        <w:t>家。</w:t>
      </w:r>
      <w:r w:rsidRPr="00FE4DE3">
        <w:rPr>
          <w:rFonts w:ascii="仿宋_GB2312" w:eastAsia="仿宋_GB2312" w:hAnsi="Calibri"/>
          <w:sz w:val="32"/>
          <w:szCs w:val="32"/>
        </w:rPr>
        <w:t>全区</w:t>
      </w:r>
      <w:r w:rsidRPr="00FE4DE3">
        <w:rPr>
          <w:rFonts w:ascii="仿宋_GB2312" w:eastAsia="仿宋_GB2312" w:hAnsi="Calibri" w:hint="eastAsia"/>
          <w:sz w:val="32"/>
          <w:szCs w:val="32"/>
        </w:rPr>
        <w:t>共有旅行社</w:t>
      </w:r>
      <w:r w:rsidR="006A5B97" w:rsidRPr="00FE4DE3">
        <w:rPr>
          <w:rFonts w:ascii="仿宋_GB2312" w:eastAsia="仿宋_GB2312" w:hAnsi="Calibri"/>
          <w:sz w:val="32"/>
          <w:szCs w:val="32"/>
        </w:rPr>
        <w:t>119</w:t>
      </w:r>
      <w:r w:rsidRPr="00FE4DE3">
        <w:rPr>
          <w:rFonts w:ascii="仿宋_GB2312" w:eastAsia="仿宋_GB2312" w:hAnsi="Calibri" w:hint="eastAsia"/>
          <w:sz w:val="32"/>
          <w:szCs w:val="32"/>
        </w:rPr>
        <w:t>家，其中国际旅行社</w:t>
      </w:r>
      <w:r w:rsidR="00D81988" w:rsidRPr="00FE4DE3">
        <w:rPr>
          <w:rFonts w:ascii="仿宋_GB2312" w:eastAsia="仿宋_GB2312" w:hAnsi="Calibri"/>
          <w:sz w:val="32"/>
          <w:szCs w:val="32"/>
        </w:rPr>
        <w:t xml:space="preserve"> </w:t>
      </w:r>
      <w:r w:rsidR="006A5B97" w:rsidRPr="00FE4DE3">
        <w:rPr>
          <w:rFonts w:ascii="仿宋_GB2312" w:eastAsia="仿宋_GB2312" w:hAnsi="Calibri"/>
          <w:sz w:val="32"/>
          <w:szCs w:val="32"/>
        </w:rPr>
        <w:t>20</w:t>
      </w:r>
      <w:r w:rsidRPr="00FE4DE3">
        <w:rPr>
          <w:rFonts w:ascii="仿宋_GB2312" w:eastAsia="仿宋_GB2312" w:hAnsi="Calibri" w:hint="eastAsia"/>
          <w:sz w:val="32"/>
          <w:szCs w:val="32"/>
        </w:rPr>
        <w:t>家。全年接待过夜游客</w:t>
      </w:r>
      <w:r w:rsidR="00AA1955" w:rsidRPr="00FE4DE3">
        <w:rPr>
          <w:rFonts w:ascii="仿宋_GB2312" w:eastAsia="仿宋_GB2312" w:hAnsi="Calibri"/>
          <w:sz w:val="32"/>
          <w:szCs w:val="32"/>
        </w:rPr>
        <w:t>399.83</w:t>
      </w:r>
      <w:r w:rsidRPr="00FE4DE3">
        <w:rPr>
          <w:rFonts w:ascii="仿宋_GB2312" w:eastAsia="仿宋_GB2312" w:hAnsi="Calibri" w:hint="eastAsia"/>
          <w:sz w:val="32"/>
          <w:szCs w:val="32"/>
        </w:rPr>
        <w:t>万人次，增长</w:t>
      </w:r>
      <w:r w:rsidR="00AA1955" w:rsidRPr="00FE4DE3">
        <w:rPr>
          <w:rFonts w:ascii="仿宋_GB2312" w:eastAsia="仿宋_GB2312" w:hAnsi="Calibri"/>
          <w:sz w:val="32"/>
          <w:szCs w:val="32"/>
        </w:rPr>
        <w:t>20.0%</w:t>
      </w:r>
      <w:r w:rsidRPr="00FE4DE3">
        <w:rPr>
          <w:rFonts w:ascii="仿宋_GB2312" w:eastAsia="仿宋_GB2312" w:hAnsi="Calibri" w:hint="eastAsia"/>
          <w:sz w:val="32"/>
          <w:szCs w:val="32"/>
        </w:rPr>
        <w:t>，其中海外游客</w:t>
      </w:r>
      <w:r w:rsidR="00AA1955" w:rsidRPr="00FE4DE3">
        <w:rPr>
          <w:rFonts w:ascii="仿宋_GB2312" w:eastAsia="仿宋_GB2312" w:hAnsi="Calibri"/>
          <w:sz w:val="32"/>
          <w:szCs w:val="32"/>
        </w:rPr>
        <w:t>44.44</w:t>
      </w:r>
      <w:r w:rsidRPr="00FE4DE3">
        <w:rPr>
          <w:rFonts w:ascii="仿宋_GB2312" w:eastAsia="仿宋_GB2312" w:hAnsi="Calibri" w:hint="eastAsia"/>
          <w:sz w:val="32"/>
          <w:szCs w:val="32"/>
        </w:rPr>
        <w:t>万人次，</w:t>
      </w:r>
      <w:r w:rsidR="00AA1955" w:rsidRPr="00FE4DE3">
        <w:rPr>
          <w:rFonts w:ascii="仿宋_GB2312" w:eastAsia="仿宋_GB2312" w:hAnsi="Calibri" w:hint="eastAsia"/>
          <w:sz w:val="32"/>
          <w:szCs w:val="32"/>
        </w:rPr>
        <w:t>下降4.6</w:t>
      </w:r>
      <w:r w:rsidR="00AA1955" w:rsidRPr="00FE4DE3">
        <w:rPr>
          <w:rFonts w:ascii="仿宋_GB2312" w:eastAsia="仿宋_GB2312" w:hAnsi="Calibri"/>
          <w:sz w:val="32"/>
          <w:szCs w:val="32"/>
        </w:rPr>
        <w:t>%</w:t>
      </w:r>
      <w:r w:rsidRPr="00FE4DE3">
        <w:rPr>
          <w:rFonts w:ascii="仿宋_GB2312" w:eastAsia="仿宋_GB2312" w:hAnsi="Calibri" w:hint="eastAsia"/>
          <w:sz w:val="32"/>
          <w:szCs w:val="32"/>
        </w:rPr>
        <w:t>。宾馆酒店开房率</w:t>
      </w:r>
      <w:r w:rsidR="00AA1955" w:rsidRPr="00FE4DE3">
        <w:rPr>
          <w:rFonts w:ascii="仿宋_GB2312" w:eastAsia="仿宋_GB2312" w:hAnsi="Calibri"/>
          <w:sz w:val="32"/>
          <w:szCs w:val="32"/>
        </w:rPr>
        <w:t>78.4%</w:t>
      </w:r>
      <w:r w:rsidRPr="00FE4DE3">
        <w:rPr>
          <w:rFonts w:ascii="仿宋_GB2312" w:eastAsia="仿宋_GB2312" w:hAnsi="Calibri" w:hint="eastAsia"/>
          <w:sz w:val="32"/>
          <w:szCs w:val="32"/>
        </w:rPr>
        <w:t>，上升</w:t>
      </w:r>
      <w:r w:rsidR="00AA1955" w:rsidRPr="00FE4DE3">
        <w:rPr>
          <w:rFonts w:ascii="仿宋_GB2312" w:eastAsia="仿宋_GB2312" w:hAnsi="Calibri"/>
          <w:sz w:val="32"/>
          <w:szCs w:val="32"/>
        </w:rPr>
        <w:t>4.5</w:t>
      </w:r>
      <w:r w:rsidR="00FF410A" w:rsidRPr="00FE4DE3">
        <w:rPr>
          <w:rFonts w:ascii="仿宋_GB2312" w:eastAsia="仿宋_GB2312" w:hAnsi="Calibri" w:hint="eastAsia"/>
          <w:sz w:val="32"/>
          <w:szCs w:val="32"/>
        </w:rPr>
        <w:t>个百分点。全年规模</w:t>
      </w:r>
      <w:r w:rsidRPr="00FE4DE3">
        <w:rPr>
          <w:rFonts w:ascii="仿宋_GB2312" w:eastAsia="仿宋_GB2312" w:hAnsi="Calibri" w:hint="eastAsia"/>
          <w:sz w:val="32"/>
          <w:szCs w:val="32"/>
        </w:rPr>
        <w:t>企业</w:t>
      </w:r>
      <w:r w:rsidR="00FF410A" w:rsidRPr="00FE4DE3">
        <w:rPr>
          <w:rFonts w:ascii="仿宋_GB2312" w:eastAsia="仿宋_GB2312" w:hAnsi="Calibri" w:hint="eastAsia"/>
          <w:sz w:val="32"/>
          <w:szCs w:val="32"/>
        </w:rPr>
        <w:t>旅游</w:t>
      </w:r>
      <w:r w:rsidRPr="00FE4DE3">
        <w:rPr>
          <w:rFonts w:ascii="仿宋_GB2312" w:eastAsia="仿宋_GB2312" w:hAnsi="Calibri" w:hint="eastAsia"/>
          <w:sz w:val="32"/>
          <w:szCs w:val="32"/>
        </w:rPr>
        <w:t>总收入</w:t>
      </w:r>
      <w:r w:rsidR="00FF410A" w:rsidRPr="00FE4DE3">
        <w:rPr>
          <w:rFonts w:ascii="仿宋_GB2312" w:eastAsia="仿宋_GB2312" w:hAnsi="Calibri"/>
          <w:sz w:val="32"/>
          <w:szCs w:val="32"/>
        </w:rPr>
        <w:t>58.72</w:t>
      </w:r>
      <w:r w:rsidRPr="00FE4DE3">
        <w:rPr>
          <w:rFonts w:ascii="仿宋_GB2312" w:eastAsia="仿宋_GB2312" w:hAnsi="Calibri" w:hint="eastAsia"/>
          <w:sz w:val="32"/>
          <w:szCs w:val="32"/>
        </w:rPr>
        <w:t>亿元，增长</w:t>
      </w:r>
      <w:r w:rsidR="00FF410A" w:rsidRPr="00FE4DE3">
        <w:rPr>
          <w:rFonts w:ascii="仿宋_GB2312" w:eastAsia="仿宋_GB2312" w:hAnsi="Calibri"/>
          <w:sz w:val="32"/>
          <w:szCs w:val="32"/>
        </w:rPr>
        <w:t>6.5%</w:t>
      </w:r>
      <w:r w:rsidRPr="00FE4DE3">
        <w:rPr>
          <w:rFonts w:ascii="仿宋_GB2312" w:eastAsia="仿宋_GB2312" w:hAnsi="Calibri" w:hint="eastAsia"/>
          <w:sz w:val="32"/>
          <w:szCs w:val="32"/>
        </w:rPr>
        <w:t>。宾馆</w:t>
      </w:r>
      <w:r w:rsidRPr="00FE4DE3">
        <w:rPr>
          <w:rFonts w:ascii="仿宋_GB2312" w:eastAsia="仿宋_GB2312" w:hAnsi="Calibri"/>
          <w:sz w:val="32"/>
          <w:szCs w:val="32"/>
        </w:rPr>
        <w:t>酒店营业收入</w:t>
      </w:r>
      <w:r w:rsidR="00FF410A" w:rsidRPr="00FE4DE3">
        <w:rPr>
          <w:rFonts w:ascii="仿宋_GB2312" w:eastAsia="仿宋_GB2312" w:hAnsi="Calibri"/>
          <w:sz w:val="32"/>
          <w:szCs w:val="32"/>
        </w:rPr>
        <w:t>33.30</w:t>
      </w:r>
      <w:r w:rsidRPr="00FE4DE3">
        <w:rPr>
          <w:rFonts w:ascii="仿宋_GB2312" w:eastAsia="仿宋_GB2312" w:hAnsi="Calibri" w:hint="eastAsia"/>
          <w:sz w:val="32"/>
          <w:szCs w:val="32"/>
        </w:rPr>
        <w:t>亿元</w:t>
      </w:r>
      <w:r w:rsidRPr="00FE4DE3">
        <w:rPr>
          <w:rFonts w:ascii="仿宋_GB2312" w:eastAsia="仿宋_GB2312" w:hAnsi="Calibri"/>
          <w:sz w:val="32"/>
          <w:szCs w:val="32"/>
        </w:rPr>
        <w:t>，增长</w:t>
      </w:r>
      <w:r w:rsidR="00FF410A" w:rsidRPr="00FE4DE3">
        <w:rPr>
          <w:rFonts w:ascii="仿宋_GB2312" w:eastAsia="仿宋_GB2312" w:hAnsi="Calibri"/>
          <w:sz w:val="32"/>
          <w:szCs w:val="32"/>
        </w:rPr>
        <w:t>7.3%</w:t>
      </w:r>
      <w:r w:rsidRPr="00FE4DE3">
        <w:rPr>
          <w:rFonts w:ascii="仿宋_GB2312" w:eastAsia="仿宋_GB2312" w:hAnsi="Calibri"/>
          <w:sz w:val="32"/>
          <w:szCs w:val="32"/>
        </w:rPr>
        <w:t>；旅行社营业收入</w:t>
      </w:r>
      <w:r w:rsidR="00FF410A" w:rsidRPr="00FE4DE3">
        <w:rPr>
          <w:rFonts w:ascii="仿宋_GB2312" w:eastAsia="仿宋_GB2312" w:hAnsi="Calibri"/>
          <w:sz w:val="32"/>
          <w:szCs w:val="32"/>
        </w:rPr>
        <w:t>25.42</w:t>
      </w:r>
      <w:r w:rsidRPr="00FE4DE3">
        <w:rPr>
          <w:rFonts w:ascii="仿宋_GB2312" w:eastAsia="仿宋_GB2312" w:hAnsi="Calibri" w:hint="eastAsia"/>
          <w:sz w:val="32"/>
          <w:szCs w:val="32"/>
        </w:rPr>
        <w:t>亿元</w:t>
      </w:r>
      <w:r w:rsidRPr="00FE4DE3">
        <w:rPr>
          <w:rFonts w:ascii="仿宋_GB2312" w:eastAsia="仿宋_GB2312" w:hAnsi="Calibri"/>
          <w:sz w:val="32"/>
          <w:szCs w:val="32"/>
        </w:rPr>
        <w:t>，增长</w:t>
      </w:r>
      <w:r w:rsidR="00FF410A" w:rsidRPr="00FE4DE3">
        <w:rPr>
          <w:rFonts w:ascii="仿宋_GB2312" w:eastAsia="仿宋_GB2312" w:hAnsi="Calibri"/>
          <w:sz w:val="32"/>
          <w:szCs w:val="32"/>
        </w:rPr>
        <w:t>5.6%</w:t>
      </w:r>
      <w:r w:rsidRPr="00FE4DE3">
        <w:rPr>
          <w:rFonts w:ascii="仿宋_GB2312" w:eastAsia="仿宋_GB2312" w:hAnsi="Calibri"/>
          <w:sz w:val="32"/>
          <w:szCs w:val="32"/>
        </w:rPr>
        <w:t>。</w:t>
      </w:r>
    </w:p>
    <w:p w:rsidR="00D70C7A" w:rsidRDefault="00D70C7A" w:rsidP="006E5F0E">
      <w:pPr>
        <w:jc w:val="center"/>
        <w:rPr>
          <w:rFonts w:ascii="黑体" w:eastAsia="黑体" w:hAnsi="黑体"/>
          <w:sz w:val="32"/>
          <w:szCs w:val="32"/>
        </w:rPr>
      </w:pPr>
      <w:r>
        <w:rPr>
          <w:rFonts w:ascii="黑体" w:eastAsia="黑体" w:hAnsi="黑体" w:hint="eastAsia"/>
          <w:sz w:val="32"/>
          <w:szCs w:val="32"/>
        </w:rPr>
        <w:t>六、对外经济</w:t>
      </w:r>
    </w:p>
    <w:p w:rsidR="00F931E4" w:rsidRDefault="008567DF" w:rsidP="00821680">
      <w:pPr>
        <w:ind w:firstLineChars="200" w:firstLine="640"/>
        <w:rPr>
          <w:rFonts w:ascii="仿宋_GB2312" w:eastAsia="仿宋_GB2312" w:hAnsi="Calibri"/>
          <w:sz w:val="32"/>
          <w:szCs w:val="32"/>
        </w:rPr>
      </w:pPr>
      <w:r>
        <w:rPr>
          <w:rFonts w:ascii="仿宋_GB2312" w:eastAsia="仿宋_GB2312" w:hAnsi="Calibri" w:hint="eastAsia"/>
          <w:sz w:val="32"/>
          <w:szCs w:val="32"/>
        </w:rPr>
        <w:t>全年</w:t>
      </w:r>
      <w:r w:rsidR="00D70C7A">
        <w:rPr>
          <w:rFonts w:ascii="仿宋_GB2312" w:eastAsia="仿宋_GB2312" w:hAnsi="Calibri" w:hint="eastAsia"/>
          <w:sz w:val="32"/>
          <w:szCs w:val="32"/>
        </w:rPr>
        <w:t>外贸进出口总额</w:t>
      </w:r>
      <w:r>
        <w:rPr>
          <w:rFonts w:ascii="仿宋_GB2312" w:eastAsia="仿宋_GB2312" w:hAnsi="Calibri" w:hint="eastAsia"/>
          <w:sz w:val="32"/>
          <w:szCs w:val="32"/>
        </w:rPr>
        <w:t>1071.09</w:t>
      </w:r>
      <w:r w:rsidR="00D70C7A">
        <w:rPr>
          <w:rFonts w:ascii="仿宋_GB2312" w:eastAsia="仿宋_GB2312" w:hAnsi="Calibri" w:hint="eastAsia"/>
          <w:sz w:val="32"/>
          <w:szCs w:val="32"/>
        </w:rPr>
        <w:t>亿美元，</w:t>
      </w:r>
      <w:r>
        <w:rPr>
          <w:rFonts w:ascii="仿宋_GB2312" w:eastAsia="仿宋_GB2312" w:hAnsi="Calibri" w:hint="eastAsia"/>
          <w:sz w:val="32"/>
          <w:szCs w:val="32"/>
        </w:rPr>
        <w:t>下降42.0%</w:t>
      </w:r>
      <w:r w:rsidR="00D70C7A">
        <w:rPr>
          <w:rFonts w:ascii="仿宋_GB2312" w:eastAsia="仿宋_GB2312" w:hAnsi="Calibri" w:hint="eastAsia"/>
          <w:sz w:val="32"/>
          <w:szCs w:val="32"/>
        </w:rPr>
        <w:t>。其中进口总额</w:t>
      </w:r>
      <w:r>
        <w:rPr>
          <w:rFonts w:ascii="仿宋_GB2312" w:eastAsia="仿宋_GB2312" w:hAnsi="Calibri" w:hint="eastAsia"/>
          <w:sz w:val="32"/>
          <w:szCs w:val="32"/>
        </w:rPr>
        <w:t>598.92</w:t>
      </w:r>
      <w:r w:rsidR="00D70C7A">
        <w:rPr>
          <w:rFonts w:ascii="仿宋_GB2312" w:eastAsia="仿宋_GB2312" w:hAnsi="Calibri" w:hint="eastAsia"/>
          <w:sz w:val="32"/>
          <w:szCs w:val="32"/>
        </w:rPr>
        <w:t>亿美元，</w:t>
      </w:r>
      <w:r>
        <w:rPr>
          <w:rFonts w:ascii="仿宋_GB2312" w:eastAsia="仿宋_GB2312" w:hAnsi="Calibri" w:hint="eastAsia"/>
          <w:sz w:val="32"/>
          <w:szCs w:val="32"/>
        </w:rPr>
        <w:t>下降37.2%</w:t>
      </w:r>
      <w:r w:rsidR="00D70C7A">
        <w:rPr>
          <w:rFonts w:ascii="仿宋_GB2312" w:eastAsia="仿宋_GB2312" w:hAnsi="Calibri" w:hint="eastAsia"/>
          <w:sz w:val="32"/>
          <w:szCs w:val="32"/>
        </w:rPr>
        <w:t>；出口总额</w:t>
      </w:r>
      <w:r>
        <w:rPr>
          <w:rFonts w:ascii="仿宋_GB2312" w:eastAsia="仿宋_GB2312" w:hAnsi="Calibri" w:hint="eastAsia"/>
          <w:sz w:val="32"/>
          <w:szCs w:val="32"/>
        </w:rPr>
        <w:t>472.17</w:t>
      </w:r>
      <w:r w:rsidR="00D70C7A">
        <w:rPr>
          <w:rFonts w:ascii="仿宋_GB2312" w:eastAsia="仿宋_GB2312" w:hAnsi="Calibri" w:hint="eastAsia"/>
          <w:sz w:val="32"/>
          <w:szCs w:val="32"/>
        </w:rPr>
        <w:t>亿美元，</w:t>
      </w:r>
      <w:r>
        <w:rPr>
          <w:rFonts w:ascii="仿宋_GB2312" w:eastAsia="仿宋_GB2312" w:hAnsi="Calibri" w:hint="eastAsia"/>
          <w:sz w:val="32"/>
          <w:szCs w:val="32"/>
        </w:rPr>
        <w:t>下降47.1%</w:t>
      </w:r>
      <w:r w:rsidR="00730A15">
        <w:rPr>
          <w:rFonts w:ascii="仿宋_GB2312" w:eastAsia="仿宋_GB2312" w:hAnsi="Calibri" w:hint="eastAsia"/>
          <w:sz w:val="32"/>
          <w:szCs w:val="32"/>
        </w:rPr>
        <w:t>。</w:t>
      </w:r>
    </w:p>
    <w:p w:rsidR="0072481C" w:rsidRDefault="0072481C" w:rsidP="00821680">
      <w:pPr>
        <w:ind w:firstLineChars="200" w:firstLine="640"/>
        <w:rPr>
          <w:rFonts w:ascii="仿宋_GB2312" w:eastAsia="仿宋_GB2312" w:hAnsi="Calibri"/>
          <w:sz w:val="32"/>
          <w:szCs w:val="32"/>
        </w:rPr>
      </w:pPr>
      <w:r>
        <w:rPr>
          <w:rFonts w:ascii="仿宋" w:eastAsia="仿宋" w:hAnsi="仿宋"/>
          <w:noProof/>
          <w:sz w:val="32"/>
          <w:szCs w:val="32"/>
        </w:rPr>
        <w:drawing>
          <wp:anchor distT="0" distB="0" distL="114300" distR="114300" simplePos="0" relativeHeight="251659264" behindDoc="0" locked="0" layoutInCell="1" allowOverlap="1" wp14:anchorId="6589D64A" wp14:editId="73EEBD1B">
            <wp:simplePos x="0" y="0"/>
            <wp:positionH relativeFrom="margin">
              <wp:posOffset>0</wp:posOffset>
            </wp:positionH>
            <wp:positionV relativeFrom="page">
              <wp:posOffset>5838190</wp:posOffset>
            </wp:positionV>
            <wp:extent cx="5667375" cy="3144520"/>
            <wp:effectExtent l="0" t="0" r="9525" b="17780"/>
            <wp:wrapTopAndBottom/>
            <wp:docPr id="5"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821680" w:rsidRPr="00821680" w:rsidRDefault="00821680" w:rsidP="00821680">
      <w:pPr>
        <w:jc w:val="center"/>
        <w:rPr>
          <w:rFonts w:ascii="宋体" w:hAnsi="宋体"/>
          <w:sz w:val="28"/>
          <w:szCs w:val="28"/>
        </w:rPr>
      </w:pPr>
      <w:r w:rsidRPr="00821680">
        <w:rPr>
          <w:rFonts w:ascii="宋体" w:hAnsi="宋体" w:hint="eastAsia"/>
          <w:sz w:val="28"/>
          <w:szCs w:val="28"/>
        </w:rPr>
        <w:t>图9  2010-2014年进出口总额及</w:t>
      </w:r>
      <w:r w:rsidR="004E700A">
        <w:rPr>
          <w:rFonts w:ascii="宋体" w:hAnsi="宋体" w:hint="eastAsia"/>
          <w:sz w:val="28"/>
          <w:szCs w:val="28"/>
        </w:rPr>
        <w:t>出口总额</w:t>
      </w:r>
      <w:r w:rsidRPr="00821680">
        <w:rPr>
          <w:rFonts w:ascii="宋体" w:hAnsi="宋体" w:hint="eastAsia"/>
          <w:sz w:val="28"/>
          <w:szCs w:val="28"/>
        </w:rPr>
        <w:t>增长速度</w:t>
      </w:r>
    </w:p>
    <w:p w:rsidR="00730A15" w:rsidRDefault="00F52BAB"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出口</w:t>
      </w:r>
      <w:r>
        <w:rPr>
          <w:rFonts w:ascii="仿宋_GB2312" w:eastAsia="仿宋_GB2312" w:hAnsi="Calibri"/>
          <w:sz w:val="32"/>
          <w:szCs w:val="32"/>
        </w:rPr>
        <w:t>总额中，</w:t>
      </w:r>
      <w:r w:rsidR="00F2109E">
        <w:rPr>
          <w:rFonts w:ascii="仿宋_GB2312" w:eastAsia="仿宋_GB2312" w:hAnsi="Calibri" w:hint="eastAsia"/>
          <w:sz w:val="32"/>
          <w:szCs w:val="32"/>
        </w:rPr>
        <w:t>从</w:t>
      </w:r>
      <w:r w:rsidR="00F2109E">
        <w:rPr>
          <w:rFonts w:ascii="仿宋_GB2312" w:eastAsia="仿宋_GB2312" w:hAnsi="Calibri"/>
          <w:sz w:val="32"/>
          <w:szCs w:val="32"/>
        </w:rPr>
        <w:t>企业性质</w:t>
      </w:r>
      <w:r w:rsidR="00F2109E">
        <w:rPr>
          <w:rFonts w:ascii="仿宋_GB2312" w:eastAsia="仿宋_GB2312" w:hAnsi="Calibri" w:hint="eastAsia"/>
          <w:sz w:val="32"/>
          <w:szCs w:val="32"/>
        </w:rPr>
        <w:t>看：</w:t>
      </w:r>
      <w:r w:rsidR="00F2109E">
        <w:rPr>
          <w:rFonts w:ascii="仿宋_GB2312" w:eastAsia="仿宋_GB2312" w:hAnsi="Calibri"/>
          <w:sz w:val="32"/>
          <w:szCs w:val="32"/>
        </w:rPr>
        <w:t>国有企业出口总额</w:t>
      </w:r>
      <w:r w:rsidR="00F2109E">
        <w:rPr>
          <w:rFonts w:ascii="仿宋_GB2312" w:eastAsia="仿宋_GB2312" w:hAnsi="Calibri" w:hint="eastAsia"/>
          <w:sz w:val="32"/>
          <w:szCs w:val="32"/>
        </w:rPr>
        <w:t>33.00亿美</w:t>
      </w:r>
      <w:r w:rsidR="00F2109E">
        <w:rPr>
          <w:rFonts w:ascii="仿宋_GB2312" w:eastAsia="仿宋_GB2312" w:hAnsi="Calibri" w:hint="eastAsia"/>
          <w:sz w:val="32"/>
          <w:szCs w:val="32"/>
        </w:rPr>
        <w:lastRenderedPageBreak/>
        <w:t>元</w:t>
      </w:r>
      <w:r w:rsidR="00F2109E">
        <w:rPr>
          <w:rFonts w:ascii="仿宋_GB2312" w:eastAsia="仿宋_GB2312" w:hAnsi="Calibri"/>
          <w:sz w:val="32"/>
          <w:szCs w:val="32"/>
        </w:rPr>
        <w:t>，</w:t>
      </w:r>
      <w:r w:rsidR="00F2109E">
        <w:rPr>
          <w:rFonts w:ascii="仿宋_GB2312" w:eastAsia="仿宋_GB2312" w:hAnsi="Calibri" w:hint="eastAsia"/>
          <w:sz w:val="32"/>
          <w:szCs w:val="32"/>
        </w:rPr>
        <w:t>下降2.6</w:t>
      </w:r>
      <w:r w:rsidR="00F2109E">
        <w:rPr>
          <w:rFonts w:ascii="仿宋_GB2312" w:eastAsia="仿宋_GB2312" w:hAnsi="Calibri"/>
          <w:sz w:val="32"/>
          <w:szCs w:val="32"/>
        </w:rPr>
        <w:t>%；三资企业出口总额</w:t>
      </w:r>
      <w:r w:rsidR="00F2109E">
        <w:rPr>
          <w:rFonts w:ascii="仿宋_GB2312" w:eastAsia="仿宋_GB2312" w:hAnsi="Calibri" w:hint="eastAsia"/>
          <w:sz w:val="32"/>
          <w:szCs w:val="32"/>
        </w:rPr>
        <w:t>237.80亿美元</w:t>
      </w:r>
      <w:r w:rsidR="00F2109E">
        <w:rPr>
          <w:rFonts w:ascii="仿宋_GB2312" w:eastAsia="仿宋_GB2312" w:hAnsi="Calibri"/>
          <w:sz w:val="32"/>
          <w:szCs w:val="32"/>
        </w:rPr>
        <w:t>，下降</w:t>
      </w:r>
      <w:r w:rsidR="00F2109E">
        <w:rPr>
          <w:rFonts w:ascii="仿宋_GB2312" w:eastAsia="仿宋_GB2312" w:hAnsi="Calibri" w:hint="eastAsia"/>
          <w:sz w:val="32"/>
          <w:szCs w:val="32"/>
        </w:rPr>
        <w:t>14.4</w:t>
      </w:r>
      <w:r w:rsidR="00F2109E">
        <w:rPr>
          <w:rFonts w:ascii="仿宋_GB2312" w:eastAsia="仿宋_GB2312" w:hAnsi="Calibri"/>
          <w:sz w:val="32"/>
          <w:szCs w:val="32"/>
        </w:rPr>
        <w:t>%；民营企业出口总额</w:t>
      </w:r>
      <w:r w:rsidR="00F2109E">
        <w:rPr>
          <w:rFonts w:ascii="仿宋_GB2312" w:eastAsia="仿宋_GB2312" w:hAnsi="Calibri" w:hint="eastAsia"/>
          <w:sz w:val="32"/>
          <w:szCs w:val="32"/>
        </w:rPr>
        <w:t>201.37亿美元</w:t>
      </w:r>
      <w:r w:rsidR="00F2109E">
        <w:rPr>
          <w:rFonts w:ascii="仿宋_GB2312" w:eastAsia="仿宋_GB2312" w:hAnsi="Calibri"/>
          <w:sz w:val="32"/>
          <w:szCs w:val="32"/>
        </w:rPr>
        <w:t>，下降</w:t>
      </w:r>
      <w:r w:rsidR="00F2109E">
        <w:rPr>
          <w:rFonts w:ascii="仿宋_GB2312" w:eastAsia="仿宋_GB2312" w:hAnsi="Calibri" w:hint="eastAsia"/>
          <w:sz w:val="32"/>
          <w:szCs w:val="32"/>
        </w:rPr>
        <w:t>65.3</w:t>
      </w:r>
      <w:r w:rsidR="00F2109E">
        <w:rPr>
          <w:rFonts w:ascii="仿宋_GB2312" w:eastAsia="仿宋_GB2312" w:hAnsi="Calibri"/>
          <w:sz w:val="32"/>
          <w:szCs w:val="32"/>
        </w:rPr>
        <w:t>%。</w:t>
      </w:r>
      <w:r w:rsidR="00F2109E">
        <w:rPr>
          <w:rFonts w:ascii="仿宋_GB2312" w:eastAsia="仿宋_GB2312" w:hAnsi="Calibri" w:hint="eastAsia"/>
          <w:sz w:val="32"/>
          <w:szCs w:val="32"/>
        </w:rPr>
        <w:t>从</w:t>
      </w:r>
      <w:r w:rsidR="00F2109E">
        <w:rPr>
          <w:rFonts w:ascii="仿宋_GB2312" w:eastAsia="仿宋_GB2312" w:hAnsi="Calibri"/>
          <w:sz w:val="32"/>
          <w:szCs w:val="32"/>
        </w:rPr>
        <w:t>出口地域</w:t>
      </w:r>
      <w:r w:rsidR="00F2109E">
        <w:rPr>
          <w:rFonts w:ascii="仿宋_GB2312" w:eastAsia="仿宋_GB2312" w:hAnsi="Calibri" w:hint="eastAsia"/>
          <w:sz w:val="32"/>
          <w:szCs w:val="32"/>
        </w:rPr>
        <w:t>看</w:t>
      </w:r>
      <w:r w:rsidR="00F2109E">
        <w:rPr>
          <w:rFonts w:ascii="仿宋_GB2312" w:eastAsia="仿宋_GB2312" w:hAnsi="Calibri"/>
          <w:sz w:val="32"/>
          <w:szCs w:val="32"/>
        </w:rPr>
        <w:t>：对港澳台出口总额</w:t>
      </w:r>
      <w:r w:rsidR="00F2109E">
        <w:rPr>
          <w:rFonts w:ascii="仿宋_GB2312" w:eastAsia="仿宋_GB2312" w:hAnsi="Calibri" w:hint="eastAsia"/>
          <w:sz w:val="32"/>
          <w:szCs w:val="32"/>
        </w:rPr>
        <w:t>311.34亿美元</w:t>
      </w:r>
      <w:r w:rsidR="00F2109E">
        <w:rPr>
          <w:rFonts w:ascii="仿宋_GB2312" w:eastAsia="仿宋_GB2312" w:hAnsi="Calibri"/>
          <w:sz w:val="32"/>
          <w:szCs w:val="32"/>
        </w:rPr>
        <w:t>，下降</w:t>
      </w:r>
      <w:r w:rsidR="00F2109E">
        <w:rPr>
          <w:rFonts w:ascii="仿宋_GB2312" w:eastAsia="仿宋_GB2312" w:hAnsi="Calibri" w:hint="eastAsia"/>
          <w:sz w:val="32"/>
          <w:szCs w:val="32"/>
        </w:rPr>
        <w:t>57.3</w:t>
      </w:r>
      <w:r w:rsidR="00F2109E">
        <w:rPr>
          <w:rFonts w:ascii="仿宋_GB2312" w:eastAsia="仿宋_GB2312" w:hAnsi="Calibri"/>
          <w:sz w:val="32"/>
          <w:szCs w:val="32"/>
        </w:rPr>
        <w:t>%，占全区出口总额的</w:t>
      </w:r>
      <w:r w:rsidR="00F2109E">
        <w:rPr>
          <w:rFonts w:ascii="仿宋_GB2312" w:eastAsia="仿宋_GB2312" w:hAnsi="Calibri" w:hint="eastAsia"/>
          <w:sz w:val="32"/>
          <w:szCs w:val="32"/>
        </w:rPr>
        <w:t>65.9</w:t>
      </w:r>
      <w:r w:rsidR="00F2109E">
        <w:rPr>
          <w:rFonts w:ascii="仿宋_GB2312" w:eastAsia="仿宋_GB2312" w:hAnsi="Calibri"/>
          <w:sz w:val="32"/>
          <w:szCs w:val="32"/>
        </w:rPr>
        <w:t>%。</w:t>
      </w:r>
    </w:p>
    <w:p w:rsidR="00FD1C65" w:rsidRDefault="00D639F6" w:rsidP="00D6122B">
      <w:pPr>
        <w:jc w:val="left"/>
        <w:rPr>
          <w:rFonts w:ascii="仿宋_GB2312" w:eastAsia="仿宋_GB2312" w:hAnsi="Calibri"/>
          <w:sz w:val="32"/>
          <w:szCs w:val="32"/>
        </w:rPr>
      </w:pPr>
      <w:r>
        <w:rPr>
          <w:rFonts w:ascii="仿宋_GB2312" w:eastAsia="仿宋_GB2312" w:hAnsi="Calibri" w:hint="eastAsia"/>
          <w:noProof/>
          <w:sz w:val="32"/>
          <w:szCs w:val="32"/>
        </w:rPr>
        <w:drawing>
          <wp:inline distT="0" distB="0" distL="0" distR="0">
            <wp:extent cx="2752725" cy="290512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仿宋_GB2312" w:eastAsia="仿宋_GB2312" w:hAnsi="Calibri" w:hint="eastAsia"/>
          <w:noProof/>
          <w:sz w:val="32"/>
          <w:szCs w:val="32"/>
        </w:rPr>
        <w:drawing>
          <wp:inline distT="0" distB="0" distL="0" distR="0">
            <wp:extent cx="2971800" cy="2905125"/>
            <wp:effectExtent l="0" t="0" r="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122B" w:rsidRDefault="00D6122B" w:rsidP="00D6122B">
      <w:pPr>
        <w:ind w:firstLineChars="200" w:firstLine="640"/>
        <w:rPr>
          <w:rFonts w:ascii="仿宋_GB2312" w:eastAsia="仿宋_GB2312" w:hAnsi="Calibri"/>
          <w:sz w:val="32"/>
          <w:szCs w:val="32"/>
        </w:rPr>
        <w:sectPr w:rsidR="00D6122B" w:rsidSect="00D70C7A">
          <w:footerReference w:type="even" r:id="rId17"/>
          <w:footerReference w:type="default" r:id="rId18"/>
          <w:pgSz w:w="11906" w:h="16838"/>
          <w:pgMar w:top="1701" w:right="1418" w:bottom="1418" w:left="1418" w:header="851" w:footer="992" w:gutter="0"/>
          <w:cols w:space="425"/>
          <w:docGrid w:type="lines" w:linePitch="312"/>
        </w:sectPr>
      </w:pPr>
    </w:p>
    <w:p w:rsidR="00D6122B" w:rsidRPr="00D6122B" w:rsidRDefault="00D6122B" w:rsidP="00D6122B">
      <w:pPr>
        <w:rPr>
          <w:rFonts w:ascii="宋体" w:hAnsi="宋体"/>
          <w:sz w:val="28"/>
          <w:szCs w:val="28"/>
        </w:rPr>
      </w:pPr>
      <w:r w:rsidRPr="00D6122B">
        <w:rPr>
          <w:rFonts w:ascii="宋体" w:hAnsi="宋体" w:hint="eastAsia"/>
          <w:sz w:val="28"/>
          <w:szCs w:val="28"/>
        </w:rPr>
        <w:lastRenderedPageBreak/>
        <w:t>图10  出口总额按贸易方式分类比例图</w:t>
      </w:r>
    </w:p>
    <w:p w:rsidR="00D6122B" w:rsidRPr="00D6122B" w:rsidRDefault="00D6122B" w:rsidP="00D6122B">
      <w:pPr>
        <w:rPr>
          <w:rFonts w:ascii="宋体" w:hAnsi="宋体"/>
          <w:sz w:val="28"/>
          <w:szCs w:val="28"/>
        </w:rPr>
      </w:pPr>
      <w:r w:rsidRPr="00D6122B">
        <w:rPr>
          <w:rFonts w:ascii="宋体" w:hAnsi="宋体" w:hint="eastAsia"/>
          <w:sz w:val="28"/>
          <w:szCs w:val="28"/>
        </w:rPr>
        <w:lastRenderedPageBreak/>
        <w:t>图11 出口总额按产品类型分类比例图</w:t>
      </w:r>
    </w:p>
    <w:p w:rsidR="00D6122B" w:rsidRPr="00D6122B" w:rsidRDefault="00D6122B" w:rsidP="00D70C7A">
      <w:pPr>
        <w:ind w:firstLineChars="200" w:firstLine="560"/>
        <w:rPr>
          <w:rFonts w:ascii="宋体" w:hAnsi="宋体"/>
          <w:sz w:val="28"/>
          <w:szCs w:val="28"/>
        </w:rPr>
        <w:sectPr w:rsidR="00D6122B" w:rsidRPr="00D6122B" w:rsidSect="00D6122B">
          <w:type w:val="continuous"/>
          <w:pgSz w:w="11906" w:h="16838"/>
          <w:pgMar w:top="1701" w:right="1418" w:bottom="1418" w:left="1418" w:header="851" w:footer="992" w:gutter="0"/>
          <w:cols w:num="2" w:space="425"/>
          <w:docGrid w:type="lines" w:linePitch="312"/>
        </w:sectPr>
      </w:pPr>
    </w:p>
    <w:p w:rsidR="00D70C7A" w:rsidRDefault="00D37E2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全年</w:t>
      </w:r>
      <w:r w:rsidR="00D70C7A">
        <w:rPr>
          <w:rFonts w:ascii="仿宋_GB2312" w:eastAsia="仿宋_GB2312" w:hAnsi="Calibri" w:hint="eastAsia"/>
          <w:sz w:val="32"/>
          <w:szCs w:val="32"/>
        </w:rPr>
        <w:t>引进外资项目</w:t>
      </w:r>
      <w:r w:rsidR="00971C42">
        <w:rPr>
          <w:rFonts w:ascii="仿宋_GB2312" w:eastAsia="仿宋_GB2312" w:hAnsi="Calibri" w:hint="eastAsia"/>
          <w:sz w:val="32"/>
          <w:szCs w:val="32"/>
        </w:rPr>
        <w:t>578</w:t>
      </w:r>
      <w:r w:rsidR="00D70C7A">
        <w:rPr>
          <w:rFonts w:ascii="仿宋_GB2312" w:eastAsia="仿宋_GB2312" w:hAnsi="Calibri" w:hint="eastAsia"/>
          <w:sz w:val="32"/>
          <w:szCs w:val="32"/>
        </w:rPr>
        <w:t>个，增长</w:t>
      </w:r>
      <w:r w:rsidR="00971C42">
        <w:rPr>
          <w:rFonts w:ascii="仿宋_GB2312" w:eastAsia="仿宋_GB2312" w:hAnsi="Calibri" w:hint="eastAsia"/>
          <w:sz w:val="32"/>
          <w:szCs w:val="32"/>
        </w:rPr>
        <w:t>9.5%</w:t>
      </w:r>
      <w:r w:rsidR="00D70C7A">
        <w:rPr>
          <w:rFonts w:ascii="仿宋_GB2312" w:eastAsia="仿宋_GB2312" w:hAnsi="Calibri" w:hint="eastAsia"/>
          <w:sz w:val="32"/>
          <w:szCs w:val="32"/>
        </w:rPr>
        <w:t>。合同外资金额</w:t>
      </w:r>
      <w:r w:rsidR="00C36CFF">
        <w:rPr>
          <w:rFonts w:ascii="仿宋_GB2312" w:eastAsia="仿宋_GB2312" w:hAnsi="Calibri" w:hint="eastAsia"/>
          <w:sz w:val="32"/>
          <w:szCs w:val="32"/>
        </w:rPr>
        <w:t>13.11</w:t>
      </w:r>
      <w:r w:rsidR="00D70C7A">
        <w:rPr>
          <w:rFonts w:ascii="仿宋_GB2312" w:eastAsia="仿宋_GB2312" w:hAnsi="Calibri" w:hint="eastAsia"/>
          <w:sz w:val="32"/>
          <w:szCs w:val="32"/>
        </w:rPr>
        <w:t>亿美元，增长</w:t>
      </w:r>
      <w:r w:rsidR="00C36CFF">
        <w:rPr>
          <w:rFonts w:ascii="仿宋_GB2312" w:eastAsia="仿宋_GB2312" w:hAnsi="Calibri" w:hint="eastAsia"/>
          <w:sz w:val="32"/>
          <w:szCs w:val="32"/>
        </w:rPr>
        <w:t>20.5</w:t>
      </w:r>
      <w:r w:rsidR="00D70C7A">
        <w:rPr>
          <w:rFonts w:ascii="仿宋_GB2312" w:eastAsia="仿宋_GB2312" w:hAnsi="Calibri" w:hint="eastAsia"/>
          <w:sz w:val="32"/>
          <w:szCs w:val="32"/>
        </w:rPr>
        <w:t>%。实际使用外资金额</w:t>
      </w:r>
      <w:r w:rsidR="00D70C7A">
        <w:rPr>
          <w:rFonts w:ascii="仿宋_GB2312" w:eastAsia="仿宋_GB2312" w:hAnsi="Calibri"/>
          <w:sz w:val="32"/>
          <w:szCs w:val="32"/>
        </w:rPr>
        <w:t>1</w:t>
      </w:r>
      <w:r w:rsidR="00C36CFF">
        <w:rPr>
          <w:rFonts w:ascii="仿宋_GB2312" w:eastAsia="仿宋_GB2312" w:hAnsi="Calibri" w:hint="eastAsia"/>
          <w:sz w:val="32"/>
          <w:szCs w:val="32"/>
        </w:rPr>
        <w:t>7.12</w:t>
      </w:r>
      <w:r w:rsidR="00D70C7A">
        <w:rPr>
          <w:rFonts w:ascii="仿宋_GB2312" w:eastAsia="仿宋_GB2312" w:hAnsi="Calibri" w:hint="eastAsia"/>
          <w:sz w:val="32"/>
          <w:szCs w:val="32"/>
        </w:rPr>
        <w:t>亿美元，增长</w:t>
      </w:r>
      <w:r w:rsidR="00C36CFF">
        <w:rPr>
          <w:rFonts w:ascii="仿宋_GB2312" w:eastAsia="仿宋_GB2312" w:hAnsi="Calibri" w:hint="eastAsia"/>
          <w:sz w:val="32"/>
          <w:szCs w:val="32"/>
        </w:rPr>
        <w:t>24.6</w:t>
      </w:r>
      <w:r w:rsidR="00D70C7A">
        <w:rPr>
          <w:rFonts w:ascii="仿宋_GB2312" w:eastAsia="仿宋_GB2312" w:hAnsi="Calibri" w:hint="eastAsia"/>
          <w:sz w:val="32"/>
          <w:szCs w:val="32"/>
        </w:rPr>
        <w:t>%，其中</w:t>
      </w:r>
      <w:r w:rsidR="00D70C7A">
        <w:rPr>
          <w:rFonts w:ascii="仿宋_GB2312" w:eastAsia="仿宋_GB2312" w:hAnsi="Calibri"/>
          <w:sz w:val="32"/>
          <w:szCs w:val="32"/>
        </w:rPr>
        <w:t>港澳台地区实际使用外资</w:t>
      </w:r>
      <w:r w:rsidR="00D70C7A">
        <w:rPr>
          <w:rFonts w:ascii="仿宋_GB2312" w:eastAsia="仿宋_GB2312" w:hAnsi="Calibri" w:hint="eastAsia"/>
          <w:sz w:val="32"/>
          <w:szCs w:val="32"/>
        </w:rPr>
        <w:t>1</w:t>
      </w:r>
      <w:r w:rsidR="00E7708D">
        <w:rPr>
          <w:rFonts w:ascii="仿宋_GB2312" w:eastAsia="仿宋_GB2312" w:hAnsi="Calibri" w:hint="eastAsia"/>
          <w:sz w:val="32"/>
          <w:szCs w:val="32"/>
        </w:rPr>
        <w:t>3.64</w:t>
      </w:r>
      <w:r w:rsidR="00D70C7A">
        <w:rPr>
          <w:rFonts w:ascii="仿宋_GB2312" w:eastAsia="仿宋_GB2312" w:hAnsi="Calibri" w:hint="eastAsia"/>
          <w:sz w:val="32"/>
          <w:szCs w:val="32"/>
        </w:rPr>
        <w:t>亿美元</w:t>
      </w:r>
      <w:r w:rsidR="00D70C7A">
        <w:rPr>
          <w:rFonts w:ascii="仿宋_GB2312" w:eastAsia="仿宋_GB2312" w:hAnsi="Calibri"/>
          <w:sz w:val="32"/>
          <w:szCs w:val="32"/>
        </w:rPr>
        <w:t>，增长</w:t>
      </w:r>
      <w:r w:rsidR="00D70C7A">
        <w:rPr>
          <w:rFonts w:ascii="仿宋_GB2312" w:eastAsia="仿宋_GB2312" w:hAnsi="Calibri" w:hint="eastAsia"/>
          <w:sz w:val="32"/>
          <w:szCs w:val="32"/>
        </w:rPr>
        <w:t>2</w:t>
      </w:r>
      <w:r w:rsidR="00E7708D">
        <w:rPr>
          <w:rFonts w:ascii="仿宋_GB2312" w:eastAsia="仿宋_GB2312" w:hAnsi="Calibri" w:hint="eastAsia"/>
          <w:sz w:val="32"/>
          <w:szCs w:val="32"/>
        </w:rPr>
        <w:t>6.9</w:t>
      </w:r>
      <w:r w:rsidR="00D70C7A">
        <w:rPr>
          <w:rFonts w:ascii="仿宋_GB2312" w:eastAsia="仿宋_GB2312" w:hAnsi="Calibri"/>
          <w:sz w:val="32"/>
          <w:szCs w:val="32"/>
        </w:rPr>
        <w:t>%</w:t>
      </w:r>
      <w:r w:rsidR="00D70C7A">
        <w:rPr>
          <w:rFonts w:ascii="仿宋_GB2312" w:eastAsia="仿宋_GB2312" w:hAnsi="Calibri" w:hint="eastAsia"/>
          <w:sz w:val="32"/>
          <w:szCs w:val="32"/>
        </w:rPr>
        <w:t>，</w:t>
      </w:r>
      <w:r w:rsidR="00D70C7A">
        <w:rPr>
          <w:rFonts w:ascii="仿宋_GB2312" w:eastAsia="仿宋_GB2312" w:hAnsi="Calibri"/>
          <w:sz w:val="32"/>
          <w:szCs w:val="32"/>
        </w:rPr>
        <w:t>占实际使用外资总额的7</w:t>
      </w:r>
      <w:r w:rsidR="00AB13CF">
        <w:rPr>
          <w:rFonts w:ascii="仿宋_GB2312" w:eastAsia="仿宋_GB2312" w:hAnsi="Calibri" w:hint="eastAsia"/>
          <w:sz w:val="32"/>
          <w:szCs w:val="32"/>
        </w:rPr>
        <w:t>9.7</w:t>
      </w:r>
      <w:r w:rsidR="00D70C7A">
        <w:rPr>
          <w:rFonts w:ascii="仿宋_GB2312" w:eastAsia="仿宋_GB2312" w:hAnsi="Calibri"/>
          <w:sz w:val="32"/>
          <w:szCs w:val="32"/>
        </w:rPr>
        <w:t>%。</w:t>
      </w:r>
      <w:r w:rsidR="00D70C7A">
        <w:rPr>
          <w:rFonts w:ascii="仿宋_GB2312" w:eastAsia="仿宋_GB2312" w:hAnsi="Calibri" w:hint="eastAsia"/>
          <w:sz w:val="32"/>
          <w:szCs w:val="32"/>
        </w:rPr>
        <w:t>分</w:t>
      </w:r>
      <w:r w:rsidR="00D70C7A">
        <w:rPr>
          <w:rFonts w:ascii="仿宋_GB2312" w:eastAsia="仿宋_GB2312" w:hAnsi="Calibri"/>
          <w:sz w:val="32"/>
          <w:szCs w:val="32"/>
        </w:rPr>
        <w:t>行业看，</w:t>
      </w:r>
      <w:r w:rsidR="00D70C7A">
        <w:rPr>
          <w:rFonts w:ascii="仿宋_GB2312" w:eastAsia="仿宋_GB2312" w:hAnsi="Calibri" w:hint="eastAsia"/>
          <w:sz w:val="32"/>
          <w:szCs w:val="32"/>
        </w:rPr>
        <w:t>租赁</w:t>
      </w:r>
      <w:r w:rsidR="00D70C7A">
        <w:rPr>
          <w:rFonts w:ascii="仿宋_GB2312" w:eastAsia="仿宋_GB2312" w:hAnsi="Calibri"/>
          <w:sz w:val="32"/>
          <w:szCs w:val="32"/>
        </w:rPr>
        <w:t>和商务服务业实际使用外资</w:t>
      </w:r>
      <w:r w:rsidR="00AB13CF">
        <w:rPr>
          <w:rFonts w:ascii="仿宋_GB2312" w:eastAsia="仿宋_GB2312" w:hAnsi="Calibri" w:hint="eastAsia"/>
          <w:sz w:val="32"/>
          <w:szCs w:val="32"/>
        </w:rPr>
        <w:t>7.24</w:t>
      </w:r>
      <w:r w:rsidR="00D70C7A">
        <w:rPr>
          <w:rFonts w:ascii="仿宋_GB2312" w:eastAsia="仿宋_GB2312" w:hAnsi="Calibri" w:hint="eastAsia"/>
          <w:sz w:val="32"/>
          <w:szCs w:val="32"/>
        </w:rPr>
        <w:t>亿美元，占</w:t>
      </w:r>
      <w:r w:rsidR="00D70C7A">
        <w:rPr>
          <w:rFonts w:ascii="仿宋_GB2312" w:eastAsia="仿宋_GB2312" w:hAnsi="Calibri"/>
          <w:sz w:val="32"/>
          <w:szCs w:val="32"/>
        </w:rPr>
        <w:t>实际使用外资总额的</w:t>
      </w:r>
      <w:r w:rsidR="00D70C7A">
        <w:rPr>
          <w:rFonts w:ascii="仿宋_GB2312" w:eastAsia="仿宋_GB2312" w:hAnsi="Calibri" w:hint="eastAsia"/>
          <w:sz w:val="32"/>
          <w:szCs w:val="32"/>
        </w:rPr>
        <w:t>4</w:t>
      </w:r>
      <w:r w:rsidR="00AB13CF">
        <w:rPr>
          <w:rFonts w:ascii="仿宋_GB2312" w:eastAsia="仿宋_GB2312" w:hAnsi="Calibri" w:hint="eastAsia"/>
          <w:sz w:val="32"/>
          <w:szCs w:val="32"/>
        </w:rPr>
        <w:t>2.3</w:t>
      </w:r>
      <w:r w:rsidR="00D70C7A">
        <w:rPr>
          <w:rFonts w:ascii="仿宋_GB2312" w:eastAsia="仿宋_GB2312" w:hAnsi="Calibri"/>
          <w:sz w:val="32"/>
          <w:szCs w:val="32"/>
        </w:rPr>
        <w:t>%</w:t>
      </w:r>
      <w:r w:rsidR="00D70C7A">
        <w:rPr>
          <w:rFonts w:ascii="仿宋_GB2312" w:eastAsia="仿宋_GB2312" w:hAnsi="Calibri" w:hint="eastAsia"/>
          <w:sz w:val="32"/>
          <w:szCs w:val="32"/>
        </w:rPr>
        <w:t>；房地产业</w:t>
      </w:r>
      <w:r w:rsidR="00D70C7A">
        <w:rPr>
          <w:rFonts w:ascii="仿宋_GB2312" w:eastAsia="仿宋_GB2312" w:hAnsi="Calibri"/>
          <w:sz w:val="32"/>
          <w:szCs w:val="32"/>
        </w:rPr>
        <w:t>实际使用外资</w:t>
      </w:r>
      <w:r w:rsidR="00D70C7A">
        <w:rPr>
          <w:rFonts w:ascii="仿宋_GB2312" w:eastAsia="仿宋_GB2312" w:hAnsi="Calibri" w:hint="eastAsia"/>
          <w:sz w:val="32"/>
          <w:szCs w:val="32"/>
        </w:rPr>
        <w:t>3.</w:t>
      </w:r>
      <w:r w:rsidR="00770657">
        <w:rPr>
          <w:rFonts w:ascii="仿宋_GB2312" w:eastAsia="仿宋_GB2312" w:hAnsi="Calibri" w:hint="eastAsia"/>
          <w:sz w:val="32"/>
          <w:szCs w:val="32"/>
        </w:rPr>
        <w:t>83</w:t>
      </w:r>
      <w:r w:rsidR="00D70C7A">
        <w:rPr>
          <w:rFonts w:ascii="仿宋_GB2312" w:eastAsia="仿宋_GB2312" w:hAnsi="Calibri" w:hint="eastAsia"/>
          <w:sz w:val="32"/>
          <w:szCs w:val="32"/>
        </w:rPr>
        <w:t>亿美元，占</w:t>
      </w:r>
      <w:r w:rsidR="00D70C7A">
        <w:rPr>
          <w:rFonts w:ascii="仿宋_GB2312" w:eastAsia="仿宋_GB2312" w:hAnsi="Calibri"/>
          <w:sz w:val="32"/>
          <w:szCs w:val="32"/>
        </w:rPr>
        <w:t>实际使用外资总额的2</w:t>
      </w:r>
      <w:r w:rsidR="00770657">
        <w:rPr>
          <w:rFonts w:ascii="仿宋_GB2312" w:eastAsia="仿宋_GB2312" w:hAnsi="Calibri" w:hint="eastAsia"/>
          <w:sz w:val="32"/>
          <w:szCs w:val="32"/>
        </w:rPr>
        <w:t>2.4</w:t>
      </w:r>
      <w:r w:rsidR="00D70C7A">
        <w:rPr>
          <w:rFonts w:ascii="仿宋_GB2312" w:eastAsia="仿宋_GB2312" w:hAnsi="Calibri"/>
          <w:sz w:val="32"/>
          <w:szCs w:val="32"/>
        </w:rPr>
        <w:t>%</w:t>
      </w:r>
      <w:r w:rsidR="00D70C7A">
        <w:rPr>
          <w:rFonts w:ascii="仿宋_GB2312" w:eastAsia="仿宋_GB2312" w:hAnsi="Calibri" w:hint="eastAsia"/>
          <w:sz w:val="32"/>
          <w:szCs w:val="32"/>
        </w:rPr>
        <w:t>；</w:t>
      </w:r>
      <w:r w:rsidR="00CC0E2E">
        <w:rPr>
          <w:rFonts w:ascii="仿宋_GB2312" w:eastAsia="仿宋_GB2312" w:hAnsi="Calibri" w:hint="eastAsia"/>
          <w:sz w:val="32"/>
          <w:szCs w:val="32"/>
        </w:rPr>
        <w:t>批发和零售</w:t>
      </w:r>
      <w:r w:rsidR="00D70C7A">
        <w:rPr>
          <w:rFonts w:ascii="仿宋_GB2312" w:eastAsia="仿宋_GB2312" w:hAnsi="Calibri"/>
          <w:sz w:val="32"/>
          <w:szCs w:val="32"/>
        </w:rPr>
        <w:t>业实际使用外资</w:t>
      </w:r>
      <w:r w:rsidR="00172635">
        <w:rPr>
          <w:rFonts w:ascii="仿宋_GB2312" w:eastAsia="仿宋_GB2312" w:hAnsi="Calibri" w:hint="eastAsia"/>
          <w:sz w:val="32"/>
          <w:szCs w:val="32"/>
        </w:rPr>
        <w:t>3.11</w:t>
      </w:r>
      <w:r w:rsidR="00D70C7A">
        <w:rPr>
          <w:rFonts w:ascii="仿宋_GB2312" w:eastAsia="仿宋_GB2312" w:hAnsi="Calibri" w:hint="eastAsia"/>
          <w:sz w:val="32"/>
          <w:szCs w:val="32"/>
        </w:rPr>
        <w:t>亿美元，占</w:t>
      </w:r>
      <w:r w:rsidR="00D70C7A">
        <w:rPr>
          <w:rFonts w:ascii="仿宋_GB2312" w:eastAsia="仿宋_GB2312" w:hAnsi="Calibri"/>
          <w:sz w:val="32"/>
          <w:szCs w:val="32"/>
        </w:rPr>
        <w:t>实际使用外资总额的1</w:t>
      </w:r>
      <w:r w:rsidR="00172635">
        <w:rPr>
          <w:rFonts w:ascii="仿宋_GB2312" w:eastAsia="仿宋_GB2312" w:hAnsi="Calibri" w:hint="eastAsia"/>
          <w:sz w:val="32"/>
          <w:szCs w:val="32"/>
        </w:rPr>
        <w:t>8.2</w:t>
      </w:r>
      <w:r w:rsidR="00D70C7A">
        <w:rPr>
          <w:rFonts w:ascii="仿宋_GB2312" w:eastAsia="仿宋_GB2312" w:hAnsi="Calibri"/>
          <w:sz w:val="32"/>
          <w:szCs w:val="32"/>
        </w:rPr>
        <w:t>%</w:t>
      </w:r>
      <w:r w:rsidR="00D70C7A">
        <w:rPr>
          <w:rFonts w:ascii="仿宋_GB2312" w:eastAsia="仿宋_GB2312" w:hAnsi="Calibri" w:hint="eastAsia"/>
          <w:sz w:val="32"/>
          <w:szCs w:val="32"/>
        </w:rPr>
        <w:t>。</w:t>
      </w:r>
    </w:p>
    <w:p w:rsidR="00D70C7A" w:rsidRDefault="00D70C7A" w:rsidP="006E5F0E">
      <w:pPr>
        <w:jc w:val="center"/>
        <w:rPr>
          <w:rFonts w:ascii="黑体" w:eastAsia="黑体" w:hAnsi="黑体"/>
          <w:sz w:val="32"/>
          <w:szCs w:val="32"/>
        </w:rPr>
      </w:pPr>
      <w:r>
        <w:rPr>
          <w:rFonts w:ascii="黑体" w:eastAsia="黑体" w:hAnsi="黑体" w:hint="eastAsia"/>
          <w:sz w:val="32"/>
          <w:szCs w:val="32"/>
        </w:rPr>
        <w:t>七、交通运输和邮电业</w:t>
      </w:r>
    </w:p>
    <w:p w:rsidR="00D70C7A" w:rsidRDefault="00D70C7A" w:rsidP="00D70C7A">
      <w:pPr>
        <w:ind w:firstLineChars="200" w:firstLine="640"/>
        <w:rPr>
          <w:rFonts w:ascii="宋体" w:hAnsi="宋体"/>
          <w:sz w:val="28"/>
          <w:szCs w:val="28"/>
        </w:rPr>
      </w:pPr>
      <w:r>
        <w:rPr>
          <w:rFonts w:ascii="仿宋_GB2312" w:eastAsia="仿宋_GB2312" w:hAnsi="Calibri" w:hint="eastAsia"/>
          <w:sz w:val="32"/>
          <w:szCs w:val="32"/>
        </w:rPr>
        <w:lastRenderedPageBreak/>
        <w:t>2</w:t>
      </w:r>
      <w:r>
        <w:rPr>
          <w:rFonts w:ascii="仿宋_GB2312" w:eastAsia="仿宋_GB2312" w:hAnsi="Calibri"/>
          <w:sz w:val="32"/>
          <w:szCs w:val="32"/>
        </w:rPr>
        <w:t>01</w:t>
      </w:r>
      <w:r w:rsidR="00A82645">
        <w:rPr>
          <w:rFonts w:ascii="仿宋_GB2312" w:eastAsia="仿宋_GB2312" w:hAnsi="Calibri"/>
          <w:sz w:val="32"/>
          <w:szCs w:val="32"/>
        </w:rPr>
        <w:t>4</w:t>
      </w:r>
      <w:r>
        <w:rPr>
          <w:rFonts w:ascii="仿宋_GB2312" w:eastAsia="仿宋_GB2312" w:hAnsi="Calibri" w:hint="eastAsia"/>
          <w:sz w:val="32"/>
          <w:szCs w:val="32"/>
        </w:rPr>
        <w:t>年</w:t>
      </w:r>
      <w:r>
        <w:rPr>
          <w:rFonts w:ascii="仿宋_GB2312" w:eastAsia="仿宋_GB2312" w:hAnsi="Calibri"/>
          <w:sz w:val="32"/>
          <w:szCs w:val="32"/>
        </w:rPr>
        <w:t>全区</w:t>
      </w:r>
      <w:r>
        <w:rPr>
          <w:rFonts w:ascii="仿宋_GB2312" w:eastAsia="仿宋_GB2312" w:hAnsi="Calibri" w:hint="eastAsia"/>
          <w:sz w:val="32"/>
          <w:szCs w:val="32"/>
        </w:rPr>
        <w:t>交通运输、仓储</w:t>
      </w:r>
      <w:r w:rsidR="00654DD3">
        <w:rPr>
          <w:rFonts w:ascii="仿宋_GB2312" w:eastAsia="仿宋_GB2312" w:hAnsi="Calibri" w:hint="eastAsia"/>
          <w:sz w:val="32"/>
          <w:szCs w:val="32"/>
        </w:rPr>
        <w:t>和</w:t>
      </w:r>
      <w:r>
        <w:rPr>
          <w:rFonts w:ascii="仿宋_GB2312" w:eastAsia="仿宋_GB2312" w:hAnsi="Calibri" w:hint="eastAsia"/>
          <w:sz w:val="32"/>
          <w:szCs w:val="32"/>
        </w:rPr>
        <w:t>邮政业实现增加值</w:t>
      </w:r>
      <w:r w:rsidR="00BD17BE">
        <w:rPr>
          <w:rFonts w:ascii="仿宋_GB2312" w:eastAsia="仿宋_GB2312" w:hAnsi="Calibri" w:hint="eastAsia"/>
          <w:sz w:val="32"/>
          <w:szCs w:val="32"/>
        </w:rPr>
        <w:t>89.88</w:t>
      </w:r>
      <w:r>
        <w:rPr>
          <w:rFonts w:ascii="仿宋_GB2312" w:eastAsia="仿宋_GB2312" w:hAnsi="Calibri" w:hint="eastAsia"/>
          <w:sz w:val="32"/>
          <w:szCs w:val="32"/>
        </w:rPr>
        <w:t>亿元，增长</w:t>
      </w:r>
      <w:r w:rsidR="00BD17BE">
        <w:rPr>
          <w:rFonts w:ascii="仿宋_GB2312" w:eastAsia="仿宋_GB2312" w:hAnsi="Calibri" w:hint="eastAsia"/>
          <w:sz w:val="32"/>
          <w:szCs w:val="32"/>
        </w:rPr>
        <w:t>9.0%</w:t>
      </w:r>
      <w:r>
        <w:rPr>
          <w:rFonts w:ascii="仿宋_GB2312" w:eastAsia="仿宋_GB2312" w:hAnsi="Calibri" w:hint="eastAsia"/>
          <w:sz w:val="32"/>
          <w:szCs w:val="32"/>
        </w:rPr>
        <w:t>，占地区生产总值的比重为</w:t>
      </w:r>
      <w:r w:rsidR="000077BB">
        <w:rPr>
          <w:rFonts w:ascii="仿宋_GB2312" w:eastAsia="仿宋_GB2312" w:hAnsi="Calibri" w:hint="eastAsia"/>
          <w:sz w:val="32"/>
          <w:szCs w:val="32"/>
        </w:rPr>
        <w:t>3.0%</w:t>
      </w:r>
      <w:r>
        <w:rPr>
          <w:rFonts w:ascii="仿宋_GB2312" w:eastAsia="仿宋_GB2312" w:hAnsi="Calibri" w:hint="eastAsia"/>
          <w:sz w:val="32"/>
          <w:szCs w:val="32"/>
        </w:rPr>
        <w:t>。货运量</w:t>
      </w:r>
      <w:r w:rsidR="00DC49CB">
        <w:rPr>
          <w:rFonts w:ascii="仿宋_GB2312" w:eastAsia="仿宋_GB2312" w:hAnsi="Calibri" w:hint="eastAsia"/>
          <w:sz w:val="32"/>
          <w:szCs w:val="32"/>
        </w:rPr>
        <w:t>8557.33</w:t>
      </w:r>
      <w:r>
        <w:rPr>
          <w:rFonts w:ascii="仿宋_GB2312" w:eastAsia="仿宋_GB2312" w:hAnsi="Calibri" w:hint="eastAsia"/>
          <w:sz w:val="32"/>
          <w:szCs w:val="32"/>
        </w:rPr>
        <w:t>万吨，增长</w:t>
      </w:r>
      <w:r w:rsidR="00DC49CB">
        <w:rPr>
          <w:rFonts w:ascii="仿宋_GB2312" w:eastAsia="仿宋_GB2312" w:hAnsi="Calibri" w:hint="eastAsia"/>
          <w:sz w:val="32"/>
          <w:szCs w:val="32"/>
        </w:rPr>
        <w:t>10.9</w:t>
      </w:r>
      <w:r w:rsidR="00DC49CB">
        <w:rPr>
          <w:rFonts w:ascii="仿宋_GB2312" w:eastAsia="仿宋_GB2312" w:hAnsi="Calibri"/>
          <w:sz w:val="32"/>
          <w:szCs w:val="32"/>
        </w:rPr>
        <w:t>%</w:t>
      </w:r>
      <w:r>
        <w:rPr>
          <w:rFonts w:ascii="仿宋_GB2312" w:eastAsia="仿宋_GB2312" w:hAnsi="Calibri" w:hint="eastAsia"/>
          <w:sz w:val="32"/>
          <w:szCs w:val="32"/>
        </w:rPr>
        <w:t>；客运量</w:t>
      </w:r>
      <w:r w:rsidR="007D6217">
        <w:rPr>
          <w:rFonts w:ascii="仿宋_GB2312" w:eastAsia="仿宋_GB2312" w:hAnsi="Calibri"/>
          <w:sz w:val="32"/>
          <w:szCs w:val="32"/>
        </w:rPr>
        <w:t>1229.41</w:t>
      </w:r>
      <w:r>
        <w:rPr>
          <w:rFonts w:ascii="仿宋_GB2312" w:eastAsia="仿宋_GB2312" w:hAnsi="Calibri" w:hint="eastAsia"/>
          <w:sz w:val="32"/>
          <w:szCs w:val="32"/>
        </w:rPr>
        <w:t>万人，增长</w:t>
      </w:r>
      <w:r w:rsidR="007D6217">
        <w:rPr>
          <w:rFonts w:ascii="仿宋_GB2312" w:eastAsia="仿宋_GB2312" w:hAnsi="Calibri"/>
          <w:sz w:val="32"/>
          <w:szCs w:val="32"/>
        </w:rPr>
        <w:t>6.4%</w:t>
      </w:r>
      <w:r>
        <w:rPr>
          <w:rFonts w:ascii="仿宋_GB2312" w:eastAsia="仿宋_GB2312" w:hAnsi="Calibri" w:hint="eastAsia"/>
          <w:sz w:val="32"/>
          <w:szCs w:val="32"/>
        </w:rPr>
        <w:t>。公共</w:t>
      </w:r>
      <w:r>
        <w:rPr>
          <w:rFonts w:ascii="仿宋_GB2312" w:eastAsia="仿宋_GB2312" w:hAnsi="Calibri"/>
          <w:sz w:val="32"/>
          <w:szCs w:val="32"/>
        </w:rPr>
        <w:t>交通客流量</w:t>
      </w:r>
      <w:r w:rsidR="004C568A">
        <w:rPr>
          <w:rFonts w:ascii="仿宋_GB2312" w:eastAsia="仿宋_GB2312" w:hAnsi="Calibri"/>
          <w:sz w:val="32"/>
          <w:szCs w:val="32"/>
        </w:rPr>
        <w:t>50389.50</w:t>
      </w:r>
      <w:r>
        <w:rPr>
          <w:rFonts w:ascii="仿宋_GB2312" w:eastAsia="仿宋_GB2312" w:hAnsi="Calibri" w:hint="eastAsia"/>
          <w:sz w:val="32"/>
          <w:szCs w:val="32"/>
        </w:rPr>
        <w:t>万</w:t>
      </w:r>
      <w:r>
        <w:rPr>
          <w:rFonts w:ascii="仿宋_GB2312" w:eastAsia="仿宋_GB2312" w:hAnsi="Calibri"/>
          <w:sz w:val="32"/>
          <w:szCs w:val="32"/>
        </w:rPr>
        <w:t>人次，增长</w:t>
      </w:r>
      <w:r w:rsidR="004C568A">
        <w:rPr>
          <w:rFonts w:ascii="仿宋_GB2312" w:eastAsia="仿宋_GB2312" w:hAnsi="Calibri"/>
          <w:sz w:val="32"/>
          <w:szCs w:val="32"/>
        </w:rPr>
        <w:t>5.1</w:t>
      </w:r>
      <w:r w:rsidR="00D15150">
        <w:rPr>
          <w:rFonts w:ascii="仿宋_GB2312" w:eastAsia="仿宋_GB2312" w:hAnsi="Calibri"/>
          <w:sz w:val="32"/>
          <w:szCs w:val="32"/>
        </w:rPr>
        <w:t>%</w:t>
      </w:r>
      <w:r>
        <w:rPr>
          <w:rFonts w:ascii="仿宋_GB2312" w:eastAsia="仿宋_GB2312" w:hAnsi="仿宋" w:hint="eastAsia"/>
          <w:sz w:val="32"/>
          <w:szCs w:val="32"/>
        </w:rPr>
        <w:t>。</w:t>
      </w:r>
    </w:p>
    <w:p w:rsidR="00D70C7A" w:rsidRDefault="00D70C7A" w:rsidP="00D70C7A">
      <w:pPr>
        <w:jc w:val="center"/>
        <w:rPr>
          <w:rFonts w:ascii="宋体" w:hAnsi="宋体"/>
          <w:sz w:val="28"/>
          <w:szCs w:val="28"/>
        </w:rPr>
      </w:pPr>
      <w:r>
        <w:rPr>
          <w:rFonts w:ascii="宋体" w:hAnsi="宋体" w:hint="eastAsia"/>
          <w:sz w:val="28"/>
          <w:szCs w:val="28"/>
        </w:rPr>
        <w:t>表</w:t>
      </w:r>
      <w:r w:rsidR="00F52BAB">
        <w:rPr>
          <w:rFonts w:ascii="宋体" w:hAnsi="宋体" w:hint="eastAsia"/>
          <w:sz w:val="28"/>
          <w:szCs w:val="28"/>
        </w:rPr>
        <w:t>3</w:t>
      </w:r>
      <w:r>
        <w:rPr>
          <w:rFonts w:ascii="宋体" w:hAnsi="宋体" w:hint="eastAsia"/>
          <w:sz w:val="28"/>
          <w:szCs w:val="28"/>
        </w:rPr>
        <w:t xml:space="preserve">  201</w:t>
      </w:r>
      <w:r w:rsidR="0065764D">
        <w:rPr>
          <w:rFonts w:ascii="宋体" w:hAnsi="宋体"/>
          <w:sz w:val="28"/>
          <w:szCs w:val="28"/>
        </w:rPr>
        <w:t>4</w:t>
      </w:r>
      <w:r>
        <w:rPr>
          <w:rFonts w:ascii="宋体" w:hAnsi="宋体" w:hint="eastAsia"/>
          <w:sz w:val="28"/>
          <w:szCs w:val="28"/>
        </w:rPr>
        <w:t>年货物</w:t>
      </w:r>
      <w:r w:rsidR="00F52BAB">
        <w:rPr>
          <w:rFonts w:ascii="宋体" w:hAnsi="宋体" w:hint="eastAsia"/>
          <w:sz w:val="28"/>
          <w:szCs w:val="28"/>
        </w:rPr>
        <w:t>、</w:t>
      </w:r>
      <w:r w:rsidR="00F52BAB">
        <w:rPr>
          <w:rFonts w:ascii="宋体" w:hAnsi="宋体"/>
          <w:sz w:val="28"/>
          <w:szCs w:val="28"/>
        </w:rPr>
        <w:t>旅客</w:t>
      </w:r>
      <w:r>
        <w:rPr>
          <w:rFonts w:ascii="宋体" w:hAnsi="宋体" w:hint="eastAsia"/>
          <w:sz w:val="28"/>
          <w:szCs w:val="28"/>
        </w:rPr>
        <w:t>运输量及其增长速度</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2"/>
        <w:gridCol w:w="1870"/>
        <w:gridCol w:w="1800"/>
        <w:gridCol w:w="2479"/>
      </w:tblGrid>
      <w:tr w:rsidR="00D70C7A" w:rsidTr="00AF3549">
        <w:trPr>
          <w:trHeight w:hRule="exact" w:val="454"/>
          <w:jc w:val="center"/>
        </w:trPr>
        <w:tc>
          <w:tcPr>
            <w:tcW w:w="2832" w:type="dxa"/>
            <w:tcBorders>
              <w:bottom w:val="single" w:sz="4" w:space="0" w:color="auto"/>
            </w:tcBorders>
            <w:vAlign w:val="center"/>
          </w:tcPr>
          <w:p w:rsidR="00D70C7A" w:rsidRPr="00D5312C" w:rsidRDefault="00D70C7A" w:rsidP="00D70C7A">
            <w:pPr>
              <w:jc w:val="center"/>
              <w:rPr>
                <w:rFonts w:ascii="宋体" w:hAnsi="宋体"/>
                <w:b/>
                <w:sz w:val="24"/>
              </w:rPr>
            </w:pPr>
            <w:r w:rsidRPr="00D5312C">
              <w:rPr>
                <w:rFonts w:ascii="宋体" w:hAnsi="宋体" w:hint="eastAsia"/>
                <w:b/>
                <w:sz w:val="24"/>
              </w:rPr>
              <w:t>指标</w:t>
            </w:r>
          </w:p>
        </w:tc>
        <w:tc>
          <w:tcPr>
            <w:tcW w:w="1870" w:type="dxa"/>
            <w:tcBorders>
              <w:bottom w:val="single" w:sz="4" w:space="0" w:color="auto"/>
            </w:tcBorders>
            <w:vAlign w:val="center"/>
          </w:tcPr>
          <w:p w:rsidR="00D70C7A" w:rsidRPr="00D5312C" w:rsidRDefault="00D70C7A" w:rsidP="00D70C7A">
            <w:pPr>
              <w:jc w:val="center"/>
              <w:rPr>
                <w:rFonts w:ascii="宋体" w:hAnsi="宋体"/>
                <w:b/>
                <w:sz w:val="24"/>
              </w:rPr>
            </w:pPr>
            <w:r w:rsidRPr="00D5312C">
              <w:rPr>
                <w:rFonts w:ascii="宋体" w:hAnsi="宋体" w:hint="eastAsia"/>
                <w:b/>
                <w:sz w:val="24"/>
              </w:rPr>
              <w:t>单位</w:t>
            </w:r>
          </w:p>
        </w:tc>
        <w:tc>
          <w:tcPr>
            <w:tcW w:w="1800" w:type="dxa"/>
            <w:tcBorders>
              <w:bottom w:val="single" w:sz="4" w:space="0" w:color="auto"/>
            </w:tcBorders>
            <w:vAlign w:val="center"/>
          </w:tcPr>
          <w:p w:rsidR="00D70C7A" w:rsidRPr="00D5312C" w:rsidRDefault="00D70C7A" w:rsidP="00D70C7A">
            <w:pPr>
              <w:jc w:val="center"/>
              <w:rPr>
                <w:rFonts w:ascii="宋体" w:hAnsi="宋体"/>
                <w:b/>
                <w:sz w:val="24"/>
              </w:rPr>
            </w:pPr>
            <w:r w:rsidRPr="00D5312C">
              <w:rPr>
                <w:rFonts w:ascii="宋体" w:hAnsi="宋体" w:hint="eastAsia"/>
                <w:b/>
                <w:sz w:val="24"/>
              </w:rPr>
              <w:t>绝对数</w:t>
            </w:r>
          </w:p>
        </w:tc>
        <w:tc>
          <w:tcPr>
            <w:tcW w:w="2479" w:type="dxa"/>
            <w:tcBorders>
              <w:bottom w:val="single" w:sz="4" w:space="0" w:color="auto"/>
            </w:tcBorders>
            <w:vAlign w:val="center"/>
          </w:tcPr>
          <w:p w:rsidR="00D70C7A" w:rsidRPr="00D5312C" w:rsidRDefault="00D70C7A" w:rsidP="00D70C7A">
            <w:pPr>
              <w:jc w:val="center"/>
              <w:rPr>
                <w:rFonts w:ascii="宋体" w:hAnsi="宋体"/>
                <w:b/>
                <w:sz w:val="24"/>
              </w:rPr>
            </w:pPr>
            <w:r w:rsidRPr="00D5312C">
              <w:rPr>
                <w:rFonts w:ascii="宋体" w:hAnsi="宋体" w:hint="eastAsia"/>
                <w:b/>
                <w:sz w:val="24"/>
              </w:rPr>
              <w:t>增长速度（%）</w:t>
            </w:r>
          </w:p>
        </w:tc>
      </w:tr>
      <w:tr w:rsidR="003D10FD" w:rsidTr="00AF3549">
        <w:trPr>
          <w:trHeight w:hRule="exact" w:val="454"/>
          <w:jc w:val="center"/>
        </w:trPr>
        <w:tc>
          <w:tcPr>
            <w:tcW w:w="2832" w:type="dxa"/>
            <w:tcBorders>
              <w:bottom w:val="nil"/>
            </w:tcBorders>
            <w:vAlign w:val="center"/>
          </w:tcPr>
          <w:p w:rsidR="003D10FD" w:rsidRDefault="003D10FD" w:rsidP="003D10FD">
            <w:pPr>
              <w:rPr>
                <w:rFonts w:ascii="宋体" w:hAnsi="宋体"/>
                <w:sz w:val="24"/>
              </w:rPr>
            </w:pPr>
            <w:r>
              <w:rPr>
                <w:rFonts w:ascii="宋体" w:hAnsi="宋体" w:hint="eastAsia"/>
                <w:sz w:val="24"/>
              </w:rPr>
              <w:t>货物运输总量</w:t>
            </w:r>
          </w:p>
        </w:tc>
        <w:tc>
          <w:tcPr>
            <w:tcW w:w="1870" w:type="dxa"/>
            <w:tcBorders>
              <w:bottom w:val="nil"/>
            </w:tcBorders>
            <w:vAlign w:val="center"/>
          </w:tcPr>
          <w:p w:rsidR="003D10FD" w:rsidRDefault="003D10FD" w:rsidP="003D10FD">
            <w:pPr>
              <w:jc w:val="center"/>
              <w:rPr>
                <w:rFonts w:ascii="宋体" w:hAnsi="宋体"/>
                <w:sz w:val="24"/>
              </w:rPr>
            </w:pPr>
            <w:r>
              <w:rPr>
                <w:rFonts w:ascii="宋体" w:hAnsi="宋体" w:hint="eastAsia"/>
                <w:sz w:val="24"/>
              </w:rPr>
              <w:t>万    吨</w:t>
            </w:r>
          </w:p>
        </w:tc>
        <w:tc>
          <w:tcPr>
            <w:tcW w:w="1800" w:type="dxa"/>
            <w:tcBorders>
              <w:bottom w:val="nil"/>
            </w:tcBorders>
            <w:vAlign w:val="center"/>
          </w:tcPr>
          <w:p w:rsidR="003D10FD" w:rsidRDefault="003D10FD" w:rsidP="00542C30">
            <w:pPr>
              <w:wordWrap w:val="0"/>
              <w:jc w:val="right"/>
              <w:rPr>
                <w:rFonts w:ascii="宋体" w:hAnsi="宋体"/>
                <w:sz w:val="24"/>
              </w:rPr>
            </w:pPr>
            <w:r>
              <w:rPr>
                <w:rFonts w:ascii="宋体" w:hAnsi="宋体" w:hint="eastAsia"/>
                <w:sz w:val="24"/>
              </w:rPr>
              <w:t>8557.33</w:t>
            </w:r>
          </w:p>
        </w:tc>
        <w:tc>
          <w:tcPr>
            <w:tcW w:w="2479" w:type="dxa"/>
            <w:tcBorders>
              <w:bottom w:val="nil"/>
            </w:tcBorders>
            <w:vAlign w:val="center"/>
          </w:tcPr>
          <w:p w:rsidR="003D10FD" w:rsidRDefault="003D10FD" w:rsidP="00542C30">
            <w:pPr>
              <w:jc w:val="right"/>
              <w:rPr>
                <w:rFonts w:ascii="宋体" w:hAnsi="宋体"/>
                <w:sz w:val="24"/>
              </w:rPr>
            </w:pPr>
            <w:r>
              <w:rPr>
                <w:rFonts w:ascii="宋体" w:hAnsi="宋体" w:hint="eastAsia"/>
                <w:sz w:val="24"/>
              </w:rPr>
              <w:t>10.9</w:t>
            </w:r>
          </w:p>
        </w:tc>
      </w:tr>
      <w:tr w:rsidR="003D10FD" w:rsidTr="00AF3549">
        <w:trPr>
          <w:trHeight w:hRule="exact" w:val="454"/>
          <w:jc w:val="center"/>
        </w:trPr>
        <w:tc>
          <w:tcPr>
            <w:tcW w:w="2832" w:type="dxa"/>
            <w:tcBorders>
              <w:top w:val="nil"/>
              <w:bottom w:val="single" w:sz="4" w:space="0" w:color="auto"/>
            </w:tcBorders>
            <w:vAlign w:val="center"/>
          </w:tcPr>
          <w:p w:rsidR="003D10FD" w:rsidRDefault="003D10FD" w:rsidP="003D10FD">
            <w:pPr>
              <w:rPr>
                <w:rFonts w:ascii="宋体" w:hAnsi="宋体"/>
                <w:sz w:val="24"/>
              </w:rPr>
            </w:pPr>
            <w:r>
              <w:rPr>
                <w:rFonts w:ascii="宋体" w:hAnsi="宋体" w:hint="eastAsia"/>
                <w:sz w:val="24"/>
              </w:rPr>
              <w:t xml:space="preserve">  #公路</w:t>
            </w:r>
          </w:p>
        </w:tc>
        <w:tc>
          <w:tcPr>
            <w:tcW w:w="1870" w:type="dxa"/>
            <w:tcBorders>
              <w:top w:val="nil"/>
              <w:bottom w:val="single" w:sz="4" w:space="0" w:color="auto"/>
            </w:tcBorders>
            <w:vAlign w:val="center"/>
          </w:tcPr>
          <w:p w:rsidR="003D10FD" w:rsidRDefault="003D10FD" w:rsidP="003D10FD">
            <w:pPr>
              <w:jc w:val="center"/>
              <w:rPr>
                <w:rFonts w:ascii="宋体" w:hAnsi="宋体"/>
                <w:sz w:val="24"/>
              </w:rPr>
            </w:pPr>
            <w:r>
              <w:rPr>
                <w:rFonts w:ascii="宋体" w:hAnsi="宋体" w:hint="eastAsia"/>
                <w:sz w:val="24"/>
              </w:rPr>
              <w:t>万    吨</w:t>
            </w:r>
          </w:p>
        </w:tc>
        <w:tc>
          <w:tcPr>
            <w:tcW w:w="1800" w:type="dxa"/>
            <w:tcBorders>
              <w:top w:val="nil"/>
              <w:bottom w:val="single" w:sz="4" w:space="0" w:color="auto"/>
            </w:tcBorders>
            <w:vAlign w:val="center"/>
          </w:tcPr>
          <w:p w:rsidR="003D10FD" w:rsidRDefault="003D10FD" w:rsidP="00542C30">
            <w:pPr>
              <w:wordWrap w:val="0"/>
              <w:jc w:val="right"/>
              <w:rPr>
                <w:rFonts w:ascii="宋体" w:hAnsi="宋体"/>
                <w:sz w:val="24"/>
              </w:rPr>
            </w:pPr>
            <w:r>
              <w:rPr>
                <w:rFonts w:ascii="宋体" w:hAnsi="宋体" w:hint="eastAsia"/>
                <w:sz w:val="24"/>
              </w:rPr>
              <w:t>4051.07</w:t>
            </w:r>
          </w:p>
        </w:tc>
        <w:tc>
          <w:tcPr>
            <w:tcW w:w="2479" w:type="dxa"/>
            <w:tcBorders>
              <w:top w:val="nil"/>
              <w:bottom w:val="single" w:sz="4" w:space="0" w:color="auto"/>
            </w:tcBorders>
            <w:vAlign w:val="center"/>
          </w:tcPr>
          <w:p w:rsidR="003D10FD" w:rsidRDefault="003D10FD" w:rsidP="00542C30">
            <w:pPr>
              <w:jc w:val="right"/>
              <w:rPr>
                <w:rFonts w:ascii="宋体" w:hAnsi="宋体"/>
                <w:sz w:val="24"/>
              </w:rPr>
            </w:pPr>
            <w:r>
              <w:rPr>
                <w:rFonts w:ascii="宋体" w:hAnsi="宋体" w:hint="eastAsia"/>
                <w:sz w:val="24"/>
              </w:rPr>
              <w:t>4.6</w:t>
            </w:r>
          </w:p>
        </w:tc>
      </w:tr>
      <w:tr w:rsidR="003D10FD" w:rsidTr="00AF3549">
        <w:trPr>
          <w:trHeight w:hRule="exact" w:val="454"/>
          <w:jc w:val="center"/>
        </w:trPr>
        <w:tc>
          <w:tcPr>
            <w:tcW w:w="2832" w:type="dxa"/>
            <w:tcBorders>
              <w:bottom w:val="nil"/>
            </w:tcBorders>
            <w:vAlign w:val="center"/>
          </w:tcPr>
          <w:p w:rsidR="003D10FD" w:rsidRDefault="003D10FD" w:rsidP="003D10FD">
            <w:pPr>
              <w:rPr>
                <w:rFonts w:ascii="宋体" w:hAnsi="宋体"/>
                <w:sz w:val="24"/>
              </w:rPr>
            </w:pPr>
            <w:r>
              <w:rPr>
                <w:rFonts w:ascii="宋体" w:hAnsi="宋体" w:hint="eastAsia"/>
                <w:sz w:val="24"/>
              </w:rPr>
              <w:t>旅客运输总量</w:t>
            </w:r>
          </w:p>
        </w:tc>
        <w:tc>
          <w:tcPr>
            <w:tcW w:w="1870" w:type="dxa"/>
            <w:tcBorders>
              <w:bottom w:val="nil"/>
            </w:tcBorders>
            <w:vAlign w:val="center"/>
          </w:tcPr>
          <w:p w:rsidR="003D10FD" w:rsidRDefault="003D10FD" w:rsidP="003D10FD">
            <w:pPr>
              <w:jc w:val="center"/>
              <w:rPr>
                <w:rFonts w:ascii="宋体" w:hAnsi="宋体"/>
                <w:sz w:val="24"/>
              </w:rPr>
            </w:pPr>
            <w:r>
              <w:rPr>
                <w:rFonts w:ascii="宋体" w:hAnsi="宋体" w:hint="eastAsia"/>
                <w:sz w:val="24"/>
              </w:rPr>
              <w:t>万    人</w:t>
            </w:r>
          </w:p>
        </w:tc>
        <w:tc>
          <w:tcPr>
            <w:tcW w:w="1800" w:type="dxa"/>
            <w:tcBorders>
              <w:bottom w:val="nil"/>
            </w:tcBorders>
            <w:vAlign w:val="center"/>
          </w:tcPr>
          <w:p w:rsidR="003D10FD" w:rsidRDefault="003D10FD" w:rsidP="00542C30">
            <w:pPr>
              <w:wordWrap w:val="0"/>
              <w:jc w:val="right"/>
              <w:rPr>
                <w:rFonts w:ascii="宋体" w:hAnsi="宋体"/>
                <w:sz w:val="24"/>
              </w:rPr>
            </w:pPr>
            <w:r>
              <w:rPr>
                <w:rFonts w:ascii="宋体" w:hAnsi="宋体" w:hint="eastAsia"/>
                <w:sz w:val="24"/>
              </w:rPr>
              <w:t>1229.41</w:t>
            </w:r>
          </w:p>
        </w:tc>
        <w:tc>
          <w:tcPr>
            <w:tcW w:w="2479" w:type="dxa"/>
            <w:tcBorders>
              <w:bottom w:val="nil"/>
            </w:tcBorders>
            <w:vAlign w:val="center"/>
          </w:tcPr>
          <w:p w:rsidR="003D10FD" w:rsidRDefault="003D10FD" w:rsidP="00542C30">
            <w:pPr>
              <w:jc w:val="right"/>
              <w:rPr>
                <w:rFonts w:ascii="宋体" w:hAnsi="宋体"/>
                <w:sz w:val="24"/>
              </w:rPr>
            </w:pPr>
            <w:r>
              <w:rPr>
                <w:rFonts w:ascii="宋体" w:hAnsi="宋体"/>
                <w:sz w:val="24"/>
              </w:rPr>
              <w:t>6.4</w:t>
            </w:r>
          </w:p>
        </w:tc>
      </w:tr>
      <w:tr w:rsidR="003D10FD" w:rsidTr="00AF3549">
        <w:trPr>
          <w:trHeight w:hRule="exact" w:val="454"/>
          <w:jc w:val="center"/>
        </w:trPr>
        <w:tc>
          <w:tcPr>
            <w:tcW w:w="2832" w:type="dxa"/>
            <w:tcBorders>
              <w:top w:val="nil"/>
            </w:tcBorders>
            <w:vAlign w:val="center"/>
          </w:tcPr>
          <w:p w:rsidR="003D10FD" w:rsidRDefault="003D10FD" w:rsidP="003D10FD">
            <w:pPr>
              <w:rPr>
                <w:rFonts w:ascii="宋体" w:hAnsi="宋体"/>
                <w:sz w:val="24"/>
              </w:rPr>
            </w:pPr>
            <w:r>
              <w:rPr>
                <w:rFonts w:ascii="宋体" w:hAnsi="宋体" w:hint="eastAsia"/>
                <w:sz w:val="24"/>
              </w:rPr>
              <w:t xml:space="preserve">  #公路</w:t>
            </w:r>
          </w:p>
        </w:tc>
        <w:tc>
          <w:tcPr>
            <w:tcW w:w="1870" w:type="dxa"/>
            <w:tcBorders>
              <w:top w:val="nil"/>
            </w:tcBorders>
            <w:vAlign w:val="center"/>
          </w:tcPr>
          <w:p w:rsidR="003D10FD" w:rsidRDefault="003D10FD" w:rsidP="003D10FD">
            <w:pPr>
              <w:jc w:val="center"/>
              <w:rPr>
                <w:rFonts w:ascii="宋体" w:hAnsi="宋体"/>
                <w:sz w:val="24"/>
              </w:rPr>
            </w:pPr>
            <w:r>
              <w:rPr>
                <w:rFonts w:ascii="宋体" w:hAnsi="宋体" w:hint="eastAsia"/>
                <w:sz w:val="24"/>
              </w:rPr>
              <w:t>万    人</w:t>
            </w:r>
          </w:p>
        </w:tc>
        <w:tc>
          <w:tcPr>
            <w:tcW w:w="1800" w:type="dxa"/>
            <w:tcBorders>
              <w:top w:val="nil"/>
            </w:tcBorders>
            <w:vAlign w:val="center"/>
          </w:tcPr>
          <w:p w:rsidR="003D10FD" w:rsidRDefault="003D10FD" w:rsidP="00542C30">
            <w:pPr>
              <w:wordWrap w:val="0"/>
              <w:jc w:val="right"/>
              <w:rPr>
                <w:rFonts w:ascii="宋体" w:hAnsi="宋体"/>
                <w:sz w:val="24"/>
              </w:rPr>
            </w:pPr>
            <w:r>
              <w:rPr>
                <w:rFonts w:ascii="宋体" w:hAnsi="宋体" w:hint="eastAsia"/>
                <w:sz w:val="24"/>
              </w:rPr>
              <w:t>1229.41</w:t>
            </w:r>
          </w:p>
        </w:tc>
        <w:tc>
          <w:tcPr>
            <w:tcW w:w="2479" w:type="dxa"/>
            <w:tcBorders>
              <w:top w:val="nil"/>
            </w:tcBorders>
            <w:vAlign w:val="center"/>
          </w:tcPr>
          <w:p w:rsidR="003D10FD" w:rsidRDefault="003D10FD" w:rsidP="00542C30">
            <w:pPr>
              <w:jc w:val="right"/>
              <w:rPr>
                <w:rFonts w:ascii="宋体" w:hAnsi="宋体"/>
                <w:sz w:val="24"/>
              </w:rPr>
            </w:pPr>
            <w:r>
              <w:rPr>
                <w:rFonts w:ascii="宋体" w:hAnsi="宋体" w:hint="eastAsia"/>
                <w:sz w:val="24"/>
              </w:rPr>
              <w:t>6.4</w:t>
            </w:r>
          </w:p>
        </w:tc>
      </w:tr>
    </w:tbl>
    <w:p w:rsidR="003D66AB" w:rsidRPr="000B00EC" w:rsidRDefault="003D66AB" w:rsidP="000B00EC">
      <w:pPr>
        <w:ind w:firstLineChars="200" w:firstLine="640"/>
        <w:rPr>
          <w:rFonts w:ascii="仿宋_GB2312" w:eastAsia="仿宋_GB2312"/>
          <w:sz w:val="32"/>
          <w:szCs w:val="32"/>
        </w:rPr>
      </w:pPr>
      <w:r w:rsidRPr="000B00EC">
        <w:rPr>
          <w:rFonts w:ascii="仿宋_GB2312" w:eastAsia="仿宋_GB2312" w:hint="eastAsia"/>
          <w:sz w:val="32"/>
          <w:szCs w:val="32"/>
        </w:rPr>
        <w:t>年末全区共有邮电局189处（所）,减少2处。固定电话用户97.5万户，增长1.6%；移动电话用户428</w:t>
      </w:r>
      <w:r w:rsidR="000F0C97" w:rsidRPr="000B00EC">
        <w:rPr>
          <w:rFonts w:ascii="仿宋_GB2312" w:eastAsia="仿宋_GB2312" w:hint="eastAsia"/>
          <w:sz w:val="32"/>
          <w:szCs w:val="32"/>
        </w:rPr>
        <w:t>万户，增</w:t>
      </w:r>
      <w:r w:rsidR="000B00EC" w:rsidRPr="000B00EC">
        <w:rPr>
          <w:rFonts w:ascii="仿宋_GB2312" w:eastAsia="仿宋_GB2312" w:hint="eastAsia"/>
          <w:sz w:val="32"/>
          <w:szCs w:val="32"/>
        </w:rPr>
        <w:t>长</w:t>
      </w:r>
      <w:r w:rsidRPr="000B00EC">
        <w:rPr>
          <w:rFonts w:ascii="仿宋_GB2312" w:eastAsia="仿宋_GB2312" w:hint="eastAsia"/>
          <w:sz w:val="32"/>
          <w:szCs w:val="32"/>
        </w:rPr>
        <w:t>19.6%，其中：2G移动电话用户296万户，增长</w:t>
      </w:r>
      <w:r w:rsidR="001F6D37" w:rsidRPr="000B00EC">
        <w:rPr>
          <w:rFonts w:ascii="仿宋_GB2312" w:eastAsia="仿宋_GB2312" w:hint="eastAsia"/>
          <w:sz w:val="32"/>
          <w:szCs w:val="32"/>
        </w:rPr>
        <w:t>20.3</w:t>
      </w:r>
      <w:r w:rsidR="002774F8" w:rsidRPr="000B00EC">
        <w:rPr>
          <w:rFonts w:ascii="仿宋_GB2312" w:eastAsia="仿宋_GB2312" w:hint="eastAsia"/>
          <w:sz w:val="32"/>
          <w:szCs w:val="32"/>
        </w:rPr>
        <w:t>%</w:t>
      </w:r>
      <w:r w:rsidR="001F6D37" w:rsidRPr="000B00EC">
        <w:rPr>
          <w:rFonts w:ascii="仿宋_GB2312" w:eastAsia="仿宋_GB2312" w:hint="eastAsia"/>
          <w:sz w:val="32"/>
          <w:szCs w:val="32"/>
        </w:rPr>
        <w:t>。</w:t>
      </w:r>
      <w:r w:rsidRPr="000B00EC">
        <w:rPr>
          <w:rFonts w:ascii="仿宋_GB2312" w:eastAsia="仿宋_GB2312" w:hint="eastAsia"/>
          <w:sz w:val="32"/>
          <w:szCs w:val="32"/>
        </w:rPr>
        <w:t>国际互联网（宽带）用户81万户，增长12.5%。</w:t>
      </w:r>
    </w:p>
    <w:p w:rsidR="00D70C7A" w:rsidRDefault="00D70C7A" w:rsidP="006E5F0E">
      <w:pPr>
        <w:jc w:val="center"/>
        <w:rPr>
          <w:rFonts w:ascii="黑体" w:eastAsia="黑体" w:hAnsi="黑体"/>
          <w:sz w:val="32"/>
          <w:szCs w:val="32"/>
        </w:rPr>
      </w:pPr>
      <w:r>
        <w:rPr>
          <w:rFonts w:ascii="黑体" w:eastAsia="黑体" w:hAnsi="黑体" w:hint="eastAsia"/>
          <w:sz w:val="32"/>
          <w:szCs w:val="32"/>
        </w:rPr>
        <w:t>八、财政和</w:t>
      </w:r>
      <w:r>
        <w:rPr>
          <w:rFonts w:ascii="黑体" w:eastAsia="黑体" w:hAnsi="黑体"/>
          <w:sz w:val="32"/>
          <w:szCs w:val="32"/>
        </w:rPr>
        <w:t>税收</w:t>
      </w:r>
    </w:p>
    <w:p w:rsidR="00D70C7A" w:rsidRDefault="00650A2D"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全年</w:t>
      </w:r>
      <w:r w:rsidR="00D70C7A">
        <w:rPr>
          <w:rFonts w:ascii="仿宋_GB2312" w:eastAsia="仿宋_GB2312" w:hAnsi="Calibri" w:hint="eastAsia"/>
          <w:sz w:val="32"/>
          <w:szCs w:val="32"/>
        </w:rPr>
        <w:t>公共财政预算收入</w:t>
      </w:r>
      <w:r>
        <w:rPr>
          <w:rFonts w:ascii="仿宋_GB2312" w:eastAsia="仿宋_GB2312" w:hAnsi="Calibri"/>
          <w:sz w:val="32"/>
          <w:szCs w:val="32"/>
        </w:rPr>
        <w:t>120.58</w:t>
      </w:r>
      <w:r w:rsidR="00D70C7A">
        <w:rPr>
          <w:rFonts w:ascii="仿宋_GB2312" w:eastAsia="仿宋_GB2312" w:hAnsi="Calibri" w:hint="eastAsia"/>
          <w:sz w:val="32"/>
          <w:szCs w:val="32"/>
        </w:rPr>
        <w:t>亿元，增长</w:t>
      </w:r>
      <w:r>
        <w:rPr>
          <w:rFonts w:ascii="仿宋_GB2312" w:eastAsia="仿宋_GB2312" w:hAnsi="Calibri" w:hint="eastAsia"/>
          <w:sz w:val="32"/>
          <w:szCs w:val="32"/>
        </w:rPr>
        <w:t>24.3</w:t>
      </w:r>
      <w:r w:rsidR="00D70C7A">
        <w:rPr>
          <w:rFonts w:ascii="仿宋_GB2312" w:eastAsia="仿宋_GB2312" w:hAnsi="Calibri" w:hint="eastAsia"/>
          <w:sz w:val="32"/>
          <w:szCs w:val="32"/>
        </w:rPr>
        <w:t>%。其中税收</w:t>
      </w:r>
      <w:r w:rsidR="00D70C7A">
        <w:rPr>
          <w:rFonts w:ascii="仿宋_GB2312" w:eastAsia="仿宋_GB2312" w:hAnsi="Calibri"/>
          <w:sz w:val="32"/>
          <w:szCs w:val="32"/>
        </w:rPr>
        <w:t>收入</w:t>
      </w:r>
      <w:r>
        <w:rPr>
          <w:rFonts w:ascii="仿宋_GB2312" w:eastAsia="仿宋_GB2312" w:hAnsi="Calibri" w:hint="eastAsia"/>
          <w:sz w:val="32"/>
          <w:szCs w:val="32"/>
        </w:rPr>
        <w:t>108.55</w:t>
      </w:r>
      <w:r w:rsidR="00D70C7A">
        <w:rPr>
          <w:rFonts w:ascii="仿宋_GB2312" w:eastAsia="仿宋_GB2312" w:hAnsi="Calibri" w:hint="eastAsia"/>
          <w:sz w:val="32"/>
          <w:szCs w:val="32"/>
        </w:rPr>
        <w:t>亿元</w:t>
      </w:r>
      <w:r w:rsidR="00D70C7A">
        <w:rPr>
          <w:rFonts w:ascii="仿宋_GB2312" w:eastAsia="仿宋_GB2312" w:hAnsi="Calibri"/>
          <w:sz w:val="32"/>
          <w:szCs w:val="32"/>
        </w:rPr>
        <w:t>，增长</w:t>
      </w:r>
      <w:r>
        <w:rPr>
          <w:rFonts w:ascii="仿宋_GB2312" w:eastAsia="仿宋_GB2312" w:hAnsi="Calibri" w:hint="eastAsia"/>
          <w:sz w:val="32"/>
          <w:szCs w:val="32"/>
        </w:rPr>
        <w:t>16.8</w:t>
      </w:r>
      <w:r w:rsidR="00D70C7A">
        <w:rPr>
          <w:rFonts w:ascii="仿宋_GB2312" w:eastAsia="仿宋_GB2312" w:hAnsi="Calibri"/>
          <w:sz w:val="32"/>
          <w:szCs w:val="32"/>
        </w:rPr>
        <w:t>%，占公共财政预算收入总额的</w:t>
      </w:r>
      <w:r>
        <w:rPr>
          <w:rFonts w:ascii="仿宋_GB2312" w:eastAsia="仿宋_GB2312" w:hAnsi="Calibri"/>
          <w:sz w:val="32"/>
          <w:szCs w:val="32"/>
        </w:rPr>
        <w:t>90.0%</w:t>
      </w:r>
      <w:r w:rsidR="00D70C7A">
        <w:rPr>
          <w:rFonts w:ascii="仿宋_GB2312" w:eastAsia="仿宋_GB2312" w:hAnsi="Calibri"/>
          <w:sz w:val="32"/>
          <w:szCs w:val="32"/>
        </w:rPr>
        <w:t>。</w:t>
      </w:r>
      <w:r w:rsidR="00D70C7A">
        <w:rPr>
          <w:rFonts w:ascii="仿宋_GB2312" w:eastAsia="仿宋_GB2312" w:hAnsi="Calibri" w:hint="eastAsia"/>
          <w:sz w:val="32"/>
          <w:szCs w:val="32"/>
        </w:rPr>
        <w:t>公共财政预算支出</w:t>
      </w:r>
      <w:r w:rsidR="00881B55">
        <w:rPr>
          <w:rFonts w:ascii="仿宋_GB2312" w:eastAsia="仿宋_GB2312" w:hAnsi="Calibri"/>
          <w:sz w:val="32"/>
          <w:szCs w:val="32"/>
        </w:rPr>
        <w:t>125.63</w:t>
      </w:r>
      <w:r w:rsidR="00D70C7A">
        <w:rPr>
          <w:rFonts w:ascii="仿宋_GB2312" w:eastAsia="仿宋_GB2312" w:hAnsi="Calibri" w:hint="eastAsia"/>
          <w:sz w:val="32"/>
          <w:szCs w:val="32"/>
        </w:rPr>
        <w:t>亿元，增长</w:t>
      </w:r>
      <w:r w:rsidR="00881B55">
        <w:rPr>
          <w:rFonts w:ascii="仿宋_GB2312" w:eastAsia="仿宋_GB2312" w:hAnsi="Calibri" w:hint="eastAsia"/>
          <w:sz w:val="32"/>
          <w:szCs w:val="32"/>
        </w:rPr>
        <w:t>18.9</w:t>
      </w:r>
      <w:r w:rsidR="00D70C7A">
        <w:rPr>
          <w:rFonts w:ascii="仿宋_GB2312" w:eastAsia="仿宋_GB2312" w:hAnsi="Calibri" w:hint="eastAsia"/>
          <w:sz w:val="32"/>
          <w:szCs w:val="32"/>
        </w:rPr>
        <w:t>%。其中教育支出</w:t>
      </w:r>
      <w:r w:rsidR="00881B55">
        <w:rPr>
          <w:rFonts w:ascii="仿宋_GB2312" w:eastAsia="仿宋_GB2312" w:hAnsi="Calibri" w:hint="eastAsia"/>
          <w:sz w:val="32"/>
          <w:szCs w:val="32"/>
        </w:rPr>
        <w:t>29.12</w:t>
      </w:r>
      <w:r w:rsidR="00D70C7A">
        <w:rPr>
          <w:rFonts w:ascii="仿宋_GB2312" w:eastAsia="仿宋_GB2312" w:hAnsi="Calibri" w:hint="eastAsia"/>
          <w:sz w:val="32"/>
          <w:szCs w:val="32"/>
        </w:rPr>
        <w:t>亿元，增长</w:t>
      </w:r>
      <w:r w:rsidR="00881B55">
        <w:rPr>
          <w:rFonts w:ascii="仿宋_GB2312" w:eastAsia="仿宋_GB2312" w:hAnsi="Calibri" w:hint="eastAsia"/>
          <w:sz w:val="32"/>
          <w:szCs w:val="32"/>
        </w:rPr>
        <w:t>24.2</w:t>
      </w:r>
      <w:r w:rsidR="00D70C7A">
        <w:rPr>
          <w:rFonts w:ascii="仿宋_GB2312" w:eastAsia="仿宋_GB2312" w:hAnsi="Calibri" w:hint="eastAsia"/>
          <w:sz w:val="32"/>
          <w:szCs w:val="32"/>
        </w:rPr>
        <w:t>%；城乡社区事务支出</w:t>
      </w:r>
      <w:r w:rsidR="00881B55">
        <w:rPr>
          <w:rFonts w:ascii="仿宋_GB2312" w:eastAsia="仿宋_GB2312" w:hAnsi="Calibri" w:hint="eastAsia"/>
          <w:sz w:val="32"/>
          <w:szCs w:val="32"/>
        </w:rPr>
        <w:t>16.58</w:t>
      </w:r>
      <w:r w:rsidR="00D70C7A">
        <w:rPr>
          <w:rFonts w:ascii="仿宋_GB2312" w:eastAsia="仿宋_GB2312" w:hAnsi="Calibri" w:hint="eastAsia"/>
          <w:sz w:val="32"/>
          <w:szCs w:val="32"/>
        </w:rPr>
        <w:t>亿元，下降</w:t>
      </w:r>
      <w:r w:rsidR="00881B55">
        <w:rPr>
          <w:rFonts w:ascii="仿宋_GB2312" w:eastAsia="仿宋_GB2312" w:hAnsi="Calibri" w:hint="eastAsia"/>
          <w:sz w:val="32"/>
          <w:szCs w:val="32"/>
        </w:rPr>
        <w:t>7.1</w:t>
      </w:r>
      <w:r w:rsidR="00D70C7A">
        <w:rPr>
          <w:rFonts w:ascii="仿宋_GB2312" w:eastAsia="仿宋_GB2312" w:hAnsi="Calibri" w:hint="eastAsia"/>
          <w:sz w:val="32"/>
          <w:szCs w:val="32"/>
        </w:rPr>
        <w:t>%；公共安全支出</w:t>
      </w:r>
      <w:r w:rsidR="00881B55">
        <w:rPr>
          <w:rFonts w:ascii="仿宋_GB2312" w:eastAsia="仿宋_GB2312" w:hAnsi="Calibri" w:hint="eastAsia"/>
          <w:sz w:val="32"/>
          <w:szCs w:val="32"/>
        </w:rPr>
        <w:t>15.66</w:t>
      </w:r>
      <w:r w:rsidR="00D70C7A">
        <w:rPr>
          <w:rFonts w:ascii="仿宋_GB2312" w:eastAsia="仿宋_GB2312" w:hAnsi="Calibri" w:hint="eastAsia"/>
          <w:sz w:val="32"/>
          <w:szCs w:val="32"/>
        </w:rPr>
        <w:t>亿元，增长</w:t>
      </w:r>
      <w:r w:rsidR="00881B55">
        <w:rPr>
          <w:rFonts w:ascii="仿宋_GB2312" w:eastAsia="仿宋_GB2312" w:hAnsi="Calibri" w:hint="eastAsia"/>
          <w:sz w:val="32"/>
          <w:szCs w:val="32"/>
        </w:rPr>
        <w:t>27.4</w:t>
      </w:r>
      <w:r w:rsidR="00D70C7A">
        <w:rPr>
          <w:rFonts w:ascii="仿宋_GB2312" w:eastAsia="仿宋_GB2312" w:hAnsi="Calibri" w:hint="eastAsia"/>
          <w:sz w:val="32"/>
          <w:szCs w:val="32"/>
        </w:rPr>
        <w:t>%；一般公共服务支出7.</w:t>
      </w:r>
      <w:r w:rsidR="00881B55">
        <w:rPr>
          <w:rFonts w:ascii="仿宋_GB2312" w:eastAsia="仿宋_GB2312" w:hAnsi="Calibri"/>
          <w:sz w:val="32"/>
          <w:szCs w:val="32"/>
        </w:rPr>
        <w:t>44</w:t>
      </w:r>
      <w:r w:rsidR="00D70C7A">
        <w:rPr>
          <w:rFonts w:ascii="仿宋_GB2312" w:eastAsia="仿宋_GB2312" w:hAnsi="Calibri" w:hint="eastAsia"/>
          <w:sz w:val="32"/>
          <w:szCs w:val="32"/>
        </w:rPr>
        <w:t>亿元，</w:t>
      </w:r>
      <w:r w:rsidR="00881B55">
        <w:rPr>
          <w:rFonts w:ascii="仿宋_GB2312" w:eastAsia="仿宋_GB2312" w:hAnsi="Calibri" w:hint="eastAsia"/>
          <w:sz w:val="32"/>
          <w:szCs w:val="32"/>
        </w:rPr>
        <w:t>下降0.6</w:t>
      </w:r>
      <w:r w:rsidR="00881B55">
        <w:rPr>
          <w:rFonts w:ascii="仿宋_GB2312" w:eastAsia="仿宋_GB2312" w:hAnsi="Calibri"/>
          <w:sz w:val="32"/>
          <w:szCs w:val="32"/>
        </w:rPr>
        <w:t>%</w:t>
      </w:r>
      <w:r w:rsidR="00082EEC">
        <w:rPr>
          <w:rFonts w:ascii="仿宋_GB2312" w:eastAsia="仿宋_GB2312" w:hAnsi="Calibri" w:hint="eastAsia"/>
          <w:sz w:val="32"/>
          <w:szCs w:val="32"/>
        </w:rPr>
        <w:t>；</w:t>
      </w:r>
      <w:r w:rsidR="00D70C7A">
        <w:rPr>
          <w:rFonts w:ascii="仿宋_GB2312" w:eastAsia="仿宋_GB2312" w:hAnsi="Calibri" w:hint="eastAsia"/>
          <w:sz w:val="32"/>
          <w:szCs w:val="32"/>
        </w:rPr>
        <w:t>社会保障和就业支出</w:t>
      </w:r>
      <w:r w:rsidR="00881B55">
        <w:rPr>
          <w:rFonts w:ascii="仿宋_GB2312" w:eastAsia="仿宋_GB2312" w:hAnsi="Calibri" w:hint="eastAsia"/>
          <w:sz w:val="32"/>
          <w:szCs w:val="32"/>
        </w:rPr>
        <w:t>6.52</w:t>
      </w:r>
      <w:r w:rsidR="00D70C7A">
        <w:rPr>
          <w:rFonts w:ascii="仿宋_GB2312" w:eastAsia="仿宋_GB2312" w:hAnsi="Calibri" w:hint="eastAsia"/>
          <w:sz w:val="32"/>
          <w:szCs w:val="32"/>
        </w:rPr>
        <w:t>亿元，下降</w:t>
      </w:r>
      <w:r w:rsidR="00881B55">
        <w:rPr>
          <w:rFonts w:ascii="仿宋_GB2312" w:eastAsia="仿宋_GB2312" w:hAnsi="Calibri" w:hint="eastAsia"/>
          <w:sz w:val="32"/>
          <w:szCs w:val="32"/>
        </w:rPr>
        <w:t>10.5</w:t>
      </w:r>
      <w:r w:rsidR="00D70C7A">
        <w:rPr>
          <w:rFonts w:ascii="仿宋_GB2312" w:eastAsia="仿宋_GB2312" w:hAnsi="Calibri"/>
          <w:sz w:val="32"/>
          <w:szCs w:val="32"/>
        </w:rPr>
        <w:t>%</w:t>
      </w:r>
      <w:r w:rsidR="00D70C7A">
        <w:rPr>
          <w:rFonts w:ascii="仿宋_GB2312" w:eastAsia="仿宋_GB2312" w:hAnsi="Calibri" w:hint="eastAsia"/>
          <w:sz w:val="32"/>
          <w:szCs w:val="32"/>
        </w:rPr>
        <w:t>。</w:t>
      </w:r>
    </w:p>
    <w:p w:rsidR="00FD1C65" w:rsidRDefault="00837828" w:rsidP="007B1F9A">
      <w:pPr>
        <w:rPr>
          <w:rFonts w:ascii="宋体" w:hAnsi="宋体"/>
          <w:sz w:val="28"/>
          <w:szCs w:val="28"/>
        </w:rPr>
      </w:pPr>
      <w:r>
        <w:rPr>
          <w:rFonts w:ascii="仿宋" w:eastAsia="仿宋" w:hAnsi="仿宋"/>
          <w:noProof/>
          <w:sz w:val="32"/>
          <w:szCs w:val="32"/>
        </w:rPr>
        <w:lastRenderedPageBreak/>
        <w:drawing>
          <wp:inline distT="0" distB="0" distL="0" distR="0" wp14:anchorId="6FEF8C4A" wp14:editId="53E5DAA8">
            <wp:extent cx="5724525" cy="2905125"/>
            <wp:effectExtent l="0" t="0" r="9525" b="9525"/>
            <wp:docPr id="3" name="对象 9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5B77" w:rsidRPr="00E05B77" w:rsidRDefault="00E05B77" w:rsidP="00E05B77">
      <w:pPr>
        <w:jc w:val="center"/>
        <w:rPr>
          <w:rFonts w:ascii="宋体" w:hAnsi="宋体"/>
          <w:sz w:val="28"/>
          <w:szCs w:val="28"/>
        </w:rPr>
      </w:pPr>
      <w:r w:rsidRPr="00E05B77">
        <w:rPr>
          <w:rFonts w:ascii="宋体" w:hAnsi="宋体" w:hint="eastAsia"/>
          <w:sz w:val="28"/>
          <w:szCs w:val="28"/>
        </w:rPr>
        <w:t>图12  2010-2014年公共财政预算收入总额及其增长速度</w:t>
      </w:r>
    </w:p>
    <w:p w:rsidR="00D70C7A" w:rsidRDefault="00F9626C"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全年</w:t>
      </w:r>
      <w:r w:rsidR="00D70C7A">
        <w:rPr>
          <w:rFonts w:ascii="仿宋_GB2312" w:eastAsia="仿宋_GB2312" w:hAnsi="Calibri" w:hint="eastAsia"/>
          <w:sz w:val="32"/>
          <w:szCs w:val="32"/>
        </w:rPr>
        <w:t>税收总额</w:t>
      </w:r>
      <w:r w:rsidR="00C64B15">
        <w:rPr>
          <w:rFonts w:ascii="仿宋_GB2312" w:eastAsia="仿宋_GB2312" w:hAnsi="Calibri"/>
          <w:sz w:val="32"/>
          <w:szCs w:val="32"/>
        </w:rPr>
        <w:t>800</w:t>
      </w:r>
      <w:r w:rsidR="00D70C7A">
        <w:rPr>
          <w:rFonts w:ascii="仿宋_GB2312" w:eastAsia="仿宋_GB2312" w:hAnsi="Calibri" w:hint="eastAsia"/>
          <w:sz w:val="32"/>
          <w:szCs w:val="32"/>
        </w:rPr>
        <w:t>亿元，增长</w:t>
      </w:r>
      <w:r w:rsidR="00C64B15">
        <w:rPr>
          <w:rFonts w:ascii="仿宋_GB2312" w:eastAsia="仿宋_GB2312" w:hAnsi="Calibri" w:hint="eastAsia"/>
          <w:sz w:val="32"/>
          <w:szCs w:val="32"/>
        </w:rPr>
        <w:t>13.4</w:t>
      </w:r>
      <w:r w:rsidR="00D70C7A">
        <w:rPr>
          <w:rFonts w:ascii="仿宋_GB2312" w:eastAsia="仿宋_GB2312" w:hAnsi="Calibri" w:hint="eastAsia"/>
          <w:sz w:val="32"/>
          <w:szCs w:val="32"/>
        </w:rPr>
        <w:t>%。其中国税收入</w:t>
      </w:r>
      <w:r w:rsidR="00C64B15">
        <w:rPr>
          <w:rFonts w:ascii="仿宋_GB2312" w:eastAsia="仿宋_GB2312" w:hAnsi="Calibri" w:hint="eastAsia"/>
          <w:sz w:val="32"/>
          <w:szCs w:val="32"/>
        </w:rPr>
        <w:t>527</w:t>
      </w:r>
      <w:r w:rsidR="00D70C7A">
        <w:rPr>
          <w:rFonts w:ascii="仿宋_GB2312" w:eastAsia="仿宋_GB2312" w:hAnsi="Calibri" w:hint="eastAsia"/>
          <w:sz w:val="32"/>
          <w:szCs w:val="32"/>
        </w:rPr>
        <w:t>亿元，增长</w:t>
      </w:r>
      <w:r w:rsidR="00C64B15">
        <w:rPr>
          <w:rFonts w:ascii="仿宋_GB2312" w:eastAsia="仿宋_GB2312" w:hAnsi="Calibri" w:hint="eastAsia"/>
          <w:sz w:val="32"/>
          <w:szCs w:val="32"/>
        </w:rPr>
        <w:t>17.3</w:t>
      </w:r>
      <w:r w:rsidR="00D70C7A">
        <w:rPr>
          <w:rFonts w:ascii="仿宋_GB2312" w:eastAsia="仿宋_GB2312" w:hAnsi="Calibri" w:hint="eastAsia"/>
          <w:sz w:val="32"/>
          <w:szCs w:val="32"/>
        </w:rPr>
        <w:t>%；地税收入</w:t>
      </w:r>
      <w:r w:rsidR="00C64B15">
        <w:rPr>
          <w:rFonts w:ascii="仿宋_GB2312" w:eastAsia="仿宋_GB2312" w:hAnsi="Calibri" w:hint="eastAsia"/>
          <w:sz w:val="32"/>
          <w:szCs w:val="32"/>
        </w:rPr>
        <w:t>273</w:t>
      </w:r>
      <w:r w:rsidR="00D70C7A">
        <w:rPr>
          <w:rFonts w:ascii="仿宋_GB2312" w:eastAsia="仿宋_GB2312" w:hAnsi="Calibri" w:hint="eastAsia"/>
          <w:sz w:val="32"/>
          <w:szCs w:val="32"/>
        </w:rPr>
        <w:t>亿元，增长</w:t>
      </w:r>
      <w:r w:rsidR="00C64B15">
        <w:rPr>
          <w:rFonts w:ascii="仿宋_GB2312" w:eastAsia="仿宋_GB2312" w:hAnsi="Calibri" w:hint="eastAsia"/>
          <w:sz w:val="32"/>
          <w:szCs w:val="32"/>
        </w:rPr>
        <w:t>6.6</w:t>
      </w:r>
      <w:r w:rsidR="00D70C7A">
        <w:rPr>
          <w:rFonts w:ascii="仿宋_GB2312" w:eastAsia="仿宋_GB2312" w:hAnsi="Calibri" w:hint="eastAsia"/>
          <w:sz w:val="32"/>
          <w:szCs w:val="32"/>
        </w:rPr>
        <w:t>%。</w:t>
      </w:r>
    </w:p>
    <w:p w:rsidR="00D70C7A" w:rsidRDefault="00D70C7A" w:rsidP="006E5F0E">
      <w:pPr>
        <w:jc w:val="center"/>
        <w:rPr>
          <w:rFonts w:ascii="黑体" w:eastAsia="黑体" w:hAnsi="黑体"/>
          <w:sz w:val="32"/>
          <w:szCs w:val="32"/>
        </w:rPr>
      </w:pPr>
      <w:r>
        <w:rPr>
          <w:rFonts w:ascii="黑体" w:eastAsia="黑体" w:hAnsi="黑体" w:hint="eastAsia"/>
          <w:sz w:val="32"/>
          <w:szCs w:val="32"/>
        </w:rPr>
        <w:t>九、教育和科学技术</w:t>
      </w:r>
    </w:p>
    <w:p w:rsidR="003E086F" w:rsidRPr="00050A9D" w:rsidRDefault="00B40C03" w:rsidP="00A9029C">
      <w:pPr>
        <w:ind w:firstLineChars="200" w:firstLine="640"/>
        <w:rPr>
          <w:rFonts w:ascii="仿宋_GB2312" w:eastAsia="仿宋_GB2312" w:hAnsi="Calibri"/>
          <w:b/>
          <w:sz w:val="32"/>
          <w:szCs w:val="32"/>
        </w:rPr>
      </w:pPr>
      <w:r w:rsidRPr="00050A9D">
        <w:rPr>
          <w:rFonts w:ascii="仿宋_GB2312" w:eastAsia="仿宋_GB2312" w:hAnsi="Calibri" w:hint="eastAsia"/>
          <w:sz w:val="32"/>
          <w:szCs w:val="32"/>
        </w:rPr>
        <w:t>年末各级各类学校242所(不含简易民办学校)。其中普通中学24所，职业中学2所，小学55所，幼儿园151所，九年一贯制10所。在校学生196238</w:t>
      </w:r>
      <w:r w:rsidR="00A71D59">
        <w:rPr>
          <w:rFonts w:ascii="仿宋_GB2312" w:eastAsia="仿宋_GB2312" w:hAnsi="Calibri" w:hint="eastAsia"/>
          <w:sz w:val="32"/>
          <w:szCs w:val="32"/>
        </w:rPr>
        <w:t>人</w:t>
      </w:r>
      <w:r w:rsidRPr="00050A9D">
        <w:rPr>
          <w:rFonts w:ascii="仿宋_GB2312" w:eastAsia="仿宋_GB2312" w:hAnsi="Calibri" w:hint="eastAsia"/>
          <w:sz w:val="32"/>
          <w:szCs w:val="32"/>
        </w:rPr>
        <w:t>。学校招生51167</w:t>
      </w:r>
      <w:r w:rsidR="00CE1A22">
        <w:rPr>
          <w:rFonts w:ascii="仿宋_GB2312" w:eastAsia="仿宋_GB2312" w:hAnsi="Calibri" w:hint="eastAsia"/>
          <w:sz w:val="32"/>
          <w:szCs w:val="32"/>
        </w:rPr>
        <w:t>人</w:t>
      </w:r>
      <w:r w:rsidRPr="00050A9D">
        <w:rPr>
          <w:rFonts w:ascii="仿宋_GB2312" w:eastAsia="仿宋_GB2312" w:hAnsi="Calibri" w:hint="eastAsia"/>
          <w:sz w:val="32"/>
          <w:szCs w:val="32"/>
        </w:rPr>
        <w:t>。教职工16911人。</w:t>
      </w:r>
    </w:p>
    <w:p w:rsidR="00D70C7A" w:rsidRPr="004E092E" w:rsidRDefault="004E092E" w:rsidP="004E092E">
      <w:pPr>
        <w:ind w:firstLineChars="200" w:firstLine="640"/>
        <w:rPr>
          <w:rFonts w:ascii="仿宋_GB2312" w:eastAsia="仿宋_GB2312"/>
          <w:sz w:val="32"/>
          <w:szCs w:val="32"/>
        </w:rPr>
      </w:pPr>
      <w:r>
        <w:rPr>
          <w:rFonts w:ascii="仿宋_GB2312" w:eastAsia="仿宋_GB2312" w:hint="eastAsia"/>
          <w:sz w:val="32"/>
          <w:szCs w:val="32"/>
        </w:rPr>
        <w:t>年末</w:t>
      </w:r>
      <w:r w:rsidR="005A18E2" w:rsidRPr="004E092E">
        <w:rPr>
          <w:rFonts w:ascii="仿宋_GB2312" w:eastAsia="仿宋_GB2312" w:hint="eastAsia"/>
          <w:sz w:val="32"/>
          <w:szCs w:val="32"/>
        </w:rPr>
        <w:t>累计批准国家高新技术企业651家，其中本年新增国家高新技术企业50家。</w:t>
      </w:r>
      <w:r w:rsidR="00D70C7A" w:rsidRPr="004E092E">
        <w:rPr>
          <w:rFonts w:ascii="仿宋_GB2312" w:eastAsia="仿宋_GB2312" w:hint="eastAsia"/>
          <w:sz w:val="32"/>
          <w:szCs w:val="32"/>
        </w:rPr>
        <w:t>实现</w:t>
      </w:r>
      <w:r w:rsidR="009C5A17" w:rsidRPr="004E092E">
        <w:rPr>
          <w:rFonts w:ascii="仿宋_GB2312" w:eastAsia="仿宋_GB2312" w:hint="eastAsia"/>
          <w:sz w:val="32"/>
          <w:szCs w:val="32"/>
        </w:rPr>
        <w:t>高新技术产品产值1604.90亿元，增长11.4%；</w:t>
      </w:r>
      <w:r w:rsidR="00D70C7A" w:rsidRPr="004E092E">
        <w:rPr>
          <w:rFonts w:ascii="仿宋_GB2312" w:eastAsia="仿宋_GB2312" w:hint="eastAsia"/>
          <w:sz w:val="32"/>
          <w:szCs w:val="32"/>
        </w:rPr>
        <w:t>高新技术产业增加值</w:t>
      </w:r>
      <w:r w:rsidR="00A2370A" w:rsidRPr="004E092E">
        <w:rPr>
          <w:rFonts w:ascii="仿宋_GB2312" w:eastAsia="仿宋_GB2312" w:hint="eastAsia"/>
          <w:sz w:val="32"/>
          <w:szCs w:val="32"/>
        </w:rPr>
        <w:t>275.54</w:t>
      </w:r>
      <w:r w:rsidR="00D70C7A" w:rsidRPr="004E092E">
        <w:rPr>
          <w:rFonts w:ascii="仿宋_GB2312" w:eastAsia="仿宋_GB2312" w:hint="eastAsia"/>
          <w:sz w:val="32"/>
          <w:szCs w:val="32"/>
        </w:rPr>
        <w:t>亿元，增长</w:t>
      </w:r>
      <w:r w:rsidR="00A2370A" w:rsidRPr="004E092E">
        <w:rPr>
          <w:rFonts w:ascii="仿宋_GB2312" w:eastAsia="仿宋_GB2312" w:hint="eastAsia"/>
          <w:sz w:val="32"/>
          <w:szCs w:val="32"/>
        </w:rPr>
        <w:t>10.1%</w:t>
      </w:r>
      <w:r w:rsidR="00D70C7A" w:rsidRPr="004E092E">
        <w:rPr>
          <w:rFonts w:ascii="仿宋_GB2312" w:eastAsia="仿宋_GB2312" w:hint="eastAsia"/>
          <w:sz w:val="32"/>
          <w:szCs w:val="32"/>
        </w:rPr>
        <w:t>，占地区生产总值的</w:t>
      </w:r>
      <w:r w:rsidR="00A2370A" w:rsidRPr="004E092E">
        <w:rPr>
          <w:rFonts w:ascii="仿宋_GB2312" w:eastAsia="仿宋_GB2312" w:hint="eastAsia"/>
          <w:sz w:val="32"/>
          <w:szCs w:val="32"/>
        </w:rPr>
        <w:t>9.3%</w:t>
      </w:r>
      <w:r w:rsidR="00D70C7A" w:rsidRPr="004E092E">
        <w:rPr>
          <w:rFonts w:ascii="仿宋_GB2312" w:eastAsia="仿宋_GB2312" w:hint="eastAsia"/>
          <w:sz w:val="32"/>
          <w:szCs w:val="32"/>
        </w:rPr>
        <w:t>。全年区级财政发放科技发展资金</w:t>
      </w:r>
      <w:r w:rsidR="00DC6A15" w:rsidRPr="004E092E">
        <w:rPr>
          <w:rFonts w:ascii="仿宋_GB2312" w:eastAsia="仿宋_GB2312" w:hint="eastAsia"/>
          <w:sz w:val="32"/>
          <w:szCs w:val="32"/>
        </w:rPr>
        <w:t>3135.95</w:t>
      </w:r>
      <w:r w:rsidR="00D70C7A" w:rsidRPr="004E092E">
        <w:rPr>
          <w:rFonts w:ascii="仿宋_GB2312" w:eastAsia="仿宋_GB2312" w:hint="eastAsia"/>
          <w:sz w:val="32"/>
          <w:szCs w:val="32"/>
        </w:rPr>
        <w:t>万元，共支持科技企业（个人）</w:t>
      </w:r>
      <w:r w:rsidR="00DC6A15" w:rsidRPr="004E092E">
        <w:rPr>
          <w:rFonts w:ascii="仿宋_GB2312" w:eastAsia="仿宋_GB2312" w:hint="eastAsia"/>
          <w:sz w:val="32"/>
          <w:szCs w:val="32"/>
        </w:rPr>
        <w:t>571</w:t>
      </w:r>
      <w:r w:rsidR="00D70C7A" w:rsidRPr="004E092E">
        <w:rPr>
          <w:rFonts w:ascii="仿宋_GB2312" w:eastAsia="仿宋_GB2312" w:hint="eastAsia"/>
          <w:sz w:val="32"/>
          <w:szCs w:val="32"/>
        </w:rPr>
        <w:t>个。专利申请量</w:t>
      </w:r>
      <w:r w:rsidR="00335123" w:rsidRPr="004E092E">
        <w:rPr>
          <w:rFonts w:ascii="仿宋_GB2312" w:eastAsia="仿宋_GB2312" w:hint="eastAsia"/>
          <w:sz w:val="32"/>
          <w:szCs w:val="32"/>
        </w:rPr>
        <w:t>13655</w:t>
      </w:r>
      <w:r w:rsidR="00D70C7A" w:rsidRPr="004E092E">
        <w:rPr>
          <w:rFonts w:ascii="仿宋_GB2312" w:eastAsia="仿宋_GB2312" w:hint="eastAsia"/>
          <w:sz w:val="32"/>
          <w:szCs w:val="32"/>
        </w:rPr>
        <w:t>件，增长</w:t>
      </w:r>
      <w:r w:rsidR="00335123" w:rsidRPr="004E092E">
        <w:rPr>
          <w:rFonts w:ascii="仿宋_GB2312" w:eastAsia="仿宋_GB2312" w:hint="eastAsia"/>
          <w:sz w:val="32"/>
          <w:szCs w:val="32"/>
        </w:rPr>
        <w:t>6.9%</w:t>
      </w:r>
      <w:r w:rsidR="00D70C7A" w:rsidRPr="004E092E">
        <w:rPr>
          <w:rFonts w:ascii="仿宋_GB2312" w:eastAsia="仿宋_GB2312" w:hint="eastAsia"/>
          <w:sz w:val="32"/>
          <w:szCs w:val="32"/>
        </w:rPr>
        <w:t>；专利授权量</w:t>
      </w:r>
      <w:r w:rsidR="00335123" w:rsidRPr="004E092E">
        <w:rPr>
          <w:rFonts w:ascii="仿宋_GB2312" w:eastAsia="仿宋_GB2312" w:hint="eastAsia"/>
          <w:sz w:val="32"/>
          <w:szCs w:val="32"/>
        </w:rPr>
        <w:t>6686</w:t>
      </w:r>
      <w:r w:rsidR="00D70C7A" w:rsidRPr="004E092E">
        <w:rPr>
          <w:rFonts w:ascii="仿宋_GB2312" w:eastAsia="仿宋_GB2312" w:hint="eastAsia"/>
          <w:sz w:val="32"/>
          <w:szCs w:val="32"/>
        </w:rPr>
        <w:t>件，增长</w:t>
      </w:r>
      <w:r w:rsidR="00335123" w:rsidRPr="004E092E">
        <w:rPr>
          <w:rFonts w:ascii="仿宋_GB2312" w:eastAsia="仿宋_GB2312" w:hint="eastAsia"/>
          <w:sz w:val="32"/>
          <w:szCs w:val="32"/>
        </w:rPr>
        <w:t>6.0%</w:t>
      </w:r>
      <w:r w:rsidR="00D70C7A" w:rsidRPr="004E092E">
        <w:rPr>
          <w:rFonts w:ascii="仿宋_GB2312" w:eastAsia="仿宋_GB2312" w:hint="eastAsia"/>
          <w:sz w:val="32"/>
          <w:szCs w:val="32"/>
        </w:rPr>
        <w:t>。</w:t>
      </w:r>
      <w:r w:rsidR="00A2370A" w:rsidRPr="004E092E">
        <w:rPr>
          <w:rFonts w:ascii="仿宋_GB2312" w:eastAsia="仿宋_GB2312" w:hint="eastAsia"/>
          <w:sz w:val="32"/>
          <w:szCs w:val="32"/>
        </w:rPr>
        <w:t>国际</w:t>
      </w:r>
      <w:r w:rsidR="00335123" w:rsidRPr="004E092E">
        <w:rPr>
          <w:rFonts w:ascii="仿宋_GB2312" w:eastAsia="仿宋_GB2312" w:hint="eastAsia"/>
          <w:sz w:val="32"/>
          <w:szCs w:val="32"/>
        </w:rPr>
        <w:t>专利申请量1419件，占全</w:t>
      </w:r>
      <w:r w:rsidR="00335123" w:rsidRPr="004E092E">
        <w:rPr>
          <w:rFonts w:ascii="仿宋_GB2312" w:eastAsia="仿宋_GB2312" w:hint="eastAsia"/>
          <w:sz w:val="32"/>
          <w:szCs w:val="32"/>
        </w:rPr>
        <w:lastRenderedPageBreak/>
        <w:t>市总量的12.2%。</w:t>
      </w:r>
    </w:p>
    <w:p w:rsidR="00D70C7A" w:rsidRDefault="00D70C7A" w:rsidP="00D70C7A">
      <w:pPr>
        <w:jc w:val="center"/>
        <w:rPr>
          <w:rFonts w:ascii="宋体" w:hAnsi="宋体"/>
          <w:sz w:val="28"/>
          <w:szCs w:val="28"/>
        </w:rPr>
      </w:pPr>
      <w:r>
        <w:rPr>
          <w:rFonts w:ascii="宋体" w:hAnsi="宋体" w:hint="eastAsia"/>
          <w:sz w:val="28"/>
          <w:szCs w:val="28"/>
        </w:rPr>
        <w:t>表</w:t>
      </w:r>
      <w:r w:rsidR="00AD746C">
        <w:rPr>
          <w:rFonts w:ascii="宋体" w:hAnsi="宋体" w:hint="eastAsia"/>
          <w:sz w:val="28"/>
          <w:szCs w:val="28"/>
        </w:rPr>
        <w:t>4</w:t>
      </w:r>
      <w:r>
        <w:rPr>
          <w:rFonts w:ascii="宋体" w:hAnsi="宋体" w:hint="eastAsia"/>
          <w:sz w:val="28"/>
          <w:szCs w:val="28"/>
        </w:rPr>
        <w:t xml:space="preserve">  </w:t>
      </w:r>
      <w:r w:rsidR="004E092E">
        <w:rPr>
          <w:rFonts w:ascii="宋体" w:hAnsi="宋体"/>
          <w:sz w:val="28"/>
          <w:szCs w:val="28"/>
        </w:rPr>
        <w:t>2010</w:t>
      </w:r>
      <w:r>
        <w:rPr>
          <w:rFonts w:ascii="宋体" w:hAnsi="宋体" w:hint="eastAsia"/>
          <w:sz w:val="28"/>
          <w:szCs w:val="28"/>
        </w:rPr>
        <w:t>-201</w:t>
      </w:r>
      <w:r w:rsidR="004E092E">
        <w:rPr>
          <w:rFonts w:ascii="宋体" w:hAnsi="宋体"/>
          <w:sz w:val="28"/>
          <w:szCs w:val="28"/>
        </w:rPr>
        <w:t>4</w:t>
      </w:r>
      <w:r>
        <w:rPr>
          <w:rFonts w:ascii="宋体" w:hAnsi="宋体" w:hint="eastAsia"/>
          <w:sz w:val="28"/>
          <w:szCs w:val="28"/>
        </w:rPr>
        <w:t>年</w:t>
      </w:r>
      <w:r>
        <w:rPr>
          <w:rFonts w:ascii="宋体" w:hAnsi="宋体"/>
          <w:sz w:val="28"/>
          <w:szCs w:val="28"/>
        </w:rPr>
        <w:t>福</w:t>
      </w:r>
      <w:r>
        <w:rPr>
          <w:rFonts w:ascii="宋体" w:hAnsi="宋体" w:hint="eastAsia"/>
          <w:sz w:val="28"/>
          <w:szCs w:val="28"/>
        </w:rPr>
        <w:t>田</w:t>
      </w:r>
      <w:proofErr w:type="gramStart"/>
      <w:r>
        <w:rPr>
          <w:rFonts w:ascii="宋体" w:hAnsi="宋体" w:hint="eastAsia"/>
          <w:sz w:val="28"/>
          <w:szCs w:val="28"/>
        </w:rPr>
        <w:t>区专利</w:t>
      </w:r>
      <w:proofErr w:type="gramEnd"/>
      <w:r>
        <w:rPr>
          <w:rFonts w:ascii="宋体" w:hAnsi="宋体" w:hint="eastAsia"/>
          <w:sz w:val="28"/>
          <w:szCs w:val="28"/>
        </w:rPr>
        <w:t>申请授权情况表</w:t>
      </w:r>
    </w:p>
    <w:tbl>
      <w:tblPr>
        <w:tblW w:w="0" w:type="auto"/>
        <w:tblInd w:w="108" w:type="dxa"/>
        <w:tblLayout w:type="fixed"/>
        <w:tblLook w:val="0000" w:firstRow="0" w:lastRow="0" w:firstColumn="0" w:lastColumn="0" w:noHBand="0" w:noVBand="0"/>
      </w:tblPr>
      <w:tblGrid>
        <w:gridCol w:w="2560"/>
        <w:gridCol w:w="1236"/>
        <w:gridCol w:w="1236"/>
        <w:gridCol w:w="1236"/>
        <w:gridCol w:w="1236"/>
        <w:gridCol w:w="1236"/>
      </w:tblGrid>
      <w:tr w:rsidR="00D70C7A">
        <w:trPr>
          <w:trHeight w:val="580"/>
        </w:trPr>
        <w:tc>
          <w:tcPr>
            <w:tcW w:w="2560" w:type="dxa"/>
            <w:tcBorders>
              <w:top w:val="single" w:sz="4" w:space="0" w:color="auto"/>
              <w:left w:val="nil"/>
              <w:bottom w:val="single" w:sz="4" w:space="0" w:color="auto"/>
              <w:right w:val="single" w:sz="4" w:space="0" w:color="auto"/>
            </w:tcBorders>
            <w:vAlign w:val="center"/>
          </w:tcPr>
          <w:p w:rsidR="00D70C7A" w:rsidRDefault="00D70C7A" w:rsidP="00D70C7A">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36" w:type="dxa"/>
            <w:tcBorders>
              <w:top w:val="single" w:sz="4" w:space="0" w:color="auto"/>
              <w:left w:val="nil"/>
              <w:bottom w:val="single" w:sz="4" w:space="0" w:color="auto"/>
              <w:right w:val="single" w:sz="4" w:space="0" w:color="auto"/>
            </w:tcBorders>
            <w:vAlign w:val="center"/>
          </w:tcPr>
          <w:p w:rsidR="00D70C7A" w:rsidRPr="00E858A8" w:rsidRDefault="00E858A8" w:rsidP="00D70C7A">
            <w:pPr>
              <w:widowControl/>
              <w:jc w:val="center"/>
              <w:rPr>
                <w:rFonts w:ascii="宋体" w:hAnsi="宋体" w:cs="宋体"/>
                <w:color w:val="000000"/>
                <w:kern w:val="0"/>
                <w:sz w:val="24"/>
              </w:rPr>
            </w:pPr>
            <w:r>
              <w:rPr>
                <w:rFonts w:ascii="宋体" w:hAnsi="宋体" w:cs="宋体" w:hint="eastAsia"/>
                <w:color w:val="000000"/>
                <w:kern w:val="0"/>
                <w:sz w:val="24"/>
              </w:rPr>
              <w:t>2010</w:t>
            </w:r>
            <w:r w:rsidR="00D70C7A" w:rsidRPr="00E858A8">
              <w:rPr>
                <w:rFonts w:ascii="宋体" w:hAnsi="宋体" w:cs="宋体" w:hint="eastAsia"/>
                <w:color w:val="000000"/>
                <w:kern w:val="0"/>
                <w:sz w:val="24"/>
              </w:rPr>
              <w:t>年</w:t>
            </w:r>
          </w:p>
        </w:tc>
        <w:tc>
          <w:tcPr>
            <w:tcW w:w="1236" w:type="dxa"/>
            <w:tcBorders>
              <w:top w:val="single" w:sz="4" w:space="0" w:color="auto"/>
              <w:left w:val="nil"/>
              <w:bottom w:val="single" w:sz="4" w:space="0" w:color="auto"/>
              <w:right w:val="single" w:sz="4" w:space="0" w:color="auto"/>
            </w:tcBorders>
            <w:vAlign w:val="center"/>
          </w:tcPr>
          <w:p w:rsidR="00D70C7A" w:rsidRPr="00E858A8" w:rsidRDefault="00D70C7A" w:rsidP="00E858A8">
            <w:pPr>
              <w:widowControl/>
              <w:jc w:val="center"/>
              <w:rPr>
                <w:rFonts w:ascii="宋体" w:hAnsi="宋体" w:cs="宋体"/>
                <w:color w:val="000000"/>
                <w:kern w:val="0"/>
                <w:sz w:val="24"/>
              </w:rPr>
            </w:pPr>
            <w:r w:rsidRPr="00E858A8">
              <w:rPr>
                <w:rFonts w:ascii="宋体" w:hAnsi="宋体" w:cs="宋体" w:hint="eastAsia"/>
                <w:color w:val="000000"/>
                <w:kern w:val="0"/>
                <w:sz w:val="24"/>
              </w:rPr>
              <w:t>201</w:t>
            </w:r>
            <w:r w:rsidR="00E858A8">
              <w:rPr>
                <w:rFonts w:ascii="宋体" w:hAnsi="宋体" w:cs="宋体"/>
                <w:color w:val="000000"/>
                <w:kern w:val="0"/>
                <w:sz w:val="24"/>
              </w:rPr>
              <w:t>1</w:t>
            </w:r>
            <w:r w:rsidRPr="00E858A8">
              <w:rPr>
                <w:rFonts w:ascii="宋体" w:hAnsi="宋体" w:cs="宋体" w:hint="eastAsia"/>
                <w:color w:val="000000"/>
                <w:kern w:val="0"/>
                <w:sz w:val="24"/>
              </w:rPr>
              <w:t>年</w:t>
            </w:r>
          </w:p>
        </w:tc>
        <w:tc>
          <w:tcPr>
            <w:tcW w:w="1236" w:type="dxa"/>
            <w:tcBorders>
              <w:top w:val="single" w:sz="4" w:space="0" w:color="auto"/>
              <w:left w:val="nil"/>
              <w:bottom w:val="single" w:sz="4" w:space="0" w:color="auto"/>
              <w:right w:val="single" w:sz="4" w:space="0" w:color="auto"/>
            </w:tcBorders>
            <w:vAlign w:val="center"/>
          </w:tcPr>
          <w:p w:rsidR="00D70C7A" w:rsidRPr="00E858A8" w:rsidRDefault="00D70C7A" w:rsidP="00E858A8">
            <w:pPr>
              <w:widowControl/>
              <w:jc w:val="center"/>
              <w:rPr>
                <w:rFonts w:ascii="宋体" w:hAnsi="宋体" w:cs="宋体"/>
                <w:color w:val="000000"/>
                <w:kern w:val="0"/>
                <w:sz w:val="24"/>
              </w:rPr>
            </w:pPr>
            <w:r w:rsidRPr="00E858A8">
              <w:rPr>
                <w:rFonts w:ascii="宋体" w:hAnsi="宋体" w:cs="宋体" w:hint="eastAsia"/>
                <w:color w:val="000000"/>
                <w:kern w:val="0"/>
                <w:sz w:val="24"/>
              </w:rPr>
              <w:t>201</w:t>
            </w:r>
            <w:r w:rsidR="00E858A8">
              <w:rPr>
                <w:rFonts w:ascii="宋体" w:hAnsi="宋体" w:cs="宋体"/>
                <w:color w:val="000000"/>
                <w:kern w:val="0"/>
                <w:sz w:val="24"/>
              </w:rPr>
              <w:t>2</w:t>
            </w:r>
            <w:r w:rsidRPr="00E858A8">
              <w:rPr>
                <w:rFonts w:ascii="宋体" w:hAnsi="宋体" w:cs="宋体" w:hint="eastAsia"/>
                <w:color w:val="000000"/>
                <w:kern w:val="0"/>
                <w:sz w:val="24"/>
              </w:rPr>
              <w:t>年</w:t>
            </w:r>
          </w:p>
        </w:tc>
        <w:tc>
          <w:tcPr>
            <w:tcW w:w="1236" w:type="dxa"/>
            <w:tcBorders>
              <w:top w:val="single" w:sz="4" w:space="0" w:color="auto"/>
              <w:left w:val="nil"/>
              <w:bottom w:val="single" w:sz="4" w:space="0" w:color="auto"/>
              <w:right w:val="single" w:sz="4" w:space="0" w:color="auto"/>
            </w:tcBorders>
            <w:vAlign w:val="center"/>
          </w:tcPr>
          <w:p w:rsidR="00D70C7A" w:rsidRPr="00E858A8" w:rsidRDefault="00D70C7A" w:rsidP="00E858A8">
            <w:pPr>
              <w:widowControl/>
              <w:jc w:val="center"/>
              <w:rPr>
                <w:rFonts w:ascii="宋体" w:hAnsi="宋体" w:cs="宋体"/>
                <w:color w:val="000000"/>
                <w:kern w:val="0"/>
                <w:sz w:val="24"/>
              </w:rPr>
            </w:pPr>
            <w:r w:rsidRPr="00E858A8">
              <w:rPr>
                <w:rFonts w:ascii="宋体" w:hAnsi="宋体" w:cs="宋体" w:hint="eastAsia"/>
                <w:color w:val="000000"/>
                <w:kern w:val="0"/>
                <w:sz w:val="24"/>
              </w:rPr>
              <w:t>201</w:t>
            </w:r>
            <w:r w:rsidR="00E858A8">
              <w:rPr>
                <w:rFonts w:ascii="宋体" w:hAnsi="宋体" w:cs="宋体"/>
                <w:color w:val="000000"/>
                <w:kern w:val="0"/>
                <w:sz w:val="24"/>
              </w:rPr>
              <w:t>3</w:t>
            </w:r>
            <w:r w:rsidRPr="00E858A8">
              <w:rPr>
                <w:rFonts w:ascii="宋体" w:hAnsi="宋体" w:cs="宋体" w:hint="eastAsia"/>
                <w:color w:val="000000"/>
                <w:kern w:val="0"/>
                <w:sz w:val="24"/>
              </w:rPr>
              <w:t>年</w:t>
            </w:r>
          </w:p>
        </w:tc>
        <w:tc>
          <w:tcPr>
            <w:tcW w:w="1236" w:type="dxa"/>
            <w:tcBorders>
              <w:top w:val="single" w:sz="4" w:space="0" w:color="auto"/>
              <w:left w:val="nil"/>
              <w:bottom w:val="single" w:sz="4" w:space="0" w:color="auto"/>
              <w:right w:val="nil"/>
            </w:tcBorders>
            <w:vAlign w:val="center"/>
          </w:tcPr>
          <w:p w:rsidR="00D70C7A" w:rsidRDefault="00D70C7A" w:rsidP="00E858A8">
            <w:pPr>
              <w:widowControl/>
              <w:jc w:val="center"/>
              <w:rPr>
                <w:rFonts w:ascii="宋体" w:hAnsi="宋体" w:cs="宋体"/>
                <w:color w:val="000000"/>
                <w:kern w:val="0"/>
                <w:sz w:val="24"/>
              </w:rPr>
            </w:pPr>
            <w:r>
              <w:rPr>
                <w:rFonts w:ascii="宋体" w:hAnsi="宋体" w:cs="宋体" w:hint="eastAsia"/>
                <w:color w:val="000000"/>
                <w:kern w:val="0"/>
                <w:sz w:val="24"/>
              </w:rPr>
              <w:t>201</w:t>
            </w:r>
            <w:r w:rsidR="00E858A8">
              <w:rPr>
                <w:rFonts w:ascii="宋体" w:hAnsi="宋体" w:cs="宋体"/>
                <w:color w:val="000000"/>
                <w:kern w:val="0"/>
                <w:sz w:val="24"/>
              </w:rPr>
              <w:t>4</w:t>
            </w:r>
            <w:r>
              <w:rPr>
                <w:rFonts w:ascii="宋体" w:hAnsi="宋体" w:cs="宋体" w:hint="eastAsia"/>
                <w:color w:val="000000"/>
                <w:kern w:val="0"/>
                <w:sz w:val="24"/>
              </w:rPr>
              <w:t>年</w:t>
            </w:r>
          </w:p>
        </w:tc>
      </w:tr>
      <w:tr w:rsidR="00E858A8" w:rsidTr="00E858A8">
        <w:trPr>
          <w:trHeight w:val="580"/>
        </w:trPr>
        <w:tc>
          <w:tcPr>
            <w:tcW w:w="2560" w:type="dxa"/>
            <w:tcBorders>
              <w:top w:val="single" w:sz="4" w:space="0" w:color="auto"/>
              <w:left w:val="nil"/>
              <w:bottom w:val="nil"/>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专利申请量（件）</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widowControl/>
              <w:jc w:val="right"/>
              <w:rPr>
                <w:rFonts w:ascii="宋体" w:hAnsi="宋体"/>
                <w:kern w:val="0"/>
                <w:sz w:val="24"/>
              </w:rPr>
            </w:pPr>
            <w:r w:rsidRPr="00E858A8">
              <w:rPr>
                <w:rFonts w:ascii="宋体" w:hAnsi="宋体" w:hint="eastAsia"/>
                <w:sz w:val="24"/>
              </w:rPr>
              <w:t>5276</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7356</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11533</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12772</w:t>
            </w:r>
          </w:p>
        </w:tc>
        <w:tc>
          <w:tcPr>
            <w:tcW w:w="1236" w:type="dxa"/>
            <w:tcBorders>
              <w:top w:val="single" w:sz="4" w:space="0" w:color="auto"/>
              <w:left w:val="single" w:sz="4" w:space="0" w:color="auto"/>
              <w:bottom w:val="nil"/>
              <w:right w:val="nil"/>
            </w:tcBorders>
            <w:vAlign w:val="center"/>
          </w:tcPr>
          <w:p w:rsidR="00E858A8" w:rsidRPr="00E858A8" w:rsidRDefault="00E858A8" w:rsidP="00E858A8">
            <w:pPr>
              <w:widowControl/>
              <w:jc w:val="right"/>
              <w:rPr>
                <w:rFonts w:ascii="宋体" w:hAnsi="宋体"/>
                <w:kern w:val="0"/>
                <w:sz w:val="24"/>
              </w:rPr>
            </w:pPr>
            <w:r w:rsidRPr="00E858A8">
              <w:rPr>
                <w:rFonts w:ascii="宋体" w:hAnsi="宋体" w:hint="eastAsia"/>
                <w:sz w:val="24"/>
              </w:rPr>
              <w:t>13655</w:t>
            </w:r>
          </w:p>
        </w:tc>
      </w:tr>
      <w:tr w:rsidR="00E858A8" w:rsidTr="00E858A8">
        <w:trPr>
          <w:trHeight w:val="581"/>
        </w:trPr>
        <w:tc>
          <w:tcPr>
            <w:tcW w:w="2560" w:type="dxa"/>
            <w:tcBorders>
              <w:top w:val="nil"/>
              <w:left w:val="nil"/>
              <w:bottom w:val="nil"/>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其中：发明</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1814</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2722</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4931</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4885</w:t>
            </w:r>
          </w:p>
        </w:tc>
        <w:tc>
          <w:tcPr>
            <w:tcW w:w="1236" w:type="dxa"/>
            <w:tcBorders>
              <w:top w:val="nil"/>
              <w:left w:val="single" w:sz="4" w:space="0" w:color="auto"/>
              <w:bottom w:val="nil"/>
              <w:right w:val="nil"/>
            </w:tcBorders>
            <w:vAlign w:val="center"/>
          </w:tcPr>
          <w:p w:rsidR="00E858A8" w:rsidRPr="00E858A8" w:rsidRDefault="00E858A8" w:rsidP="00E858A8">
            <w:pPr>
              <w:jc w:val="right"/>
              <w:rPr>
                <w:rFonts w:ascii="宋体" w:hAnsi="宋体"/>
                <w:sz w:val="24"/>
              </w:rPr>
            </w:pPr>
            <w:r w:rsidRPr="00E858A8">
              <w:rPr>
                <w:rFonts w:ascii="宋体" w:hAnsi="宋体" w:hint="eastAsia"/>
                <w:sz w:val="24"/>
              </w:rPr>
              <w:t>4921</w:t>
            </w:r>
          </w:p>
        </w:tc>
      </w:tr>
      <w:tr w:rsidR="00E858A8" w:rsidTr="00E858A8">
        <w:trPr>
          <w:trHeight w:val="580"/>
        </w:trPr>
        <w:tc>
          <w:tcPr>
            <w:tcW w:w="2560" w:type="dxa"/>
            <w:tcBorders>
              <w:top w:val="nil"/>
              <w:left w:val="nil"/>
              <w:bottom w:val="nil"/>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 xml:space="preserve">      实用新型</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2114</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2800</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3910</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5028</w:t>
            </w:r>
          </w:p>
        </w:tc>
        <w:tc>
          <w:tcPr>
            <w:tcW w:w="1236" w:type="dxa"/>
            <w:tcBorders>
              <w:top w:val="nil"/>
              <w:left w:val="single" w:sz="4" w:space="0" w:color="auto"/>
              <w:bottom w:val="nil"/>
              <w:right w:val="nil"/>
            </w:tcBorders>
            <w:vAlign w:val="center"/>
          </w:tcPr>
          <w:p w:rsidR="00E858A8" w:rsidRPr="00E858A8" w:rsidRDefault="00E858A8" w:rsidP="00E858A8">
            <w:pPr>
              <w:jc w:val="right"/>
              <w:rPr>
                <w:rFonts w:ascii="宋体" w:hAnsi="宋体"/>
                <w:sz w:val="24"/>
              </w:rPr>
            </w:pPr>
            <w:r w:rsidRPr="00E858A8">
              <w:rPr>
                <w:rFonts w:ascii="宋体" w:hAnsi="宋体" w:hint="eastAsia"/>
                <w:sz w:val="24"/>
              </w:rPr>
              <w:t>5928</w:t>
            </w:r>
          </w:p>
        </w:tc>
      </w:tr>
      <w:tr w:rsidR="00E858A8" w:rsidTr="00E858A8">
        <w:trPr>
          <w:trHeight w:val="580"/>
        </w:trPr>
        <w:tc>
          <w:tcPr>
            <w:tcW w:w="2560" w:type="dxa"/>
            <w:tcBorders>
              <w:top w:val="nil"/>
              <w:left w:val="nil"/>
              <w:bottom w:val="single" w:sz="4" w:space="0" w:color="auto"/>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 xml:space="preserve">      外观</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1348</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1834</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2692</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2859</w:t>
            </w:r>
          </w:p>
        </w:tc>
        <w:tc>
          <w:tcPr>
            <w:tcW w:w="1236" w:type="dxa"/>
            <w:tcBorders>
              <w:top w:val="nil"/>
              <w:left w:val="single" w:sz="4" w:space="0" w:color="auto"/>
              <w:bottom w:val="single" w:sz="4" w:space="0" w:color="auto"/>
              <w:right w:val="nil"/>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2806</w:t>
            </w:r>
          </w:p>
        </w:tc>
      </w:tr>
      <w:tr w:rsidR="00E858A8" w:rsidTr="00E858A8">
        <w:trPr>
          <w:trHeight w:val="581"/>
        </w:trPr>
        <w:tc>
          <w:tcPr>
            <w:tcW w:w="2560" w:type="dxa"/>
            <w:tcBorders>
              <w:top w:val="single" w:sz="4" w:space="0" w:color="auto"/>
              <w:left w:val="nil"/>
              <w:bottom w:val="nil"/>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专利授权量（件）</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widowControl/>
              <w:jc w:val="right"/>
              <w:rPr>
                <w:rFonts w:ascii="宋体" w:hAnsi="宋体"/>
                <w:kern w:val="0"/>
                <w:sz w:val="24"/>
              </w:rPr>
            </w:pPr>
            <w:r w:rsidRPr="00E858A8">
              <w:rPr>
                <w:rFonts w:ascii="宋体" w:hAnsi="宋体" w:hint="eastAsia"/>
                <w:sz w:val="24"/>
              </w:rPr>
              <w:t>4378</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4279</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5803</w:t>
            </w:r>
          </w:p>
        </w:tc>
        <w:tc>
          <w:tcPr>
            <w:tcW w:w="1236" w:type="dxa"/>
            <w:tcBorders>
              <w:top w:val="single" w:sz="4" w:space="0" w:color="auto"/>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6308</w:t>
            </w:r>
          </w:p>
        </w:tc>
        <w:tc>
          <w:tcPr>
            <w:tcW w:w="1236" w:type="dxa"/>
            <w:tcBorders>
              <w:top w:val="single" w:sz="4" w:space="0" w:color="auto"/>
              <w:left w:val="single" w:sz="4" w:space="0" w:color="auto"/>
              <w:bottom w:val="nil"/>
              <w:right w:val="nil"/>
            </w:tcBorders>
            <w:vAlign w:val="center"/>
          </w:tcPr>
          <w:p w:rsidR="00E858A8" w:rsidRPr="00E858A8" w:rsidRDefault="00E858A8" w:rsidP="00E858A8">
            <w:pPr>
              <w:jc w:val="right"/>
              <w:rPr>
                <w:rFonts w:ascii="宋体" w:hAnsi="宋体"/>
                <w:sz w:val="24"/>
              </w:rPr>
            </w:pPr>
            <w:r w:rsidRPr="00E858A8">
              <w:rPr>
                <w:rFonts w:ascii="宋体" w:hAnsi="宋体" w:hint="eastAsia"/>
                <w:sz w:val="24"/>
              </w:rPr>
              <w:t>6686</w:t>
            </w:r>
          </w:p>
        </w:tc>
      </w:tr>
      <w:tr w:rsidR="00E858A8" w:rsidTr="00E858A8">
        <w:trPr>
          <w:trHeight w:val="580"/>
        </w:trPr>
        <w:tc>
          <w:tcPr>
            <w:tcW w:w="2560" w:type="dxa"/>
            <w:tcBorders>
              <w:top w:val="nil"/>
              <w:left w:val="nil"/>
              <w:bottom w:val="nil"/>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其中：发明</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708</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799</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836</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668</w:t>
            </w:r>
          </w:p>
        </w:tc>
        <w:tc>
          <w:tcPr>
            <w:tcW w:w="1236" w:type="dxa"/>
            <w:tcBorders>
              <w:top w:val="nil"/>
              <w:left w:val="single" w:sz="4" w:space="0" w:color="auto"/>
              <w:bottom w:val="nil"/>
              <w:right w:val="nil"/>
            </w:tcBorders>
            <w:vAlign w:val="center"/>
          </w:tcPr>
          <w:p w:rsidR="00E858A8" w:rsidRPr="00E858A8" w:rsidRDefault="00E858A8" w:rsidP="00E858A8">
            <w:pPr>
              <w:jc w:val="right"/>
              <w:rPr>
                <w:rFonts w:ascii="宋体" w:hAnsi="宋体"/>
                <w:sz w:val="24"/>
              </w:rPr>
            </w:pPr>
            <w:r w:rsidRPr="00E858A8">
              <w:rPr>
                <w:rFonts w:ascii="宋体" w:hAnsi="宋体" w:hint="eastAsia"/>
                <w:sz w:val="24"/>
              </w:rPr>
              <w:t>886</w:t>
            </w:r>
          </w:p>
        </w:tc>
      </w:tr>
      <w:tr w:rsidR="00E858A8" w:rsidTr="00E858A8">
        <w:trPr>
          <w:trHeight w:val="580"/>
        </w:trPr>
        <w:tc>
          <w:tcPr>
            <w:tcW w:w="2560" w:type="dxa"/>
            <w:tcBorders>
              <w:top w:val="nil"/>
              <w:left w:val="nil"/>
              <w:bottom w:val="nil"/>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 xml:space="preserve">      实用新型</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2027</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2113</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2864</w:t>
            </w:r>
          </w:p>
        </w:tc>
        <w:tc>
          <w:tcPr>
            <w:tcW w:w="1236" w:type="dxa"/>
            <w:tcBorders>
              <w:top w:val="nil"/>
              <w:left w:val="single" w:sz="4" w:space="0" w:color="auto"/>
              <w:bottom w:val="nil"/>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3499</w:t>
            </w:r>
          </w:p>
        </w:tc>
        <w:tc>
          <w:tcPr>
            <w:tcW w:w="1236" w:type="dxa"/>
            <w:tcBorders>
              <w:top w:val="nil"/>
              <w:left w:val="single" w:sz="4" w:space="0" w:color="auto"/>
              <w:bottom w:val="nil"/>
              <w:right w:val="nil"/>
            </w:tcBorders>
            <w:vAlign w:val="center"/>
          </w:tcPr>
          <w:p w:rsidR="00E858A8" w:rsidRPr="00E858A8" w:rsidRDefault="00E858A8" w:rsidP="00E858A8">
            <w:pPr>
              <w:jc w:val="right"/>
              <w:rPr>
                <w:rFonts w:ascii="宋体" w:hAnsi="宋体"/>
                <w:sz w:val="24"/>
              </w:rPr>
            </w:pPr>
            <w:r w:rsidRPr="00E858A8">
              <w:rPr>
                <w:rFonts w:ascii="宋体" w:hAnsi="宋体" w:hint="eastAsia"/>
                <w:sz w:val="24"/>
              </w:rPr>
              <w:t>3685</w:t>
            </w:r>
          </w:p>
        </w:tc>
      </w:tr>
      <w:tr w:rsidR="00E858A8" w:rsidTr="00E858A8">
        <w:trPr>
          <w:trHeight w:val="581"/>
        </w:trPr>
        <w:tc>
          <w:tcPr>
            <w:tcW w:w="2560" w:type="dxa"/>
            <w:tcBorders>
              <w:top w:val="nil"/>
              <w:left w:val="nil"/>
              <w:bottom w:val="single" w:sz="4" w:space="0" w:color="auto"/>
              <w:right w:val="single" w:sz="4" w:space="0" w:color="auto"/>
            </w:tcBorders>
            <w:vAlign w:val="center"/>
          </w:tcPr>
          <w:p w:rsidR="00E858A8" w:rsidRDefault="00E858A8" w:rsidP="00E858A8">
            <w:pPr>
              <w:widowControl/>
              <w:jc w:val="left"/>
              <w:rPr>
                <w:rFonts w:ascii="宋体" w:hAnsi="宋体" w:cs="宋体"/>
                <w:color w:val="000000"/>
                <w:kern w:val="0"/>
                <w:sz w:val="24"/>
              </w:rPr>
            </w:pPr>
            <w:r>
              <w:rPr>
                <w:rFonts w:ascii="宋体" w:hAnsi="宋体" w:cs="宋体" w:hint="eastAsia"/>
                <w:color w:val="000000"/>
                <w:kern w:val="0"/>
                <w:sz w:val="24"/>
              </w:rPr>
              <w:t xml:space="preserve">      外观</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1643</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1367</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2103</w:t>
            </w:r>
          </w:p>
        </w:tc>
        <w:tc>
          <w:tcPr>
            <w:tcW w:w="1236" w:type="dxa"/>
            <w:tcBorders>
              <w:top w:val="nil"/>
              <w:left w:val="single" w:sz="4" w:space="0" w:color="auto"/>
              <w:bottom w:val="single" w:sz="4" w:space="0" w:color="auto"/>
              <w:right w:val="single" w:sz="4" w:space="0" w:color="auto"/>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2141</w:t>
            </w:r>
          </w:p>
        </w:tc>
        <w:tc>
          <w:tcPr>
            <w:tcW w:w="1236" w:type="dxa"/>
            <w:tcBorders>
              <w:top w:val="nil"/>
              <w:left w:val="single" w:sz="4" w:space="0" w:color="auto"/>
              <w:bottom w:val="single" w:sz="4" w:space="0" w:color="auto"/>
              <w:right w:val="nil"/>
            </w:tcBorders>
            <w:vAlign w:val="center"/>
          </w:tcPr>
          <w:p w:rsidR="00E858A8" w:rsidRPr="00E858A8" w:rsidRDefault="00E858A8" w:rsidP="00E858A8">
            <w:pPr>
              <w:jc w:val="right"/>
              <w:rPr>
                <w:rFonts w:ascii="宋体" w:hAnsi="宋体"/>
                <w:sz w:val="24"/>
              </w:rPr>
            </w:pPr>
            <w:r w:rsidRPr="00E858A8">
              <w:rPr>
                <w:rFonts w:ascii="宋体" w:hAnsi="宋体" w:hint="eastAsia"/>
                <w:sz w:val="24"/>
              </w:rPr>
              <w:t>2115</w:t>
            </w:r>
          </w:p>
        </w:tc>
      </w:tr>
    </w:tbl>
    <w:p w:rsidR="00D70C7A" w:rsidRDefault="00D70C7A" w:rsidP="006E5F0E">
      <w:pPr>
        <w:jc w:val="center"/>
        <w:rPr>
          <w:rFonts w:ascii="黑体" w:eastAsia="黑体" w:hAnsi="黑体"/>
          <w:sz w:val="32"/>
          <w:szCs w:val="32"/>
        </w:rPr>
      </w:pPr>
      <w:r>
        <w:rPr>
          <w:rFonts w:ascii="黑体" w:eastAsia="黑体" w:hAnsi="黑体" w:hint="eastAsia"/>
          <w:sz w:val="32"/>
          <w:szCs w:val="32"/>
        </w:rPr>
        <w:t>十、文化、卫生和体育</w:t>
      </w:r>
    </w:p>
    <w:p w:rsidR="00D70C7A" w:rsidRDefault="005A18E2"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年末全区公共图书馆106个，公共图书馆藏书量1216万册。博物馆7个，文化馆（含分馆）7个，文化站10个，文化广场30个，已注册区级文化类社会组织47个。广播人口覆盖率</w:t>
      </w:r>
      <w:r>
        <w:rPr>
          <w:rFonts w:ascii="仿宋_GB2312" w:eastAsia="仿宋_GB2312" w:hAnsi="Calibri"/>
          <w:sz w:val="32"/>
          <w:szCs w:val="32"/>
        </w:rPr>
        <w:t>100%</w:t>
      </w:r>
      <w:r>
        <w:rPr>
          <w:rFonts w:ascii="仿宋_GB2312" w:eastAsia="仿宋_GB2312" w:hAnsi="Calibri" w:hint="eastAsia"/>
          <w:sz w:val="32"/>
          <w:szCs w:val="32"/>
        </w:rPr>
        <w:t>，电视人口覆盖率100</w:t>
      </w:r>
      <w:r>
        <w:rPr>
          <w:rFonts w:ascii="仿宋_GB2312" w:eastAsia="仿宋_GB2312" w:hAnsi="Calibri"/>
          <w:sz w:val="32"/>
          <w:szCs w:val="32"/>
        </w:rPr>
        <w:t>%</w:t>
      </w:r>
      <w:r>
        <w:rPr>
          <w:rFonts w:ascii="仿宋_GB2312" w:eastAsia="仿宋_GB2312" w:hAnsi="Calibri" w:hint="eastAsia"/>
          <w:sz w:val="32"/>
          <w:szCs w:val="32"/>
        </w:rPr>
        <w:t>。</w:t>
      </w:r>
    </w:p>
    <w:p w:rsidR="00D70C7A" w:rsidRPr="002774F8" w:rsidRDefault="003F277C" w:rsidP="005A7547">
      <w:pPr>
        <w:ind w:leftChars="50" w:left="105" w:firstLineChars="150" w:firstLine="480"/>
        <w:rPr>
          <w:rFonts w:ascii="仿宋_GB2312" w:eastAsia="仿宋_GB2312" w:hAnsi="Calibri"/>
          <w:sz w:val="32"/>
          <w:szCs w:val="32"/>
        </w:rPr>
      </w:pPr>
      <w:r>
        <w:rPr>
          <w:rFonts w:ascii="仿宋_GB2312" w:eastAsia="仿宋_GB2312" w:hAnsi="Calibri" w:hint="eastAsia"/>
          <w:sz w:val="32"/>
          <w:szCs w:val="32"/>
        </w:rPr>
        <w:t>全区共有医疗卫生机构</w:t>
      </w:r>
      <w:r>
        <w:rPr>
          <w:rFonts w:ascii="仿宋_GB2312" w:eastAsia="仿宋_GB2312" w:hAnsi="Calibri"/>
          <w:sz w:val="32"/>
          <w:szCs w:val="32"/>
        </w:rPr>
        <w:t>471</w:t>
      </w:r>
      <w:r>
        <w:rPr>
          <w:rFonts w:ascii="仿宋_GB2312" w:eastAsia="仿宋_GB2312" w:hAnsi="Calibri" w:hint="eastAsia"/>
          <w:sz w:val="32"/>
          <w:szCs w:val="32"/>
        </w:rPr>
        <w:t>个，增长</w:t>
      </w:r>
      <w:r>
        <w:rPr>
          <w:rFonts w:ascii="仿宋_GB2312" w:eastAsia="仿宋_GB2312" w:hAnsi="Calibri"/>
          <w:sz w:val="32"/>
          <w:szCs w:val="32"/>
        </w:rPr>
        <w:t>11.6%</w:t>
      </w:r>
      <w:r>
        <w:rPr>
          <w:rFonts w:ascii="仿宋_GB2312" w:eastAsia="仿宋_GB2312" w:hAnsi="Calibri" w:hint="eastAsia"/>
          <w:sz w:val="32"/>
          <w:szCs w:val="32"/>
        </w:rPr>
        <w:t>。其中医院</w:t>
      </w:r>
      <w:r>
        <w:rPr>
          <w:rFonts w:ascii="仿宋_GB2312" w:eastAsia="仿宋_GB2312" w:hAnsi="Calibri"/>
          <w:sz w:val="32"/>
          <w:szCs w:val="32"/>
        </w:rPr>
        <w:t>24</w:t>
      </w:r>
      <w:r w:rsidR="006A5BD5">
        <w:rPr>
          <w:rFonts w:ascii="仿宋_GB2312" w:eastAsia="仿宋_GB2312" w:hAnsi="Calibri" w:hint="eastAsia"/>
          <w:sz w:val="32"/>
          <w:szCs w:val="32"/>
        </w:rPr>
        <w:t>个,</w:t>
      </w:r>
      <w:r>
        <w:rPr>
          <w:rFonts w:ascii="仿宋_GB2312" w:eastAsia="仿宋_GB2312" w:hAnsi="Calibri" w:hint="eastAsia"/>
          <w:sz w:val="32"/>
          <w:szCs w:val="32"/>
        </w:rPr>
        <w:t>门诊部（所）364个，疾病预防控制中心</w:t>
      </w:r>
      <w:r>
        <w:rPr>
          <w:rFonts w:ascii="仿宋_GB2312" w:eastAsia="仿宋_GB2312" w:hAnsi="Calibri"/>
          <w:sz w:val="32"/>
          <w:szCs w:val="32"/>
        </w:rPr>
        <w:t>1</w:t>
      </w:r>
      <w:r>
        <w:rPr>
          <w:rFonts w:ascii="仿宋_GB2312" w:eastAsia="仿宋_GB2312" w:hAnsi="Calibri" w:hint="eastAsia"/>
          <w:sz w:val="32"/>
          <w:szCs w:val="32"/>
        </w:rPr>
        <w:t>个，卫生监督所</w:t>
      </w:r>
      <w:r>
        <w:rPr>
          <w:rFonts w:ascii="仿宋_GB2312" w:eastAsia="仿宋_GB2312" w:hAnsi="Calibri"/>
          <w:sz w:val="32"/>
          <w:szCs w:val="32"/>
        </w:rPr>
        <w:t>1</w:t>
      </w:r>
      <w:r>
        <w:rPr>
          <w:rFonts w:ascii="仿宋_GB2312" w:eastAsia="仿宋_GB2312" w:hAnsi="Calibri" w:hint="eastAsia"/>
          <w:sz w:val="32"/>
          <w:szCs w:val="32"/>
        </w:rPr>
        <w:t>个，社康中心</w:t>
      </w:r>
      <w:r>
        <w:rPr>
          <w:rFonts w:ascii="仿宋_GB2312" w:eastAsia="仿宋_GB2312" w:hAnsi="Calibri"/>
          <w:sz w:val="32"/>
          <w:szCs w:val="32"/>
        </w:rPr>
        <w:t>76</w:t>
      </w:r>
      <w:r>
        <w:rPr>
          <w:rFonts w:ascii="仿宋_GB2312" w:eastAsia="仿宋_GB2312" w:hAnsi="Calibri" w:hint="eastAsia"/>
          <w:sz w:val="32"/>
          <w:szCs w:val="32"/>
        </w:rPr>
        <w:t>个。医院拥有病床72</w:t>
      </w:r>
      <w:r>
        <w:rPr>
          <w:rFonts w:ascii="仿宋_GB2312" w:eastAsia="仿宋_GB2312" w:hAnsi="Calibri"/>
          <w:sz w:val="32"/>
          <w:szCs w:val="32"/>
        </w:rPr>
        <w:t>11</w:t>
      </w:r>
      <w:r>
        <w:rPr>
          <w:rFonts w:ascii="仿宋_GB2312" w:eastAsia="仿宋_GB2312" w:hAnsi="Calibri" w:hint="eastAsia"/>
          <w:sz w:val="32"/>
          <w:szCs w:val="32"/>
        </w:rPr>
        <w:t>张，增长1</w:t>
      </w:r>
      <w:r>
        <w:rPr>
          <w:rFonts w:ascii="仿宋_GB2312" w:eastAsia="仿宋_GB2312" w:hAnsi="Calibri"/>
          <w:sz w:val="32"/>
          <w:szCs w:val="32"/>
        </w:rPr>
        <w:t>0</w:t>
      </w:r>
      <w:r>
        <w:rPr>
          <w:rFonts w:ascii="仿宋_GB2312" w:eastAsia="仿宋_GB2312" w:hAnsi="Calibri" w:hint="eastAsia"/>
          <w:sz w:val="32"/>
          <w:szCs w:val="32"/>
        </w:rPr>
        <w:t>.</w:t>
      </w:r>
      <w:r>
        <w:rPr>
          <w:rFonts w:ascii="仿宋_GB2312" w:eastAsia="仿宋_GB2312" w:hAnsi="Calibri"/>
          <w:sz w:val="32"/>
          <w:szCs w:val="32"/>
        </w:rPr>
        <w:t>7</w:t>
      </w:r>
      <w:r>
        <w:rPr>
          <w:rFonts w:ascii="仿宋_GB2312" w:eastAsia="仿宋_GB2312" w:hAnsi="Calibri" w:hint="eastAsia"/>
          <w:sz w:val="32"/>
          <w:szCs w:val="32"/>
        </w:rPr>
        <w:t>%。卫生技术人员</w:t>
      </w:r>
      <w:r>
        <w:rPr>
          <w:rFonts w:ascii="仿宋_GB2312" w:eastAsia="仿宋_GB2312" w:hAnsi="Calibri"/>
          <w:sz w:val="32"/>
          <w:szCs w:val="32"/>
        </w:rPr>
        <w:t>15941</w:t>
      </w:r>
      <w:r>
        <w:rPr>
          <w:rFonts w:ascii="仿宋_GB2312" w:eastAsia="仿宋_GB2312" w:hAnsi="Calibri" w:hint="eastAsia"/>
          <w:sz w:val="32"/>
          <w:szCs w:val="32"/>
        </w:rPr>
        <w:t>人，增长</w:t>
      </w:r>
      <w:r w:rsidR="008A760F">
        <w:rPr>
          <w:rFonts w:ascii="仿宋_GB2312" w:eastAsia="仿宋_GB2312" w:hAnsi="Calibri"/>
          <w:sz w:val="32"/>
          <w:szCs w:val="32"/>
        </w:rPr>
        <w:t>7.3</w:t>
      </w:r>
      <w:r>
        <w:rPr>
          <w:rFonts w:ascii="仿宋_GB2312" w:eastAsia="仿宋_GB2312" w:hAnsi="Calibri"/>
          <w:sz w:val="32"/>
          <w:szCs w:val="32"/>
        </w:rPr>
        <w:t>%</w:t>
      </w:r>
      <w:r>
        <w:rPr>
          <w:rFonts w:ascii="仿宋_GB2312" w:eastAsia="仿宋_GB2312" w:hAnsi="Calibri" w:hint="eastAsia"/>
          <w:sz w:val="32"/>
          <w:szCs w:val="32"/>
        </w:rPr>
        <w:t>。其中执业医师</w:t>
      </w:r>
      <w:r>
        <w:rPr>
          <w:rFonts w:ascii="仿宋_GB2312" w:eastAsia="仿宋_GB2312" w:hAnsi="Calibri"/>
          <w:sz w:val="32"/>
          <w:szCs w:val="32"/>
        </w:rPr>
        <w:t>5887</w:t>
      </w:r>
      <w:r>
        <w:rPr>
          <w:rFonts w:ascii="仿宋_GB2312" w:eastAsia="仿宋_GB2312" w:hAnsi="Calibri" w:hint="eastAsia"/>
          <w:sz w:val="32"/>
          <w:szCs w:val="32"/>
        </w:rPr>
        <w:t>人，</w:t>
      </w:r>
      <w:r w:rsidR="00D674FA">
        <w:rPr>
          <w:rFonts w:ascii="仿宋_GB2312" w:eastAsia="仿宋_GB2312" w:hAnsi="Calibri" w:hint="eastAsia"/>
          <w:sz w:val="32"/>
          <w:szCs w:val="32"/>
        </w:rPr>
        <w:t>增长7.1</w:t>
      </w:r>
      <w:r w:rsidR="00D674FA">
        <w:rPr>
          <w:rFonts w:ascii="仿宋_GB2312" w:eastAsia="仿宋_GB2312" w:hAnsi="Calibri"/>
          <w:sz w:val="32"/>
          <w:szCs w:val="32"/>
        </w:rPr>
        <w:t>%；</w:t>
      </w:r>
      <w:r>
        <w:rPr>
          <w:rFonts w:ascii="仿宋_GB2312" w:eastAsia="仿宋_GB2312" w:hAnsi="Calibri" w:hint="eastAsia"/>
          <w:sz w:val="32"/>
          <w:szCs w:val="32"/>
        </w:rPr>
        <w:t>注册护士</w:t>
      </w:r>
      <w:r>
        <w:rPr>
          <w:rFonts w:ascii="仿宋_GB2312" w:eastAsia="仿宋_GB2312" w:hAnsi="Calibri"/>
          <w:sz w:val="32"/>
          <w:szCs w:val="32"/>
        </w:rPr>
        <w:t>7184</w:t>
      </w:r>
      <w:r>
        <w:rPr>
          <w:rFonts w:ascii="仿宋_GB2312" w:eastAsia="仿宋_GB2312" w:hAnsi="Calibri" w:hint="eastAsia"/>
          <w:sz w:val="32"/>
          <w:szCs w:val="32"/>
        </w:rPr>
        <w:t>人</w:t>
      </w:r>
      <w:r w:rsidR="00D674FA">
        <w:rPr>
          <w:rFonts w:ascii="仿宋_GB2312" w:eastAsia="仿宋_GB2312" w:hAnsi="Calibri" w:hint="eastAsia"/>
          <w:sz w:val="32"/>
          <w:szCs w:val="32"/>
        </w:rPr>
        <w:t>，</w:t>
      </w:r>
      <w:r w:rsidR="00D674FA">
        <w:rPr>
          <w:rFonts w:ascii="仿宋_GB2312" w:eastAsia="仿宋_GB2312" w:hAnsi="Calibri"/>
          <w:sz w:val="32"/>
          <w:szCs w:val="32"/>
        </w:rPr>
        <w:t>增长</w:t>
      </w:r>
      <w:r w:rsidR="00D674FA">
        <w:rPr>
          <w:rFonts w:ascii="仿宋_GB2312" w:eastAsia="仿宋_GB2312" w:hAnsi="Calibri" w:hint="eastAsia"/>
          <w:sz w:val="32"/>
          <w:szCs w:val="32"/>
        </w:rPr>
        <w:t>6.5</w:t>
      </w:r>
      <w:r w:rsidR="00D674FA">
        <w:rPr>
          <w:rFonts w:ascii="仿宋_GB2312" w:eastAsia="仿宋_GB2312" w:hAnsi="Calibri"/>
          <w:sz w:val="32"/>
          <w:szCs w:val="32"/>
        </w:rPr>
        <w:t>%</w:t>
      </w:r>
      <w:r>
        <w:rPr>
          <w:rFonts w:ascii="仿宋_GB2312" w:eastAsia="仿宋_GB2312" w:hAnsi="Calibri" w:hint="eastAsia"/>
          <w:sz w:val="32"/>
          <w:szCs w:val="32"/>
        </w:rPr>
        <w:t>。完成诊疗总量</w:t>
      </w:r>
      <w:r>
        <w:rPr>
          <w:rFonts w:ascii="仿宋_GB2312" w:eastAsia="仿宋_GB2312" w:hAnsi="Calibri"/>
          <w:sz w:val="32"/>
          <w:szCs w:val="32"/>
        </w:rPr>
        <w:t xml:space="preserve"> </w:t>
      </w:r>
      <w:r>
        <w:rPr>
          <w:rFonts w:ascii="仿宋_GB2312" w:eastAsia="仿宋_GB2312" w:hAnsi="Calibri" w:hint="eastAsia"/>
          <w:sz w:val="32"/>
          <w:szCs w:val="32"/>
        </w:rPr>
        <w:t>1729.4</w:t>
      </w:r>
      <w:r>
        <w:rPr>
          <w:rFonts w:ascii="仿宋_GB2312" w:eastAsia="仿宋_GB2312" w:hAnsi="Calibri"/>
          <w:sz w:val="32"/>
          <w:szCs w:val="32"/>
        </w:rPr>
        <w:t>2</w:t>
      </w:r>
      <w:r>
        <w:rPr>
          <w:rFonts w:ascii="仿宋_GB2312" w:eastAsia="仿宋_GB2312" w:hAnsi="Calibri" w:hint="eastAsia"/>
          <w:sz w:val="32"/>
          <w:szCs w:val="32"/>
        </w:rPr>
        <w:t>万人次</w:t>
      </w:r>
      <w:r w:rsidRPr="003F277C">
        <w:rPr>
          <w:rFonts w:ascii="仿宋_GB2312" w:eastAsia="仿宋_GB2312" w:hAnsi="Calibri" w:hint="eastAsia"/>
          <w:sz w:val="32"/>
          <w:szCs w:val="32"/>
        </w:rPr>
        <w:t>。</w:t>
      </w:r>
      <w:r>
        <w:rPr>
          <w:rFonts w:ascii="仿宋_GB2312" w:eastAsia="仿宋_GB2312" w:hAnsi="Calibri" w:hint="eastAsia"/>
          <w:sz w:val="32"/>
          <w:szCs w:val="32"/>
        </w:rPr>
        <w:t>出院总人数32</w:t>
      </w:r>
      <w:r w:rsidR="00D674FA">
        <w:rPr>
          <w:rFonts w:ascii="仿宋_GB2312" w:eastAsia="仿宋_GB2312" w:hAnsi="Calibri" w:hint="eastAsia"/>
          <w:sz w:val="32"/>
          <w:szCs w:val="32"/>
        </w:rPr>
        <w:t>.</w:t>
      </w:r>
      <w:r>
        <w:rPr>
          <w:rFonts w:ascii="仿宋_GB2312" w:eastAsia="仿宋_GB2312" w:hAnsi="Calibri" w:hint="eastAsia"/>
          <w:sz w:val="32"/>
          <w:szCs w:val="32"/>
        </w:rPr>
        <w:t>8</w:t>
      </w:r>
      <w:r w:rsidR="00D674FA">
        <w:rPr>
          <w:rFonts w:ascii="仿宋_GB2312" w:eastAsia="仿宋_GB2312" w:hAnsi="Calibri"/>
          <w:sz w:val="32"/>
          <w:szCs w:val="32"/>
        </w:rPr>
        <w:t>3</w:t>
      </w:r>
      <w:r>
        <w:rPr>
          <w:rFonts w:ascii="仿宋_GB2312" w:eastAsia="仿宋_GB2312" w:hAnsi="Calibri" w:hint="eastAsia"/>
          <w:sz w:val="32"/>
          <w:szCs w:val="32"/>
        </w:rPr>
        <w:t>万人次。每一诊疗人次平均费用256.61元；每</w:t>
      </w:r>
      <w:r>
        <w:rPr>
          <w:rFonts w:ascii="仿宋_GB2312" w:eastAsia="仿宋_GB2312" w:hAnsi="Calibri" w:hint="eastAsia"/>
          <w:sz w:val="32"/>
          <w:szCs w:val="32"/>
        </w:rPr>
        <w:lastRenderedPageBreak/>
        <w:t>一出院病人平均住院费用为9481.39元，增长3.2%</w:t>
      </w:r>
      <w:r w:rsidR="002774F8">
        <w:rPr>
          <w:rFonts w:ascii="仿宋_GB2312" w:eastAsia="仿宋_GB2312" w:hAnsi="Calibri" w:hint="eastAsia"/>
          <w:sz w:val="32"/>
          <w:szCs w:val="32"/>
        </w:rPr>
        <w:t>。</w:t>
      </w:r>
    </w:p>
    <w:p w:rsidR="00DA4373" w:rsidRDefault="00F000C8" w:rsidP="00555514">
      <w:r w:rsidRPr="00805E7A">
        <w:rPr>
          <w:rFonts w:hint="eastAsia"/>
          <w:noProof/>
        </w:rPr>
        <w:drawing>
          <wp:inline distT="0" distB="0" distL="0" distR="0">
            <wp:extent cx="5667375" cy="3200400"/>
            <wp:effectExtent l="0" t="0" r="9525"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F7A22" w:rsidRPr="003F7A22" w:rsidRDefault="003F7A22" w:rsidP="003F7A22">
      <w:pPr>
        <w:jc w:val="center"/>
        <w:rPr>
          <w:rFonts w:ascii="宋体" w:hAnsi="宋体"/>
          <w:sz w:val="28"/>
          <w:szCs w:val="28"/>
        </w:rPr>
      </w:pPr>
      <w:r w:rsidRPr="003F7A22">
        <w:rPr>
          <w:rFonts w:ascii="宋体" w:hAnsi="宋体" w:hint="eastAsia"/>
          <w:sz w:val="28"/>
          <w:szCs w:val="28"/>
        </w:rPr>
        <w:t>图13  2010-2014年医院病床数</w:t>
      </w:r>
    </w:p>
    <w:p w:rsidR="001160BE" w:rsidRDefault="001160BE" w:rsidP="001160BE">
      <w:pPr>
        <w:ind w:firstLineChars="250" w:firstLine="800"/>
        <w:rPr>
          <w:rFonts w:ascii="仿宋_GB2312" w:eastAsia="仿宋_GB2312" w:hAnsi="Calibri"/>
          <w:sz w:val="32"/>
          <w:szCs w:val="32"/>
        </w:rPr>
      </w:pPr>
      <w:r>
        <w:rPr>
          <w:rFonts w:ascii="仿宋_GB2312" w:eastAsia="仿宋_GB2312" w:hAnsi="Calibri" w:hint="eastAsia"/>
          <w:sz w:val="32"/>
          <w:szCs w:val="32"/>
        </w:rPr>
        <w:t>全区拥有体育场地</w:t>
      </w:r>
      <w:r>
        <w:rPr>
          <w:rFonts w:ascii="仿宋_GB2312" w:eastAsia="仿宋_GB2312" w:hAnsi="Calibri"/>
          <w:sz w:val="32"/>
          <w:szCs w:val="32"/>
        </w:rPr>
        <w:t>1985</w:t>
      </w:r>
      <w:r>
        <w:rPr>
          <w:rFonts w:ascii="仿宋_GB2312" w:eastAsia="仿宋_GB2312" w:hAnsi="Calibri" w:hint="eastAsia"/>
          <w:sz w:val="32"/>
          <w:szCs w:val="32"/>
        </w:rPr>
        <w:t>个，健身路径</w:t>
      </w:r>
      <w:r>
        <w:rPr>
          <w:rFonts w:ascii="仿宋_GB2312" w:eastAsia="仿宋_GB2312" w:hAnsi="Calibri"/>
          <w:sz w:val="32"/>
          <w:szCs w:val="32"/>
        </w:rPr>
        <w:t>455</w:t>
      </w:r>
      <w:r>
        <w:rPr>
          <w:rFonts w:ascii="仿宋_GB2312" w:eastAsia="仿宋_GB2312" w:hAnsi="Calibri" w:hint="eastAsia"/>
          <w:sz w:val="32"/>
          <w:szCs w:val="32"/>
        </w:rPr>
        <w:t>条。</w:t>
      </w:r>
      <w:r w:rsidR="00F46868">
        <w:rPr>
          <w:rFonts w:ascii="仿宋_GB2312" w:eastAsia="仿宋_GB2312" w:hAnsi="Calibri" w:hint="eastAsia"/>
          <w:sz w:val="32"/>
          <w:szCs w:val="32"/>
        </w:rPr>
        <w:t>全年</w:t>
      </w:r>
      <w:r>
        <w:rPr>
          <w:rFonts w:ascii="仿宋_GB2312" w:eastAsia="仿宋_GB2312" w:hAnsi="Calibri" w:hint="eastAsia"/>
          <w:sz w:val="32"/>
          <w:szCs w:val="32"/>
        </w:rPr>
        <w:t>组织举办各类体育健身活动</w:t>
      </w:r>
      <w:r>
        <w:rPr>
          <w:rFonts w:ascii="仿宋_GB2312" w:eastAsia="仿宋_GB2312" w:hAnsi="Calibri"/>
          <w:sz w:val="32"/>
          <w:szCs w:val="32"/>
        </w:rPr>
        <w:t>30</w:t>
      </w:r>
      <w:r>
        <w:rPr>
          <w:rFonts w:ascii="仿宋_GB2312" w:eastAsia="仿宋_GB2312" w:hAnsi="Calibri" w:hint="eastAsia"/>
          <w:sz w:val="32"/>
          <w:szCs w:val="32"/>
        </w:rPr>
        <w:t>场次，参加活动人数达</w:t>
      </w:r>
      <w:r>
        <w:rPr>
          <w:rFonts w:ascii="仿宋_GB2312" w:eastAsia="仿宋_GB2312" w:hAnsi="Calibri"/>
          <w:sz w:val="32"/>
          <w:szCs w:val="32"/>
        </w:rPr>
        <w:t>4.7</w:t>
      </w:r>
      <w:r>
        <w:rPr>
          <w:rFonts w:ascii="仿宋_GB2312" w:eastAsia="仿宋_GB2312" w:hAnsi="Calibri" w:hint="eastAsia"/>
          <w:sz w:val="32"/>
          <w:szCs w:val="32"/>
        </w:rPr>
        <w:t>万人次。辖区国民体质测定结果显示总体合格率为</w:t>
      </w:r>
      <w:r>
        <w:rPr>
          <w:rFonts w:ascii="仿宋_GB2312" w:eastAsia="仿宋_GB2312" w:hAnsi="Calibri"/>
          <w:sz w:val="32"/>
          <w:szCs w:val="32"/>
        </w:rPr>
        <w:t>85.7%</w:t>
      </w:r>
      <w:r w:rsidR="00F46868">
        <w:rPr>
          <w:rFonts w:ascii="仿宋_GB2312" w:eastAsia="仿宋_GB2312" w:hAnsi="Calibri" w:hint="eastAsia"/>
          <w:sz w:val="32"/>
          <w:szCs w:val="32"/>
        </w:rPr>
        <w:t>，</w:t>
      </w:r>
      <w:r>
        <w:rPr>
          <w:rFonts w:ascii="仿宋_GB2312" w:eastAsia="仿宋_GB2312" w:hAnsi="Calibri" w:hint="eastAsia"/>
          <w:sz w:val="32"/>
          <w:szCs w:val="32"/>
        </w:rPr>
        <w:t>其中优秀率为</w:t>
      </w:r>
      <w:r>
        <w:rPr>
          <w:rFonts w:ascii="仿宋_GB2312" w:eastAsia="仿宋_GB2312" w:hAnsi="Calibri"/>
          <w:sz w:val="32"/>
          <w:szCs w:val="32"/>
        </w:rPr>
        <w:t>10.2%</w:t>
      </w:r>
      <w:r>
        <w:rPr>
          <w:rFonts w:ascii="仿宋_GB2312" w:eastAsia="仿宋_GB2312" w:hAnsi="Calibri" w:hint="eastAsia"/>
          <w:sz w:val="32"/>
          <w:szCs w:val="32"/>
        </w:rPr>
        <w:t>，良好率为</w:t>
      </w:r>
      <w:r>
        <w:rPr>
          <w:rFonts w:ascii="仿宋_GB2312" w:eastAsia="仿宋_GB2312" w:hAnsi="Calibri"/>
          <w:sz w:val="32"/>
          <w:szCs w:val="32"/>
        </w:rPr>
        <w:t>34.5%</w:t>
      </w:r>
      <w:r w:rsidR="00F46868">
        <w:rPr>
          <w:rFonts w:ascii="仿宋_GB2312" w:eastAsia="仿宋_GB2312" w:hAnsi="Calibri" w:hint="eastAsia"/>
          <w:sz w:val="32"/>
          <w:szCs w:val="32"/>
        </w:rPr>
        <w:t>，</w:t>
      </w:r>
      <w:r>
        <w:rPr>
          <w:rFonts w:ascii="仿宋_GB2312" w:eastAsia="仿宋_GB2312" w:hAnsi="Calibri" w:hint="eastAsia"/>
          <w:sz w:val="32"/>
          <w:szCs w:val="32"/>
        </w:rPr>
        <w:t>合格率为</w:t>
      </w:r>
      <w:r>
        <w:rPr>
          <w:rFonts w:ascii="仿宋_GB2312" w:eastAsia="仿宋_GB2312" w:hAnsi="Calibri"/>
          <w:sz w:val="32"/>
          <w:szCs w:val="32"/>
        </w:rPr>
        <w:t>41</w:t>
      </w:r>
      <w:r w:rsidR="005510D9">
        <w:rPr>
          <w:rFonts w:ascii="仿宋_GB2312" w:eastAsia="仿宋_GB2312" w:hAnsi="Calibri"/>
          <w:sz w:val="32"/>
          <w:szCs w:val="32"/>
        </w:rPr>
        <w:t>.0</w:t>
      </w:r>
      <w:r>
        <w:rPr>
          <w:rFonts w:ascii="仿宋_GB2312" w:eastAsia="仿宋_GB2312" w:hAnsi="Calibri"/>
          <w:sz w:val="32"/>
          <w:szCs w:val="32"/>
        </w:rPr>
        <w:t>%</w:t>
      </w:r>
      <w:r>
        <w:rPr>
          <w:rFonts w:ascii="仿宋_GB2312" w:eastAsia="仿宋_GB2312" w:hAnsi="Calibri" w:hint="eastAsia"/>
          <w:sz w:val="32"/>
          <w:szCs w:val="32"/>
        </w:rPr>
        <w:t>。</w:t>
      </w:r>
    </w:p>
    <w:p w:rsidR="00D70C7A" w:rsidRDefault="00D70C7A" w:rsidP="006E5F0E">
      <w:pPr>
        <w:jc w:val="center"/>
        <w:rPr>
          <w:rFonts w:ascii="黑体" w:eastAsia="黑体" w:hAnsi="黑体"/>
          <w:sz w:val="32"/>
          <w:szCs w:val="32"/>
        </w:rPr>
      </w:pPr>
      <w:r>
        <w:rPr>
          <w:rFonts w:ascii="黑体" w:eastAsia="黑体" w:hAnsi="黑体" w:hint="eastAsia"/>
          <w:sz w:val="32"/>
          <w:szCs w:val="32"/>
        </w:rPr>
        <w:t>十一、人民生活、社会保障与安全生产</w:t>
      </w:r>
    </w:p>
    <w:p w:rsidR="008E4E32" w:rsidRDefault="008E4E32" w:rsidP="008E4E32">
      <w:pPr>
        <w:ind w:firstLineChars="200" w:firstLine="640"/>
        <w:rPr>
          <w:rFonts w:ascii="仿宋_GB2312" w:eastAsia="仿宋_GB2312" w:hAnsi="Calibri"/>
          <w:sz w:val="32"/>
          <w:szCs w:val="32"/>
        </w:rPr>
      </w:pPr>
      <w:r w:rsidRPr="008525F7">
        <w:rPr>
          <w:rFonts w:ascii="仿宋_GB2312" w:eastAsia="仿宋_GB2312" w:hAnsi="Calibri" w:hint="eastAsia"/>
          <w:sz w:val="32"/>
          <w:szCs w:val="32"/>
        </w:rPr>
        <w:t>根据一体化住户（含户籍和非户籍）抽样调查资料，居民家庭年人均可支配收入54092元，比上年增长8.7%，扣除物价因素实际增长6.6%。年人均消费性支出40697元，增长9.8%。恩格尔系数28.4%。</w:t>
      </w:r>
    </w:p>
    <w:p w:rsidR="00057B9D" w:rsidRPr="00E037D0" w:rsidRDefault="00E037D0" w:rsidP="00E50D53">
      <w:pPr>
        <w:widowControl/>
        <w:ind w:firstLineChars="200" w:firstLine="640"/>
        <w:jc w:val="left"/>
        <w:rPr>
          <w:rFonts w:ascii="仿宋_GB2312" w:eastAsia="仿宋_GB2312" w:hAnsi="Calibri"/>
          <w:sz w:val="32"/>
          <w:szCs w:val="32"/>
        </w:rPr>
      </w:pPr>
      <w:r w:rsidRPr="00E037D0">
        <w:rPr>
          <w:rFonts w:ascii="仿宋_GB2312" w:eastAsia="仿宋_GB2312" w:hAnsi="Calibri"/>
          <w:sz w:val="32"/>
          <w:szCs w:val="32"/>
        </w:rPr>
        <w:lastRenderedPageBreak/>
        <w:t>年末全区在岗职工（不含私营及个体）</w:t>
      </w:r>
      <w:r w:rsidR="00B83368">
        <w:rPr>
          <w:rFonts w:ascii="仿宋_GB2312" w:eastAsia="仿宋_GB2312" w:hAnsi="Calibri"/>
          <w:sz w:val="32"/>
          <w:szCs w:val="32"/>
        </w:rPr>
        <w:t>69.67</w:t>
      </w:r>
      <w:r w:rsidRPr="00E037D0">
        <w:rPr>
          <w:rFonts w:ascii="仿宋_GB2312" w:eastAsia="仿宋_GB2312" w:hAnsi="Calibri"/>
          <w:sz w:val="32"/>
          <w:szCs w:val="32"/>
        </w:rPr>
        <w:t>万人，比上年下降18.2%。在岗职工年平均工资83709元，增长8.8%，扣除物价因素实际增长</w:t>
      </w:r>
      <w:r w:rsidR="00B83368">
        <w:rPr>
          <w:rFonts w:ascii="仿宋_GB2312" w:eastAsia="仿宋_GB2312" w:hAnsi="Calibri"/>
          <w:sz w:val="32"/>
          <w:szCs w:val="32"/>
        </w:rPr>
        <w:t>6.7%</w:t>
      </w:r>
      <w:r w:rsidRPr="00E037D0">
        <w:rPr>
          <w:rFonts w:ascii="仿宋_GB2312" w:eastAsia="仿宋_GB2312" w:hAnsi="Calibri"/>
          <w:sz w:val="32"/>
          <w:szCs w:val="32"/>
        </w:rPr>
        <w:t>。</w:t>
      </w:r>
    </w:p>
    <w:p w:rsidR="00D70C7A" w:rsidRDefault="00FB29ED" w:rsidP="006865DB">
      <w:pPr>
        <w:ind w:firstLineChars="200" w:firstLine="640"/>
        <w:rPr>
          <w:rFonts w:ascii="仿宋_GB2312" w:eastAsia="仿宋_GB2312"/>
          <w:sz w:val="32"/>
          <w:szCs w:val="32"/>
        </w:rPr>
      </w:pPr>
      <w:r w:rsidRPr="00FB29ED">
        <w:rPr>
          <w:rFonts w:ascii="仿宋_GB2312" w:eastAsia="仿宋_GB2312" w:hint="eastAsia"/>
          <w:sz w:val="32"/>
          <w:szCs w:val="32"/>
        </w:rPr>
        <w:t>年末全区参加社会保险的单位97835</w:t>
      </w:r>
      <w:r w:rsidR="006865DB">
        <w:rPr>
          <w:rFonts w:ascii="仿宋_GB2312" w:eastAsia="仿宋_GB2312" w:hint="eastAsia"/>
          <w:sz w:val="32"/>
          <w:szCs w:val="32"/>
        </w:rPr>
        <w:t>家。养老保险参保人数</w:t>
      </w:r>
      <w:r w:rsidRPr="00FB29ED">
        <w:rPr>
          <w:rFonts w:ascii="仿宋_GB2312" w:eastAsia="仿宋_GB2312" w:hint="eastAsia"/>
          <w:sz w:val="32"/>
          <w:szCs w:val="32"/>
        </w:rPr>
        <w:t>199.18</w:t>
      </w:r>
      <w:r w:rsidR="006865DB">
        <w:rPr>
          <w:rFonts w:ascii="仿宋_GB2312" w:eastAsia="仿宋_GB2312" w:hint="eastAsia"/>
          <w:sz w:val="32"/>
          <w:szCs w:val="32"/>
        </w:rPr>
        <w:t>万</w:t>
      </w:r>
      <w:r w:rsidR="00C82A40">
        <w:rPr>
          <w:rFonts w:ascii="仿宋_GB2312" w:eastAsia="仿宋_GB2312" w:hint="eastAsia"/>
          <w:sz w:val="32"/>
          <w:szCs w:val="32"/>
        </w:rPr>
        <w:t>人</w:t>
      </w:r>
      <w:r w:rsidR="006865DB">
        <w:rPr>
          <w:rFonts w:ascii="仿宋_GB2312" w:eastAsia="仿宋_GB2312" w:hint="eastAsia"/>
          <w:sz w:val="32"/>
          <w:szCs w:val="32"/>
        </w:rPr>
        <w:t>，医疗保险参保人数</w:t>
      </w:r>
      <w:r w:rsidRPr="00FB29ED">
        <w:rPr>
          <w:rFonts w:ascii="仿宋_GB2312" w:eastAsia="仿宋_GB2312" w:hint="eastAsia"/>
          <w:sz w:val="32"/>
          <w:szCs w:val="32"/>
        </w:rPr>
        <w:t>253.23</w:t>
      </w:r>
      <w:r w:rsidR="006865DB">
        <w:rPr>
          <w:rFonts w:ascii="仿宋_GB2312" w:eastAsia="仿宋_GB2312" w:hint="eastAsia"/>
          <w:sz w:val="32"/>
          <w:szCs w:val="32"/>
        </w:rPr>
        <w:t>万人，工伤保险参保人数</w:t>
      </w:r>
      <w:r w:rsidRPr="00FB29ED">
        <w:rPr>
          <w:rFonts w:ascii="仿宋_GB2312" w:eastAsia="仿宋_GB2312" w:hint="eastAsia"/>
          <w:sz w:val="32"/>
          <w:szCs w:val="32"/>
        </w:rPr>
        <w:t>203.03</w:t>
      </w:r>
      <w:r w:rsidR="006865DB">
        <w:rPr>
          <w:rFonts w:ascii="仿宋_GB2312" w:eastAsia="仿宋_GB2312" w:hint="eastAsia"/>
          <w:sz w:val="32"/>
          <w:szCs w:val="32"/>
        </w:rPr>
        <w:t>万人，失业保险参保人数</w:t>
      </w:r>
      <w:r w:rsidRPr="00FB29ED">
        <w:rPr>
          <w:rFonts w:ascii="仿宋_GB2312" w:eastAsia="仿宋_GB2312" w:hint="eastAsia"/>
          <w:sz w:val="32"/>
          <w:szCs w:val="32"/>
        </w:rPr>
        <w:t>201.72万人，生育保险人数193.48万人。社保基金征收金额233.31亿元。全年共11398人享受城市居民最低生活保障，增长4.1%；社会救助1145人次，增长</w:t>
      </w:r>
      <w:r w:rsidR="008C3CF5">
        <w:rPr>
          <w:rFonts w:ascii="仿宋_GB2312" w:eastAsia="仿宋_GB2312" w:hint="eastAsia"/>
          <w:sz w:val="32"/>
          <w:szCs w:val="32"/>
        </w:rPr>
        <w:t>1.3</w:t>
      </w:r>
      <w:r w:rsidRPr="00FB29ED">
        <w:rPr>
          <w:rFonts w:ascii="仿宋_GB2312" w:eastAsia="仿宋_GB2312" w:hint="eastAsia"/>
          <w:sz w:val="32"/>
          <w:szCs w:val="32"/>
        </w:rPr>
        <w:t>倍；民政事业费支出13620万元，增长36.3%，其中城市居民最低生活保障费549.47万元，增长21.1%。年末全区养老机构床位数605个，增长12.0%。全年发放老人高龄津贴费1084.83万元，增长22.0%。年末登记失业人数8107人，增长1.7倍；失业</w:t>
      </w:r>
      <w:proofErr w:type="gramStart"/>
      <w:r w:rsidRPr="00FB29ED">
        <w:rPr>
          <w:rFonts w:ascii="仿宋_GB2312" w:eastAsia="仿宋_GB2312" w:hint="eastAsia"/>
          <w:sz w:val="32"/>
          <w:szCs w:val="32"/>
        </w:rPr>
        <w:t>转就业</w:t>
      </w:r>
      <w:proofErr w:type="gramEnd"/>
      <w:r w:rsidRPr="00FB29ED">
        <w:rPr>
          <w:rFonts w:ascii="仿宋_GB2312" w:eastAsia="仿宋_GB2312" w:hint="eastAsia"/>
          <w:sz w:val="32"/>
          <w:szCs w:val="32"/>
        </w:rPr>
        <w:t>人数6689，下降</w:t>
      </w:r>
      <w:r w:rsidR="00F23AEC">
        <w:rPr>
          <w:rFonts w:ascii="仿宋_GB2312" w:eastAsia="仿宋_GB2312" w:hint="eastAsia"/>
          <w:sz w:val="32"/>
          <w:szCs w:val="32"/>
        </w:rPr>
        <w:t>16.4%</w:t>
      </w:r>
      <w:r w:rsidRPr="00FB29ED">
        <w:rPr>
          <w:rFonts w:ascii="仿宋_GB2312" w:eastAsia="仿宋_GB2312" w:hint="eastAsia"/>
          <w:sz w:val="32"/>
          <w:szCs w:val="32"/>
        </w:rPr>
        <w:t>。年末辖区职业技能培训机构数30家，全年参加职业技能培训人数 21859人，增长</w:t>
      </w:r>
      <w:r w:rsidR="00F23AEC">
        <w:rPr>
          <w:rFonts w:ascii="仿宋_GB2312" w:eastAsia="仿宋_GB2312" w:hint="eastAsia"/>
          <w:sz w:val="32"/>
          <w:szCs w:val="32"/>
        </w:rPr>
        <w:t>17.4%</w:t>
      </w:r>
      <w:r w:rsidRPr="00FB29ED">
        <w:rPr>
          <w:rFonts w:ascii="仿宋_GB2312" w:eastAsia="仿宋_GB2312" w:hint="eastAsia"/>
          <w:sz w:val="32"/>
          <w:szCs w:val="32"/>
        </w:rPr>
        <w:t>。</w:t>
      </w:r>
      <w:r w:rsidR="000A4B00" w:rsidRPr="00FB29ED">
        <w:rPr>
          <w:rFonts w:ascii="仿宋_GB2312" w:eastAsia="仿宋_GB2312" w:hint="eastAsia"/>
          <w:sz w:val="32"/>
          <w:szCs w:val="32"/>
        </w:rPr>
        <w:t xml:space="preserve"> </w:t>
      </w:r>
    </w:p>
    <w:p w:rsidR="001F5D1B" w:rsidRDefault="00B44650" w:rsidP="006865DB">
      <w:pPr>
        <w:ind w:firstLineChars="200" w:firstLine="420"/>
        <w:rPr>
          <w:rFonts w:ascii="仿宋_GB2312" w:eastAsia="仿宋_GB2312"/>
          <w:sz w:val="32"/>
          <w:szCs w:val="32"/>
        </w:rPr>
      </w:pPr>
      <w:r w:rsidRPr="00F32CC6">
        <w:rPr>
          <w:rFonts w:ascii="宋体" w:hAnsi="宋体" w:hint="eastAsia"/>
          <w:noProof/>
        </w:rPr>
        <w:lastRenderedPageBreak/>
        <w:drawing>
          <wp:inline distT="0" distB="0" distL="0" distR="0" wp14:anchorId="1E20967B" wp14:editId="6339AD92">
            <wp:extent cx="5667375" cy="320040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D5AC0" w:rsidRPr="000D5AC0" w:rsidRDefault="000D5AC0" w:rsidP="000D5AC0">
      <w:pPr>
        <w:jc w:val="center"/>
        <w:rPr>
          <w:rFonts w:ascii="宋体" w:hAnsi="宋体"/>
          <w:sz w:val="28"/>
          <w:szCs w:val="28"/>
        </w:rPr>
      </w:pPr>
      <w:r w:rsidRPr="000D5AC0">
        <w:rPr>
          <w:rFonts w:ascii="宋体" w:hAnsi="宋体" w:hint="eastAsia"/>
          <w:sz w:val="28"/>
          <w:szCs w:val="28"/>
        </w:rPr>
        <w:t>图1</w:t>
      </w:r>
      <w:r w:rsidR="008A0A8D">
        <w:rPr>
          <w:rFonts w:ascii="宋体" w:hAnsi="宋体"/>
          <w:sz w:val="28"/>
          <w:szCs w:val="28"/>
        </w:rPr>
        <w:t>4</w:t>
      </w:r>
      <w:r w:rsidRPr="000D5AC0">
        <w:rPr>
          <w:rFonts w:ascii="宋体" w:hAnsi="宋体" w:hint="eastAsia"/>
          <w:sz w:val="28"/>
          <w:szCs w:val="28"/>
        </w:rPr>
        <w:t xml:space="preserve">  2014年全区参加各类保险人数</w:t>
      </w:r>
    </w:p>
    <w:p w:rsidR="006865DB" w:rsidRDefault="006865DB" w:rsidP="006865DB">
      <w:pPr>
        <w:ind w:firstLineChars="200" w:firstLine="640"/>
        <w:rPr>
          <w:rFonts w:ascii="仿宋_GB2312" w:eastAsia="仿宋_GB2312" w:hAnsi="Calibri"/>
          <w:sz w:val="32"/>
          <w:szCs w:val="32"/>
        </w:rPr>
      </w:pPr>
      <w:r>
        <w:rPr>
          <w:rFonts w:ascii="仿宋_GB2312" w:eastAsia="仿宋_GB2312" w:hAnsi="Calibri" w:hint="eastAsia"/>
          <w:sz w:val="32"/>
          <w:szCs w:val="32"/>
        </w:rPr>
        <w:t>全年共发生道路交通事故、火灾事故和生产安全事故431宗，下降17.6%；死亡28人，增长16.7%；受伤46</w:t>
      </w:r>
      <w:r w:rsidR="00C377D1">
        <w:rPr>
          <w:rFonts w:ascii="仿宋_GB2312" w:eastAsia="仿宋_GB2312" w:hAnsi="Calibri" w:hint="eastAsia"/>
          <w:sz w:val="32"/>
          <w:szCs w:val="32"/>
        </w:rPr>
        <w:t>人</w:t>
      </w:r>
      <w:r w:rsidR="006A2D34">
        <w:rPr>
          <w:rFonts w:ascii="仿宋_GB2312" w:eastAsia="仿宋_GB2312" w:hAnsi="Calibri" w:hint="eastAsia"/>
          <w:sz w:val="32"/>
          <w:szCs w:val="32"/>
        </w:rPr>
        <w:t>。</w:t>
      </w:r>
      <w:r>
        <w:rPr>
          <w:rFonts w:ascii="仿宋_GB2312" w:eastAsia="仿宋_GB2312" w:hAnsi="Calibri" w:hint="eastAsia"/>
          <w:sz w:val="32"/>
          <w:szCs w:val="32"/>
        </w:rPr>
        <w:t>直接经济损失402.65万元，下降25.5%。亿元地区生产总值生产安全事故死亡人数为0.0095人，增长18.8%。治安案件查处数21321宗，增长18.1%。查处人数8220人，增长35.4%。</w:t>
      </w:r>
    </w:p>
    <w:p w:rsidR="00D70C7A" w:rsidRDefault="00D70C7A" w:rsidP="006E5F0E">
      <w:pPr>
        <w:jc w:val="center"/>
        <w:rPr>
          <w:rFonts w:ascii="黑体" w:eastAsia="黑体" w:hAnsi="黑体"/>
          <w:sz w:val="32"/>
          <w:szCs w:val="32"/>
        </w:rPr>
      </w:pPr>
      <w:r>
        <w:rPr>
          <w:rFonts w:ascii="黑体" w:eastAsia="黑体" w:hAnsi="黑体" w:hint="eastAsia"/>
          <w:sz w:val="32"/>
          <w:szCs w:val="32"/>
        </w:rPr>
        <w:t>十二、人口、资源与环境</w:t>
      </w:r>
    </w:p>
    <w:p w:rsidR="0072282F" w:rsidRDefault="0072282F" w:rsidP="0072282F">
      <w:pPr>
        <w:ind w:firstLineChars="200" w:firstLine="640"/>
        <w:rPr>
          <w:rFonts w:ascii="仿宋_GB2312" w:eastAsia="仿宋_GB2312" w:hAnsi="Calibri"/>
          <w:sz w:val="32"/>
          <w:szCs w:val="32"/>
        </w:rPr>
      </w:pPr>
      <w:r>
        <w:rPr>
          <w:rFonts w:ascii="仿宋_GB2312" w:eastAsia="仿宋_GB2312" w:hAnsi="Calibri" w:hint="eastAsia"/>
          <w:sz w:val="32"/>
          <w:szCs w:val="32"/>
        </w:rPr>
        <w:t>201</w:t>
      </w:r>
      <w:r>
        <w:rPr>
          <w:rFonts w:ascii="仿宋_GB2312" w:eastAsia="仿宋_GB2312" w:hAnsi="Calibri"/>
          <w:sz w:val="32"/>
          <w:szCs w:val="32"/>
        </w:rPr>
        <w:t>4</w:t>
      </w:r>
      <w:r>
        <w:rPr>
          <w:rFonts w:ascii="仿宋_GB2312" w:eastAsia="仿宋_GB2312" w:hAnsi="Calibri" w:hint="eastAsia"/>
          <w:sz w:val="32"/>
          <w:szCs w:val="32"/>
        </w:rPr>
        <w:t>年末区常住人口</w:t>
      </w:r>
      <w:r>
        <w:rPr>
          <w:rFonts w:ascii="仿宋_GB2312" w:eastAsia="仿宋_GB2312" w:hAnsi="Calibri"/>
          <w:sz w:val="32"/>
          <w:szCs w:val="32"/>
        </w:rPr>
        <w:t>135.71</w:t>
      </w:r>
      <w:r>
        <w:rPr>
          <w:rFonts w:ascii="仿宋_GB2312" w:eastAsia="仿宋_GB2312" w:hAnsi="Calibri" w:hint="eastAsia"/>
          <w:sz w:val="32"/>
          <w:szCs w:val="32"/>
        </w:rPr>
        <w:t>万人，比上年末增加</w:t>
      </w:r>
      <w:r>
        <w:rPr>
          <w:rFonts w:ascii="仿宋_GB2312" w:eastAsia="仿宋_GB2312" w:hAnsi="Calibri"/>
          <w:sz w:val="32"/>
          <w:szCs w:val="32"/>
        </w:rPr>
        <w:t>1.76</w:t>
      </w:r>
      <w:r>
        <w:rPr>
          <w:rFonts w:ascii="仿宋_GB2312" w:eastAsia="仿宋_GB2312" w:hAnsi="Calibri" w:hint="eastAsia"/>
          <w:sz w:val="32"/>
          <w:szCs w:val="32"/>
        </w:rPr>
        <w:t>万人，增长1.3%。其中户籍人口</w:t>
      </w:r>
      <w:r>
        <w:rPr>
          <w:rFonts w:ascii="仿宋_GB2312" w:eastAsia="仿宋_GB2312" w:hAnsi="Calibri"/>
          <w:sz w:val="32"/>
          <w:szCs w:val="32"/>
        </w:rPr>
        <w:t>83.35</w:t>
      </w:r>
      <w:r>
        <w:rPr>
          <w:rFonts w:ascii="仿宋_GB2312" w:eastAsia="仿宋_GB2312" w:hAnsi="Calibri" w:hint="eastAsia"/>
          <w:sz w:val="32"/>
          <w:szCs w:val="32"/>
        </w:rPr>
        <w:t>万人，增长6.4%，占常住人口比重</w:t>
      </w:r>
      <w:r>
        <w:rPr>
          <w:rFonts w:ascii="仿宋_GB2312" w:eastAsia="仿宋_GB2312" w:hAnsi="Calibri"/>
          <w:sz w:val="32"/>
          <w:szCs w:val="32"/>
        </w:rPr>
        <w:t>61.4%</w:t>
      </w:r>
      <w:r>
        <w:rPr>
          <w:rFonts w:ascii="仿宋_GB2312" w:eastAsia="仿宋_GB2312" w:hAnsi="Calibri" w:hint="eastAsia"/>
          <w:sz w:val="32"/>
          <w:szCs w:val="32"/>
        </w:rPr>
        <w:t>；非户籍人口</w:t>
      </w:r>
      <w:r>
        <w:rPr>
          <w:rFonts w:ascii="仿宋_GB2312" w:eastAsia="仿宋_GB2312" w:hAnsi="Calibri"/>
          <w:sz w:val="32"/>
          <w:szCs w:val="32"/>
        </w:rPr>
        <w:t>52.36</w:t>
      </w:r>
      <w:r>
        <w:rPr>
          <w:rFonts w:ascii="仿宋_GB2312" w:eastAsia="仿宋_GB2312" w:hAnsi="Calibri" w:hint="eastAsia"/>
          <w:sz w:val="32"/>
          <w:szCs w:val="32"/>
        </w:rPr>
        <w:t>万人，下降5.9</w:t>
      </w:r>
      <w:r>
        <w:rPr>
          <w:rFonts w:ascii="仿宋_GB2312" w:eastAsia="仿宋_GB2312" w:hAnsi="Calibri"/>
          <w:sz w:val="32"/>
          <w:szCs w:val="32"/>
        </w:rPr>
        <w:t>%</w:t>
      </w:r>
      <w:r>
        <w:rPr>
          <w:rFonts w:ascii="仿宋_GB2312" w:eastAsia="仿宋_GB2312" w:hAnsi="Calibri" w:hint="eastAsia"/>
          <w:sz w:val="32"/>
          <w:szCs w:val="32"/>
        </w:rPr>
        <w:t>，占常住</w:t>
      </w:r>
      <w:r>
        <w:rPr>
          <w:rFonts w:ascii="仿宋_GB2312" w:eastAsia="仿宋_GB2312" w:hAnsi="Calibri"/>
          <w:sz w:val="32"/>
          <w:szCs w:val="32"/>
        </w:rPr>
        <w:t>人口比重</w:t>
      </w:r>
      <w:r>
        <w:rPr>
          <w:rFonts w:ascii="仿宋_GB2312" w:eastAsia="仿宋_GB2312" w:hAnsi="Calibri" w:hint="eastAsia"/>
          <w:sz w:val="32"/>
          <w:szCs w:val="32"/>
        </w:rPr>
        <w:t>38.6</w:t>
      </w:r>
      <w:r>
        <w:rPr>
          <w:rFonts w:ascii="仿宋_GB2312" w:eastAsia="仿宋_GB2312" w:hAnsi="Calibri"/>
          <w:sz w:val="32"/>
          <w:szCs w:val="32"/>
        </w:rPr>
        <w:t>%</w:t>
      </w:r>
      <w:r>
        <w:rPr>
          <w:rFonts w:ascii="仿宋_GB2312" w:eastAsia="仿宋_GB2312" w:hAnsi="Calibri" w:hint="eastAsia"/>
          <w:sz w:val="32"/>
          <w:szCs w:val="32"/>
        </w:rPr>
        <w:t>。全区常住人口密度为</w:t>
      </w:r>
      <w:r w:rsidR="00097696">
        <w:rPr>
          <w:rFonts w:ascii="仿宋_GB2312" w:eastAsia="仿宋_GB2312" w:hAnsi="Calibri"/>
          <w:sz w:val="32"/>
          <w:szCs w:val="32"/>
        </w:rPr>
        <w:t>17141</w:t>
      </w:r>
      <w:r>
        <w:rPr>
          <w:rFonts w:ascii="仿宋_GB2312" w:eastAsia="仿宋_GB2312" w:hAnsi="Calibri" w:hint="eastAsia"/>
          <w:sz w:val="32"/>
          <w:szCs w:val="32"/>
        </w:rPr>
        <w:t>人/平方公里，每平方公里增加</w:t>
      </w:r>
      <w:r w:rsidR="00097696">
        <w:rPr>
          <w:rFonts w:ascii="仿宋_GB2312" w:eastAsia="仿宋_GB2312" w:hAnsi="Calibri"/>
          <w:sz w:val="32"/>
          <w:szCs w:val="32"/>
        </w:rPr>
        <w:t>169</w:t>
      </w:r>
      <w:r>
        <w:rPr>
          <w:rFonts w:ascii="仿宋_GB2312" w:eastAsia="仿宋_GB2312" w:hAnsi="Calibri" w:hint="eastAsia"/>
          <w:sz w:val="32"/>
          <w:szCs w:val="32"/>
        </w:rPr>
        <w:t>人。</w:t>
      </w:r>
    </w:p>
    <w:p w:rsidR="00D70C7A" w:rsidRDefault="001A57BF" w:rsidP="00FE051B">
      <w:pPr>
        <w:jc w:val="left"/>
        <w:rPr>
          <w:rFonts w:ascii="仿宋" w:eastAsia="仿宋" w:hAnsi="仿宋"/>
          <w:sz w:val="32"/>
          <w:szCs w:val="32"/>
        </w:rPr>
      </w:pPr>
      <w:r>
        <w:rPr>
          <w:rFonts w:ascii="仿宋" w:eastAsia="仿宋" w:hAnsi="仿宋"/>
          <w:noProof/>
          <w:sz w:val="32"/>
          <w:szCs w:val="32"/>
        </w:rPr>
        <w:lastRenderedPageBreak/>
        <w:drawing>
          <wp:inline distT="0" distB="0" distL="0" distR="0">
            <wp:extent cx="5743575" cy="3257550"/>
            <wp:effectExtent l="0" t="0" r="9525"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069A" w:rsidRPr="004F069A" w:rsidRDefault="004F069A" w:rsidP="004F069A">
      <w:pPr>
        <w:jc w:val="center"/>
        <w:rPr>
          <w:rFonts w:ascii="宋体" w:hAnsi="宋体"/>
          <w:sz w:val="28"/>
          <w:szCs w:val="28"/>
        </w:rPr>
      </w:pPr>
      <w:r w:rsidRPr="004F069A">
        <w:rPr>
          <w:rFonts w:ascii="宋体" w:hAnsi="宋体" w:hint="eastAsia"/>
          <w:sz w:val="28"/>
          <w:szCs w:val="28"/>
        </w:rPr>
        <w:t>图1</w:t>
      </w:r>
      <w:r w:rsidR="00DB6BC6">
        <w:rPr>
          <w:rFonts w:ascii="宋体" w:hAnsi="宋体"/>
          <w:sz w:val="28"/>
          <w:szCs w:val="28"/>
        </w:rPr>
        <w:t>5</w:t>
      </w:r>
      <w:r w:rsidRPr="004F069A">
        <w:rPr>
          <w:rFonts w:ascii="宋体" w:hAnsi="宋体" w:hint="eastAsia"/>
          <w:sz w:val="28"/>
          <w:szCs w:val="28"/>
        </w:rPr>
        <w:t xml:space="preserve">  2010-2014年常住人口构成图</w:t>
      </w:r>
    </w:p>
    <w:p w:rsidR="00D70C7A" w:rsidRDefault="00D70C7A" w:rsidP="00D70C7A">
      <w:pPr>
        <w:ind w:firstLineChars="200" w:firstLine="640"/>
        <w:rPr>
          <w:rFonts w:ascii="仿宋_GB2312" w:eastAsia="仿宋_GB2312" w:hAnsi="Calibri"/>
          <w:sz w:val="32"/>
          <w:szCs w:val="32"/>
        </w:rPr>
      </w:pPr>
      <w:r>
        <w:rPr>
          <w:rFonts w:ascii="仿宋_GB2312" w:eastAsia="仿宋_GB2312" w:hAnsi="Calibri" w:hint="eastAsia"/>
          <w:sz w:val="32"/>
          <w:szCs w:val="32"/>
        </w:rPr>
        <w:t>辖区土地面积78.66平方公里，建成区面积57.00平方公里，建设用地面积56.60平方公里。</w:t>
      </w:r>
    </w:p>
    <w:p w:rsidR="000076DC" w:rsidRPr="0066142E" w:rsidRDefault="00D70C7A" w:rsidP="0066142E">
      <w:pPr>
        <w:ind w:firstLineChars="200" w:firstLine="640"/>
        <w:rPr>
          <w:rFonts w:ascii="仿宋_GB2312" w:eastAsia="仿宋_GB2312" w:hAnsi="Calibri"/>
          <w:sz w:val="32"/>
          <w:szCs w:val="32"/>
        </w:rPr>
      </w:pPr>
      <w:r w:rsidRPr="0066142E">
        <w:rPr>
          <w:rFonts w:ascii="仿宋_GB2312" w:eastAsia="仿宋_GB2312" w:hAnsi="Calibri" w:hint="eastAsia"/>
          <w:sz w:val="32"/>
          <w:szCs w:val="32"/>
        </w:rPr>
        <w:t>全年供电总量</w:t>
      </w:r>
      <w:r w:rsidR="00231673" w:rsidRPr="0066142E">
        <w:rPr>
          <w:rFonts w:ascii="仿宋_GB2312" w:eastAsia="仿宋_GB2312" w:hAnsi="Calibri"/>
          <w:sz w:val="32"/>
          <w:szCs w:val="32"/>
        </w:rPr>
        <w:t>68.76</w:t>
      </w:r>
      <w:r w:rsidRPr="0066142E">
        <w:rPr>
          <w:rFonts w:ascii="仿宋_GB2312" w:eastAsia="仿宋_GB2312" w:hAnsi="Calibri" w:hint="eastAsia"/>
          <w:sz w:val="32"/>
          <w:szCs w:val="32"/>
        </w:rPr>
        <w:t>亿千瓦时，</w:t>
      </w:r>
      <w:r w:rsidR="00231673" w:rsidRPr="0066142E">
        <w:rPr>
          <w:rFonts w:ascii="仿宋_GB2312" w:eastAsia="仿宋_GB2312" w:hAnsi="Calibri" w:hint="eastAsia"/>
          <w:sz w:val="32"/>
          <w:szCs w:val="32"/>
        </w:rPr>
        <w:t>增长6.6</w:t>
      </w:r>
      <w:r w:rsidR="00231673" w:rsidRPr="0066142E">
        <w:rPr>
          <w:rFonts w:ascii="仿宋_GB2312" w:eastAsia="仿宋_GB2312" w:hAnsi="Calibri"/>
          <w:sz w:val="32"/>
          <w:szCs w:val="32"/>
        </w:rPr>
        <w:t>%</w:t>
      </w:r>
      <w:r w:rsidRPr="0066142E">
        <w:rPr>
          <w:rFonts w:ascii="仿宋_GB2312" w:eastAsia="仿宋_GB2312" w:hAnsi="Calibri" w:hint="eastAsia"/>
          <w:sz w:val="32"/>
          <w:szCs w:val="32"/>
        </w:rPr>
        <w:t>。其中工业用电量</w:t>
      </w:r>
      <w:r w:rsidR="00880C76" w:rsidRPr="0066142E">
        <w:rPr>
          <w:rFonts w:ascii="仿宋_GB2312" w:eastAsia="仿宋_GB2312" w:hAnsi="Calibri"/>
          <w:sz w:val="32"/>
          <w:szCs w:val="32"/>
        </w:rPr>
        <w:t>9.90</w:t>
      </w:r>
      <w:r w:rsidRPr="0066142E">
        <w:rPr>
          <w:rFonts w:ascii="仿宋_GB2312" w:eastAsia="仿宋_GB2312" w:hAnsi="Calibri" w:hint="eastAsia"/>
          <w:sz w:val="32"/>
          <w:szCs w:val="32"/>
        </w:rPr>
        <w:t>亿千瓦时，</w:t>
      </w:r>
      <w:r w:rsidR="00880C76" w:rsidRPr="0066142E">
        <w:rPr>
          <w:rFonts w:ascii="仿宋_GB2312" w:eastAsia="仿宋_GB2312" w:hAnsi="Calibri" w:hint="eastAsia"/>
          <w:sz w:val="32"/>
          <w:szCs w:val="32"/>
        </w:rPr>
        <w:t>与</w:t>
      </w:r>
      <w:r w:rsidR="00880C76" w:rsidRPr="0066142E">
        <w:rPr>
          <w:rFonts w:ascii="仿宋_GB2312" w:eastAsia="仿宋_GB2312" w:hAnsi="Calibri"/>
          <w:sz w:val="32"/>
          <w:szCs w:val="32"/>
        </w:rPr>
        <w:t>去年基本持平</w:t>
      </w:r>
      <w:r w:rsidRPr="0066142E">
        <w:rPr>
          <w:rFonts w:ascii="仿宋_GB2312" w:eastAsia="仿宋_GB2312" w:hAnsi="Calibri" w:hint="eastAsia"/>
          <w:sz w:val="32"/>
          <w:szCs w:val="32"/>
        </w:rPr>
        <w:t>；商业服务及其他用电</w:t>
      </w:r>
      <w:r w:rsidR="00880C76" w:rsidRPr="0066142E">
        <w:rPr>
          <w:rFonts w:ascii="仿宋_GB2312" w:eastAsia="仿宋_GB2312" w:hAnsi="Calibri" w:hint="eastAsia"/>
          <w:sz w:val="32"/>
          <w:szCs w:val="32"/>
        </w:rPr>
        <w:t>36.30</w:t>
      </w:r>
      <w:r w:rsidRPr="0066142E">
        <w:rPr>
          <w:rFonts w:ascii="仿宋_GB2312" w:eastAsia="仿宋_GB2312" w:hAnsi="Calibri" w:hint="eastAsia"/>
          <w:sz w:val="32"/>
          <w:szCs w:val="32"/>
        </w:rPr>
        <w:t>亿千瓦时，</w:t>
      </w:r>
      <w:r w:rsidR="00880C76" w:rsidRPr="0066142E">
        <w:rPr>
          <w:rFonts w:ascii="仿宋_GB2312" w:eastAsia="仿宋_GB2312" w:hAnsi="Calibri" w:hint="eastAsia"/>
          <w:sz w:val="32"/>
          <w:szCs w:val="32"/>
        </w:rPr>
        <w:t>增长12.0</w:t>
      </w:r>
      <w:r w:rsidR="00880C76" w:rsidRPr="0066142E">
        <w:rPr>
          <w:rFonts w:ascii="仿宋_GB2312" w:eastAsia="仿宋_GB2312" w:hAnsi="Calibri"/>
          <w:sz w:val="32"/>
          <w:szCs w:val="32"/>
        </w:rPr>
        <w:t>%</w:t>
      </w:r>
      <w:r w:rsidRPr="0066142E">
        <w:rPr>
          <w:rFonts w:ascii="仿宋_GB2312" w:eastAsia="仿宋_GB2312" w:hAnsi="Calibri" w:hint="eastAsia"/>
          <w:sz w:val="32"/>
          <w:szCs w:val="32"/>
        </w:rPr>
        <w:t>；居民生活用电量</w:t>
      </w:r>
      <w:r w:rsidR="00880C76" w:rsidRPr="0066142E">
        <w:rPr>
          <w:rFonts w:ascii="仿宋_GB2312" w:eastAsia="仿宋_GB2312" w:hAnsi="Calibri" w:hint="eastAsia"/>
          <w:sz w:val="32"/>
          <w:szCs w:val="32"/>
        </w:rPr>
        <w:t>22.56</w:t>
      </w:r>
      <w:r w:rsidRPr="0066142E">
        <w:rPr>
          <w:rFonts w:ascii="仿宋_GB2312" w:eastAsia="仿宋_GB2312" w:hAnsi="Calibri" w:hint="eastAsia"/>
          <w:sz w:val="32"/>
          <w:szCs w:val="32"/>
        </w:rPr>
        <w:t>亿千瓦时，增长</w:t>
      </w:r>
      <w:r w:rsidR="00880C76" w:rsidRPr="0066142E">
        <w:rPr>
          <w:rFonts w:ascii="仿宋_GB2312" w:eastAsia="仿宋_GB2312" w:hAnsi="Calibri" w:hint="eastAsia"/>
          <w:sz w:val="32"/>
          <w:szCs w:val="32"/>
        </w:rPr>
        <w:t>16.1</w:t>
      </w:r>
      <w:r w:rsidRPr="0066142E">
        <w:rPr>
          <w:rFonts w:ascii="仿宋_GB2312" w:eastAsia="仿宋_GB2312" w:hAnsi="Calibri" w:hint="eastAsia"/>
          <w:sz w:val="32"/>
          <w:szCs w:val="32"/>
        </w:rPr>
        <w:t>%。用水总量</w:t>
      </w:r>
      <w:r w:rsidR="00F41D78" w:rsidRPr="0066142E">
        <w:rPr>
          <w:rFonts w:ascii="仿宋_GB2312" w:eastAsia="仿宋_GB2312" w:hAnsi="Calibri"/>
          <w:sz w:val="32"/>
          <w:szCs w:val="32"/>
        </w:rPr>
        <w:t>17489</w:t>
      </w:r>
      <w:r w:rsidRPr="0066142E">
        <w:rPr>
          <w:rFonts w:ascii="仿宋_GB2312" w:eastAsia="仿宋_GB2312" w:hAnsi="Calibri" w:hint="eastAsia"/>
          <w:sz w:val="32"/>
          <w:szCs w:val="32"/>
        </w:rPr>
        <w:t>万</w:t>
      </w:r>
      <w:r w:rsidR="0075149D" w:rsidRPr="0066142E">
        <w:rPr>
          <w:rFonts w:ascii="仿宋_GB2312" w:eastAsia="仿宋_GB2312" w:hAnsi="Calibri" w:hint="eastAsia"/>
          <w:sz w:val="32"/>
          <w:szCs w:val="32"/>
        </w:rPr>
        <w:t>吨</w:t>
      </w:r>
      <w:r w:rsidRPr="0066142E">
        <w:rPr>
          <w:rFonts w:ascii="仿宋_GB2312" w:eastAsia="仿宋_GB2312" w:hAnsi="Calibri" w:hint="eastAsia"/>
          <w:sz w:val="32"/>
          <w:szCs w:val="32"/>
        </w:rPr>
        <w:t>，增长</w:t>
      </w:r>
      <w:r w:rsidR="00E74DB2" w:rsidRPr="0066142E">
        <w:rPr>
          <w:rFonts w:ascii="仿宋_GB2312" w:eastAsia="仿宋_GB2312" w:hAnsi="Calibri"/>
          <w:sz w:val="32"/>
          <w:szCs w:val="32"/>
        </w:rPr>
        <w:t>5</w:t>
      </w:r>
      <w:r w:rsidR="00F41D78" w:rsidRPr="0066142E">
        <w:rPr>
          <w:rFonts w:ascii="仿宋_GB2312" w:eastAsia="仿宋_GB2312" w:hAnsi="Calibri"/>
          <w:sz w:val="32"/>
          <w:szCs w:val="32"/>
        </w:rPr>
        <w:t>.1</w:t>
      </w:r>
      <w:r w:rsidRPr="0066142E">
        <w:rPr>
          <w:rFonts w:ascii="仿宋_GB2312" w:eastAsia="仿宋_GB2312" w:hAnsi="Calibri"/>
          <w:sz w:val="32"/>
          <w:szCs w:val="32"/>
        </w:rPr>
        <w:t>%</w:t>
      </w:r>
      <w:r w:rsidRPr="0066142E">
        <w:rPr>
          <w:rFonts w:ascii="仿宋_GB2312" w:eastAsia="仿宋_GB2312" w:hAnsi="Calibri" w:hint="eastAsia"/>
          <w:sz w:val="32"/>
          <w:szCs w:val="32"/>
        </w:rPr>
        <w:t>。其中</w:t>
      </w:r>
      <w:r w:rsidR="00D56204" w:rsidRPr="0066142E">
        <w:rPr>
          <w:rFonts w:ascii="仿宋_GB2312" w:eastAsia="仿宋_GB2312" w:hAnsi="Calibri" w:hint="eastAsia"/>
          <w:sz w:val="32"/>
          <w:szCs w:val="32"/>
        </w:rPr>
        <w:t>居民</w:t>
      </w:r>
      <w:r w:rsidR="000076DC" w:rsidRPr="0066142E">
        <w:rPr>
          <w:rFonts w:ascii="仿宋_GB2312" w:eastAsia="仿宋_GB2312" w:hAnsi="Calibri"/>
          <w:sz w:val="32"/>
          <w:szCs w:val="32"/>
        </w:rPr>
        <w:t>生活用水8207</w:t>
      </w:r>
      <w:r w:rsidR="00D56204" w:rsidRPr="0066142E">
        <w:rPr>
          <w:rFonts w:ascii="仿宋_GB2312" w:eastAsia="仿宋_GB2312" w:hAnsi="Calibri"/>
          <w:sz w:val="32"/>
          <w:szCs w:val="32"/>
        </w:rPr>
        <w:t>万吨，</w:t>
      </w:r>
      <w:r w:rsidR="00D56204" w:rsidRPr="0066142E">
        <w:rPr>
          <w:rFonts w:ascii="仿宋_GB2312" w:eastAsia="仿宋_GB2312" w:hAnsi="Calibri" w:hint="eastAsia"/>
          <w:sz w:val="32"/>
          <w:szCs w:val="32"/>
        </w:rPr>
        <w:t>占用水</w:t>
      </w:r>
      <w:r w:rsidR="00D56204" w:rsidRPr="0066142E">
        <w:rPr>
          <w:rFonts w:ascii="仿宋_GB2312" w:eastAsia="仿宋_GB2312" w:hAnsi="Calibri"/>
          <w:sz w:val="32"/>
          <w:szCs w:val="32"/>
        </w:rPr>
        <w:t>总量的46.9</w:t>
      </w:r>
      <w:r w:rsidR="000076DC" w:rsidRPr="0066142E">
        <w:rPr>
          <w:rFonts w:ascii="仿宋_GB2312" w:eastAsia="仿宋_GB2312" w:hAnsi="Calibri"/>
          <w:sz w:val="32"/>
          <w:szCs w:val="32"/>
        </w:rPr>
        <w:t>%；</w:t>
      </w:r>
      <w:r w:rsidR="00D56204" w:rsidRPr="0066142E">
        <w:rPr>
          <w:rFonts w:ascii="仿宋_GB2312" w:eastAsia="仿宋_GB2312" w:hAnsi="Calibri" w:hint="eastAsia"/>
          <w:sz w:val="32"/>
          <w:szCs w:val="32"/>
        </w:rPr>
        <w:t>商业、建筑业、服务业用水</w:t>
      </w:r>
      <w:r w:rsidR="000076DC" w:rsidRPr="0066142E">
        <w:rPr>
          <w:rFonts w:ascii="仿宋_GB2312" w:eastAsia="仿宋_GB2312" w:hAnsi="Calibri" w:hint="eastAsia"/>
          <w:sz w:val="32"/>
          <w:szCs w:val="32"/>
        </w:rPr>
        <w:t>6</w:t>
      </w:r>
      <w:r w:rsidR="000076DC" w:rsidRPr="0066142E">
        <w:rPr>
          <w:rFonts w:ascii="仿宋_GB2312" w:eastAsia="仿宋_GB2312" w:hAnsi="Calibri"/>
          <w:sz w:val="32"/>
          <w:szCs w:val="32"/>
        </w:rPr>
        <w:t>227</w:t>
      </w:r>
      <w:r w:rsidR="00C377D1">
        <w:rPr>
          <w:rFonts w:ascii="仿宋_GB2312" w:eastAsia="仿宋_GB2312" w:hAnsi="Calibri" w:hint="eastAsia"/>
          <w:sz w:val="32"/>
          <w:szCs w:val="32"/>
        </w:rPr>
        <w:t>万吨</w:t>
      </w:r>
      <w:r w:rsidR="000076DC" w:rsidRPr="0066142E">
        <w:rPr>
          <w:rFonts w:ascii="仿宋_GB2312" w:eastAsia="仿宋_GB2312" w:hAnsi="Calibri"/>
          <w:sz w:val="32"/>
          <w:szCs w:val="32"/>
        </w:rPr>
        <w:t>，</w:t>
      </w:r>
      <w:r w:rsidR="004371A9" w:rsidRPr="0066142E">
        <w:rPr>
          <w:rFonts w:ascii="仿宋_GB2312" w:eastAsia="仿宋_GB2312" w:hAnsi="Calibri" w:hint="eastAsia"/>
          <w:sz w:val="32"/>
          <w:szCs w:val="32"/>
        </w:rPr>
        <w:t>占用水</w:t>
      </w:r>
      <w:r w:rsidR="004371A9" w:rsidRPr="0066142E">
        <w:rPr>
          <w:rFonts w:ascii="仿宋_GB2312" w:eastAsia="仿宋_GB2312" w:hAnsi="Calibri"/>
          <w:sz w:val="32"/>
          <w:szCs w:val="32"/>
        </w:rPr>
        <w:t>总量的</w:t>
      </w:r>
      <w:r w:rsidR="000076DC" w:rsidRPr="0066142E">
        <w:rPr>
          <w:rFonts w:ascii="仿宋_GB2312" w:eastAsia="仿宋_GB2312" w:hAnsi="Calibri"/>
          <w:sz w:val="32"/>
          <w:szCs w:val="32"/>
        </w:rPr>
        <w:t>35.6%；工业用水1064</w:t>
      </w:r>
      <w:r w:rsidR="00D266A4" w:rsidRPr="0066142E">
        <w:rPr>
          <w:rFonts w:ascii="仿宋_GB2312" w:eastAsia="仿宋_GB2312" w:hAnsi="Calibri"/>
          <w:sz w:val="32"/>
          <w:szCs w:val="32"/>
        </w:rPr>
        <w:t>万吨，</w:t>
      </w:r>
      <w:r w:rsidR="00D266A4" w:rsidRPr="0066142E">
        <w:rPr>
          <w:rFonts w:ascii="仿宋_GB2312" w:eastAsia="仿宋_GB2312" w:hAnsi="Calibri" w:hint="eastAsia"/>
          <w:sz w:val="32"/>
          <w:szCs w:val="32"/>
        </w:rPr>
        <w:t>占用水总量</w:t>
      </w:r>
      <w:r w:rsidR="000076DC" w:rsidRPr="0066142E">
        <w:rPr>
          <w:rFonts w:ascii="仿宋_GB2312" w:eastAsia="仿宋_GB2312" w:hAnsi="Calibri"/>
          <w:sz w:val="32"/>
          <w:szCs w:val="32"/>
        </w:rPr>
        <w:t>6.1%</w:t>
      </w:r>
      <w:r w:rsidR="00F41202" w:rsidRPr="0066142E">
        <w:rPr>
          <w:rFonts w:ascii="仿宋_GB2312" w:eastAsia="仿宋_GB2312" w:hAnsi="Calibri" w:hint="eastAsia"/>
          <w:sz w:val="32"/>
          <w:szCs w:val="32"/>
        </w:rPr>
        <w:t>；其他用水</w:t>
      </w:r>
      <w:r w:rsidR="00727BBC" w:rsidRPr="0066142E">
        <w:rPr>
          <w:rFonts w:ascii="仿宋_GB2312" w:eastAsia="仿宋_GB2312" w:hAnsi="Calibri" w:hint="eastAsia"/>
          <w:sz w:val="32"/>
          <w:szCs w:val="32"/>
        </w:rPr>
        <w:t>1991</w:t>
      </w:r>
      <w:r w:rsidR="00F41202" w:rsidRPr="0066142E">
        <w:rPr>
          <w:rFonts w:ascii="仿宋_GB2312" w:eastAsia="仿宋_GB2312" w:hAnsi="Calibri" w:hint="eastAsia"/>
          <w:sz w:val="32"/>
          <w:szCs w:val="32"/>
        </w:rPr>
        <w:t>万</w:t>
      </w:r>
      <w:r w:rsidR="00727BBC" w:rsidRPr="0066142E">
        <w:rPr>
          <w:rFonts w:ascii="仿宋_GB2312" w:eastAsia="仿宋_GB2312" w:hAnsi="Calibri" w:hint="eastAsia"/>
          <w:sz w:val="32"/>
          <w:szCs w:val="32"/>
        </w:rPr>
        <w:t>吨</w:t>
      </w:r>
      <w:r w:rsidR="00F41202" w:rsidRPr="0066142E">
        <w:rPr>
          <w:rFonts w:ascii="仿宋_GB2312" w:eastAsia="仿宋_GB2312" w:hAnsi="Calibri" w:hint="eastAsia"/>
          <w:sz w:val="32"/>
          <w:szCs w:val="32"/>
        </w:rPr>
        <w:t>，占用水总量的</w:t>
      </w:r>
      <w:r w:rsidR="00727BBC" w:rsidRPr="0066142E">
        <w:rPr>
          <w:rFonts w:ascii="仿宋_GB2312" w:eastAsia="仿宋_GB2312" w:hAnsi="Calibri" w:hint="eastAsia"/>
          <w:sz w:val="32"/>
          <w:szCs w:val="32"/>
        </w:rPr>
        <w:t>11.4</w:t>
      </w:r>
      <w:r w:rsidR="00727BBC" w:rsidRPr="0066142E">
        <w:rPr>
          <w:rFonts w:ascii="仿宋_GB2312" w:eastAsia="仿宋_GB2312" w:hAnsi="Calibri"/>
          <w:sz w:val="32"/>
          <w:szCs w:val="32"/>
        </w:rPr>
        <w:t>%</w:t>
      </w:r>
      <w:r w:rsidR="00F41202" w:rsidRPr="0066142E">
        <w:rPr>
          <w:rFonts w:ascii="仿宋_GB2312" w:eastAsia="仿宋_GB2312" w:hAnsi="Calibri" w:hint="eastAsia"/>
          <w:sz w:val="32"/>
          <w:szCs w:val="32"/>
        </w:rPr>
        <w:t>。</w:t>
      </w:r>
    </w:p>
    <w:p w:rsidR="0016711A" w:rsidRDefault="0016711A" w:rsidP="0016711A">
      <w:pPr>
        <w:ind w:firstLineChars="200" w:firstLine="640"/>
        <w:rPr>
          <w:rFonts w:ascii="仿宋_GB2312" w:eastAsia="仿宋_GB2312" w:hAnsi="Calibri"/>
          <w:sz w:val="32"/>
          <w:szCs w:val="32"/>
        </w:rPr>
      </w:pPr>
      <w:r>
        <w:rPr>
          <w:rFonts w:ascii="仿宋_GB2312" w:eastAsia="仿宋_GB2312" w:hAnsi="Calibri" w:hint="eastAsia"/>
          <w:sz w:val="32"/>
          <w:szCs w:val="32"/>
        </w:rPr>
        <w:t>全区建成区绿化</w:t>
      </w:r>
      <w:r>
        <w:rPr>
          <w:rFonts w:ascii="仿宋_GB2312" w:eastAsia="仿宋_GB2312" w:hAnsi="Calibri"/>
          <w:sz w:val="32"/>
          <w:szCs w:val="32"/>
        </w:rPr>
        <w:t>覆盖面积</w:t>
      </w:r>
      <w:r>
        <w:rPr>
          <w:rFonts w:ascii="仿宋_GB2312" w:eastAsia="仿宋_GB2312" w:hAnsi="Calibri" w:hint="eastAsia"/>
          <w:sz w:val="32"/>
          <w:szCs w:val="32"/>
        </w:rPr>
        <w:t>3624公顷</w:t>
      </w:r>
      <w:r>
        <w:rPr>
          <w:rFonts w:ascii="仿宋_GB2312" w:eastAsia="仿宋_GB2312" w:hAnsi="Calibri"/>
          <w:sz w:val="32"/>
          <w:szCs w:val="32"/>
        </w:rPr>
        <w:t>，</w:t>
      </w:r>
      <w:r>
        <w:rPr>
          <w:rFonts w:ascii="仿宋_GB2312" w:eastAsia="仿宋_GB2312" w:hAnsi="Calibri" w:hint="eastAsia"/>
          <w:sz w:val="32"/>
          <w:szCs w:val="32"/>
        </w:rPr>
        <w:t>绿化覆盖率46</w:t>
      </w:r>
      <w:r w:rsidR="001F5D1B">
        <w:rPr>
          <w:rFonts w:ascii="仿宋_GB2312" w:eastAsia="仿宋_GB2312" w:hAnsi="Calibri"/>
          <w:sz w:val="32"/>
          <w:szCs w:val="32"/>
        </w:rPr>
        <w:t>.0</w:t>
      </w:r>
      <w:r>
        <w:rPr>
          <w:rFonts w:ascii="仿宋_GB2312" w:eastAsia="仿宋_GB2312" w:hAnsi="Calibri" w:hint="eastAsia"/>
          <w:sz w:val="32"/>
          <w:szCs w:val="32"/>
        </w:rPr>
        <w:t>%，</w:t>
      </w:r>
      <w:r>
        <w:rPr>
          <w:rFonts w:ascii="仿宋_GB2312" w:eastAsia="仿宋_GB2312" w:hAnsi="Calibri"/>
          <w:sz w:val="32"/>
          <w:szCs w:val="32"/>
        </w:rPr>
        <w:t>人均公共绿地面积</w:t>
      </w:r>
      <w:r>
        <w:rPr>
          <w:rFonts w:ascii="仿宋_GB2312" w:eastAsia="仿宋_GB2312" w:hAnsi="Calibri" w:hint="eastAsia"/>
          <w:sz w:val="32"/>
          <w:szCs w:val="32"/>
        </w:rPr>
        <w:t>16平方米</w:t>
      </w:r>
      <w:r>
        <w:rPr>
          <w:rFonts w:ascii="仿宋_GB2312" w:eastAsia="仿宋_GB2312" w:hAnsi="Calibri"/>
          <w:sz w:val="32"/>
          <w:szCs w:val="32"/>
        </w:rPr>
        <w:t>。</w:t>
      </w:r>
      <w:r>
        <w:rPr>
          <w:rFonts w:ascii="仿宋_GB2312" w:eastAsia="仿宋_GB2312" w:hint="eastAsia"/>
          <w:kern w:val="0"/>
          <w:sz w:val="32"/>
          <w:szCs w:val="32"/>
        </w:rPr>
        <w:t>空气质量达到I级</w:t>
      </w:r>
      <w:r>
        <w:rPr>
          <w:rFonts w:ascii="仿宋_GB2312" w:eastAsia="仿宋_GB2312"/>
          <w:kern w:val="0"/>
          <w:sz w:val="32"/>
          <w:szCs w:val="32"/>
        </w:rPr>
        <w:t>和</w:t>
      </w:r>
      <w:r>
        <w:rPr>
          <w:rFonts w:ascii="仿宋_GB2312" w:eastAsia="仿宋_GB2312" w:hint="eastAsia"/>
          <w:kern w:val="0"/>
          <w:sz w:val="32"/>
          <w:szCs w:val="32"/>
        </w:rPr>
        <w:t>II级</w:t>
      </w:r>
      <w:r>
        <w:rPr>
          <w:rFonts w:ascii="仿宋_GB2312" w:eastAsia="仿宋_GB2312"/>
          <w:kern w:val="0"/>
          <w:sz w:val="32"/>
          <w:szCs w:val="32"/>
        </w:rPr>
        <w:t>天数</w:t>
      </w:r>
      <w:r>
        <w:rPr>
          <w:rFonts w:ascii="仿宋_GB2312" w:eastAsia="仿宋_GB2312" w:hint="eastAsia"/>
          <w:kern w:val="0"/>
          <w:sz w:val="32"/>
          <w:szCs w:val="32"/>
        </w:rPr>
        <w:t>340天。</w:t>
      </w:r>
      <w:r>
        <w:rPr>
          <w:rFonts w:ascii="仿宋_GB2312" w:eastAsia="仿宋_GB2312" w:hAnsi="Calibri" w:hint="eastAsia"/>
          <w:sz w:val="32"/>
          <w:szCs w:val="32"/>
        </w:rPr>
        <w:t>空气质量优良率93.4%。饮用</w:t>
      </w:r>
      <w:r>
        <w:rPr>
          <w:rFonts w:ascii="仿宋_GB2312" w:eastAsia="仿宋_GB2312" w:hAnsi="Calibri"/>
          <w:sz w:val="32"/>
          <w:szCs w:val="32"/>
        </w:rPr>
        <w:t>水源地水质达标率</w:t>
      </w:r>
      <w:r>
        <w:rPr>
          <w:rFonts w:ascii="仿宋_GB2312" w:eastAsia="仿宋_GB2312" w:hAnsi="Calibri" w:hint="eastAsia"/>
          <w:sz w:val="32"/>
          <w:szCs w:val="32"/>
        </w:rPr>
        <w:t>100%。区域环</w:t>
      </w:r>
      <w:r>
        <w:rPr>
          <w:rFonts w:ascii="仿宋_GB2312" w:eastAsia="仿宋_GB2312" w:hAnsi="Calibri" w:hint="eastAsia"/>
          <w:sz w:val="32"/>
          <w:szCs w:val="32"/>
        </w:rPr>
        <w:lastRenderedPageBreak/>
        <w:t>境噪声平均值为56.4分贝，可吸入颗粒物（PM2.5）年日均浓度为32微克/立方米。</w:t>
      </w:r>
    </w:p>
    <w:p w:rsidR="006817A6" w:rsidRDefault="006817A6" w:rsidP="0016711A">
      <w:pPr>
        <w:ind w:firstLineChars="200" w:firstLine="640"/>
        <w:rPr>
          <w:rFonts w:ascii="仿宋_GB2312" w:eastAsia="仿宋_GB2312" w:hAnsi="Calibri"/>
          <w:sz w:val="32"/>
          <w:szCs w:val="32"/>
        </w:rPr>
      </w:pPr>
    </w:p>
    <w:p w:rsidR="00D70C7A" w:rsidRPr="0059191C" w:rsidRDefault="00D70C7A" w:rsidP="00375075">
      <w:pPr>
        <w:ind w:firstLineChars="200" w:firstLine="560"/>
        <w:rPr>
          <w:rFonts w:ascii="仿宋_GB2312" w:eastAsia="仿宋_GB2312"/>
          <w:sz w:val="28"/>
          <w:szCs w:val="28"/>
        </w:rPr>
      </w:pPr>
      <w:r w:rsidRPr="0059191C">
        <w:rPr>
          <w:rFonts w:ascii="仿宋_GB2312" w:eastAsia="仿宋_GB2312" w:hint="eastAsia"/>
          <w:sz w:val="28"/>
          <w:szCs w:val="28"/>
        </w:rPr>
        <w:t>注：1、本公报所列数据为初步统计数。若有变动，以最新公布的为准。</w:t>
      </w:r>
      <w:r w:rsidR="005F4FEB" w:rsidRPr="0059191C">
        <w:rPr>
          <w:rFonts w:ascii="仿宋_GB2312" w:eastAsia="仿宋_GB2312" w:hint="eastAsia"/>
          <w:sz w:val="28"/>
          <w:szCs w:val="28"/>
        </w:rPr>
        <w:t>统计图中2010-2013年数据为年报数</w:t>
      </w:r>
      <w:r w:rsidR="00776752">
        <w:rPr>
          <w:rFonts w:ascii="仿宋_GB2312" w:eastAsia="仿宋_GB2312" w:hint="eastAsia"/>
          <w:sz w:val="28"/>
          <w:szCs w:val="28"/>
        </w:rPr>
        <w:t>。</w:t>
      </w:r>
    </w:p>
    <w:p w:rsidR="00D70C7A" w:rsidRPr="0059191C" w:rsidRDefault="00D70C7A" w:rsidP="00375075">
      <w:pPr>
        <w:ind w:firstLineChars="200" w:firstLine="560"/>
        <w:rPr>
          <w:rFonts w:ascii="仿宋_GB2312" w:eastAsia="仿宋_GB2312"/>
          <w:sz w:val="28"/>
          <w:szCs w:val="28"/>
        </w:rPr>
      </w:pPr>
      <w:r w:rsidRPr="0059191C">
        <w:rPr>
          <w:rFonts w:ascii="仿宋_GB2312" w:eastAsia="仿宋_GB2312" w:hint="eastAsia"/>
          <w:sz w:val="28"/>
          <w:szCs w:val="28"/>
        </w:rPr>
        <w:t>2、地区生产总值及各行业增加值绝对数按现价计算，增长速度</w:t>
      </w:r>
      <w:r w:rsidR="007B73FE">
        <w:rPr>
          <w:rFonts w:ascii="仿宋_GB2312" w:eastAsia="仿宋_GB2312" w:hint="eastAsia"/>
          <w:sz w:val="28"/>
          <w:szCs w:val="28"/>
        </w:rPr>
        <w:t>相对数</w:t>
      </w:r>
      <w:r w:rsidRPr="0059191C">
        <w:rPr>
          <w:rFonts w:ascii="仿宋_GB2312" w:eastAsia="仿宋_GB2312" w:hint="eastAsia"/>
          <w:sz w:val="28"/>
          <w:szCs w:val="28"/>
        </w:rPr>
        <w:t>按可比价计算。</w:t>
      </w:r>
    </w:p>
    <w:p w:rsidR="00D70C7A" w:rsidRPr="0059191C" w:rsidRDefault="00D70C7A" w:rsidP="00375075">
      <w:pPr>
        <w:ind w:firstLineChars="200" w:firstLine="560"/>
        <w:rPr>
          <w:rFonts w:ascii="仿宋_GB2312" w:eastAsia="仿宋_GB2312"/>
          <w:sz w:val="28"/>
          <w:szCs w:val="28"/>
        </w:rPr>
      </w:pPr>
      <w:r w:rsidRPr="0059191C">
        <w:rPr>
          <w:rFonts w:ascii="仿宋_GB2312" w:eastAsia="仿宋_GB2312" w:hint="eastAsia"/>
          <w:sz w:val="28"/>
          <w:szCs w:val="28"/>
        </w:rPr>
        <w:t>3、高新技术产品产值和增加</w:t>
      </w:r>
      <w:proofErr w:type="gramStart"/>
      <w:r w:rsidRPr="0059191C">
        <w:rPr>
          <w:rFonts w:ascii="仿宋_GB2312" w:eastAsia="仿宋_GB2312" w:hint="eastAsia"/>
          <w:sz w:val="28"/>
          <w:szCs w:val="28"/>
        </w:rPr>
        <w:t>值按照</w:t>
      </w:r>
      <w:proofErr w:type="gramEnd"/>
      <w:r w:rsidRPr="0059191C">
        <w:rPr>
          <w:rFonts w:ascii="仿宋_GB2312" w:eastAsia="仿宋_GB2312" w:hint="eastAsia"/>
          <w:sz w:val="28"/>
          <w:szCs w:val="28"/>
        </w:rPr>
        <w:t>企业经营地原则统计。</w:t>
      </w:r>
    </w:p>
    <w:p w:rsidR="00D70C7A" w:rsidRPr="0059191C" w:rsidRDefault="00D70C7A" w:rsidP="00375075">
      <w:pPr>
        <w:ind w:firstLineChars="200" w:firstLine="560"/>
        <w:rPr>
          <w:rFonts w:ascii="仿宋_GB2312" w:eastAsia="仿宋_GB2312"/>
          <w:sz w:val="28"/>
          <w:szCs w:val="28"/>
        </w:rPr>
      </w:pPr>
      <w:r w:rsidRPr="0059191C">
        <w:rPr>
          <w:rFonts w:ascii="仿宋_GB2312" w:eastAsia="仿宋_GB2312" w:hint="eastAsia"/>
          <w:sz w:val="28"/>
          <w:szCs w:val="28"/>
        </w:rPr>
        <w:t>4、公共图书馆藏</w:t>
      </w:r>
      <w:proofErr w:type="gramStart"/>
      <w:r w:rsidRPr="0059191C">
        <w:rPr>
          <w:rFonts w:ascii="仿宋_GB2312" w:eastAsia="仿宋_GB2312" w:hint="eastAsia"/>
          <w:sz w:val="28"/>
          <w:szCs w:val="28"/>
        </w:rPr>
        <w:t>书量指深圳市</w:t>
      </w:r>
      <w:proofErr w:type="gramEnd"/>
      <w:r w:rsidRPr="0059191C">
        <w:rPr>
          <w:rFonts w:ascii="仿宋_GB2312" w:eastAsia="仿宋_GB2312" w:hint="eastAsia"/>
          <w:sz w:val="28"/>
          <w:szCs w:val="28"/>
        </w:rPr>
        <w:t>图书馆、深圳市少年儿童图书馆、福田区区属图书馆及社区图书室藏书量，不含电子图书。</w:t>
      </w:r>
    </w:p>
    <w:p w:rsidR="00D70C7A" w:rsidRPr="0059191C" w:rsidRDefault="00D70C7A" w:rsidP="00375075">
      <w:pPr>
        <w:ind w:firstLineChars="200" w:firstLine="560"/>
        <w:rPr>
          <w:rFonts w:ascii="仿宋_GB2312" w:eastAsia="仿宋_GB2312"/>
          <w:sz w:val="28"/>
          <w:szCs w:val="28"/>
        </w:rPr>
      </w:pPr>
      <w:r w:rsidRPr="0059191C">
        <w:rPr>
          <w:rFonts w:ascii="仿宋_GB2312" w:eastAsia="仿宋_GB2312" w:hint="eastAsia"/>
          <w:sz w:val="28"/>
          <w:szCs w:val="28"/>
        </w:rPr>
        <w:t>5、由于福田区未单独开展消费价格统计，相关数据</w:t>
      </w:r>
      <w:r w:rsidR="00F95529">
        <w:rPr>
          <w:rFonts w:ascii="仿宋_GB2312" w:eastAsia="仿宋_GB2312" w:hint="eastAsia"/>
          <w:sz w:val="28"/>
          <w:szCs w:val="28"/>
        </w:rPr>
        <w:t>来源于</w:t>
      </w:r>
      <w:r w:rsidRPr="0059191C">
        <w:rPr>
          <w:rFonts w:ascii="仿宋_GB2312" w:eastAsia="仿宋_GB2312" w:hint="eastAsia"/>
          <w:sz w:val="28"/>
          <w:szCs w:val="28"/>
        </w:rPr>
        <w:t>国家统计局深圳调查队统计公布结果。</w:t>
      </w:r>
    </w:p>
    <w:p w:rsidR="00D70C7A" w:rsidRPr="0059191C" w:rsidRDefault="00D70C7A" w:rsidP="00375075">
      <w:pPr>
        <w:ind w:firstLineChars="200" w:firstLine="560"/>
        <w:rPr>
          <w:rFonts w:ascii="仿宋_GB2312" w:eastAsia="仿宋_GB2312"/>
          <w:sz w:val="28"/>
          <w:szCs w:val="28"/>
        </w:rPr>
      </w:pPr>
      <w:r w:rsidRPr="0059191C">
        <w:rPr>
          <w:rFonts w:ascii="仿宋_GB2312" w:eastAsia="仿宋_GB2312" w:hint="eastAsia"/>
          <w:sz w:val="28"/>
          <w:szCs w:val="28"/>
        </w:rPr>
        <w:t>6、旅游业统计范围为纳入区经济促进局在</w:t>
      </w:r>
      <w:proofErr w:type="gramStart"/>
      <w:r w:rsidRPr="0059191C">
        <w:rPr>
          <w:rFonts w:ascii="仿宋_GB2312" w:eastAsia="仿宋_GB2312" w:hint="eastAsia"/>
          <w:sz w:val="28"/>
          <w:szCs w:val="28"/>
        </w:rPr>
        <w:t>统范围</w:t>
      </w:r>
      <w:proofErr w:type="gramEnd"/>
      <w:r w:rsidRPr="0059191C">
        <w:rPr>
          <w:rFonts w:ascii="仿宋_GB2312" w:eastAsia="仿宋_GB2312" w:hint="eastAsia"/>
          <w:sz w:val="28"/>
          <w:szCs w:val="28"/>
        </w:rPr>
        <w:t>的旅游业企业。</w:t>
      </w:r>
    </w:p>
    <w:p w:rsidR="00D70C7A" w:rsidRPr="0059191C" w:rsidRDefault="00D70C7A" w:rsidP="00375075">
      <w:pPr>
        <w:ind w:firstLineChars="200" w:firstLine="560"/>
        <w:rPr>
          <w:rFonts w:ascii="仿宋_GB2312" w:eastAsia="仿宋_GB2312"/>
          <w:sz w:val="28"/>
          <w:szCs w:val="28"/>
        </w:rPr>
      </w:pPr>
      <w:r w:rsidRPr="0059191C">
        <w:rPr>
          <w:rFonts w:ascii="仿宋_GB2312" w:eastAsia="仿宋_GB2312" w:hint="eastAsia"/>
          <w:sz w:val="28"/>
          <w:szCs w:val="28"/>
        </w:rPr>
        <w:t>7、空气质量优良率按AQI统计。</w:t>
      </w:r>
    </w:p>
    <w:p w:rsidR="0059191C" w:rsidRDefault="00E03A3A" w:rsidP="00375075">
      <w:pPr>
        <w:ind w:firstLineChars="200" w:firstLine="560"/>
        <w:rPr>
          <w:rFonts w:ascii="仿宋_GB2312" w:eastAsia="仿宋_GB2312"/>
          <w:sz w:val="28"/>
          <w:szCs w:val="28"/>
        </w:rPr>
      </w:pPr>
      <w:r w:rsidRPr="0059191C">
        <w:rPr>
          <w:rFonts w:ascii="仿宋_GB2312" w:eastAsia="仿宋_GB2312" w:hint="eastAsia"/>
          <w:sz w:val="28"/>
          <w:szCs w:val="28"/>
        </w:rPr>
        <w:t>8、</w:t>
      </w:r>
      <w:r w:rsidR="007E738E" w:rsidRPr="007E738E">
        <w:rPr>
          <w:rFonts w:ascii="仿宋_GB2312" w:eastAsia="仿宋_GB2312" w:hint="eastAsia"/>
          <w:sz w:val="28"/>
          <w:szCs w:val="28"/>
        </w:rPr>
        <w:t>根据国家统计局和广东省城乡一体化住户调查办公室</w:t>
      </w:r>
      <w:bookmarkStart w:id="1" w:name="_GoBack"/>
      <w:bookmarkEnd w:id="1"/>
      <w:r w:rsidR="007E738E" w:rsidRPr="007E738E">
        <w:rPr>
          <w:rFonts w:ascii="仿宋_GB2312" w:eastAsia="仿宋_GB2312" w:hint="eastAsia"/>
          <w:sz w:val="28"/>
          <w:szCs w:val="28"/>
        </w:rPr>
        <w:t>的部署，2014及以后年度，各级统计机构统一发布使用由一体化住户调查样本数据汇总的深圳及各区（新区）居民收支数据（新口径），2013年之前发布使用的深圳及各区（新区）城镇居民收支数据（老口径）不再使用</w:t>
      </w:r>
      <w:r w:rsidR="004F647F" w:rsidRPr="0059191C">
        <w:rPr>
          <w:rFonts w:ascii="仿宋_GB2312" w:eastAsia="仿宋_GB2312" w:hint="eastAsia"/>
          <w:sz w:val="28"/>
          <w:szCs w:val="28"/>
        </w:rPr>
        <w:t>。</w:t>
      </w:r>
      <w:r w:rsidR="005A7BAD" w:rsidRPr="005A7BAD">
        <w:rPr>
          <w:rFonts w:ascii="仿宋_GB2312" w:eastAsia="仿宋_GB2312" w:hint="eastAsia"/>
          <w:sz w:val="28"/>
          <w:szCs w:val="28"/>
        </w:rPr>
        <w:t>2014年度深圳及各区（新区）居民收支数据（新口径）由广东省城乡一体化住户调查办公室统一核算反馈。</w:t>
      </w:r>
    </w:p>
    <w:p w:rsidR="00776752" w:rsidRPr="0059191C" w:rsidRDefault="005B1348" w:rsidP="00776752">
      <w:pPr>
        <w:ind w:firstLineChars="200" w:firstLine="560"/>
        <w:rPr>
          <w:rFonts w:ascii="仿宋_GB2312" w:eastAsia="仿宋_GB2312"/>
          <w:sz w:val="28"/>
          <w:szCs w:val="28"/>
        </w:rPr>
      </w:pPr>
      <w:r>
        <w:rPr>
          <w:rFonts w:ascii="仿宋_GB2312" w:eastAsia="仿宋_GB2312" w:hint="eastAsia"/>
          <w:sz w:val="28"/>
          <w:szCs w:val="28"/>
        </w:rPr>
        <w:t>9、</w:t>
      </w:r>
      <w:r w:rsidR="00776752" w:rsidRPr="00776752">
        <w:rPr>
          <w:rFonts w:ascii="仿宋_GB2312" w:eastAsia="仿宋_GB2312" w:hint="eastAsia"/>
          <w:sz w:val="28"/>
          <w:szCs w:val="28"/>
        </w:rPr>
        <w:t>因部分户籍或居住地不在福田区的参保人在福田区就业、参保，且</w:t>
      </w:r>
      <w:r w:rsidR="00776752" w:rsidRPr="00776752">
        <w:rPr>
          <w:rFonts w:ascii="仿宋_GB2312" w:eastAsia="仿宋_GB2312"/>
          <w:sz w:val="28"/>
          <w:szCs w:val="28"/>
        </w:rPr>
        <w:t>部分原市属参</w:t>
      </w:r>
      <w:proofErr w:type="gramStart"/>
      <w:r w:rsidR="00776752" w:rsidRPr="00776752">
        <w:rPr>
          <w:rFonts w:ascii="仿宋_GB2312" w:eastAsia="仿宋_GB2312"/>
          <w:sz w:val="28"/>
          <w:szCs w:val="28"/>
        </w:rPr>
        <w:t>保单位参保人</w:t>
      </w:r>
      <w:proofErr w:type="gramEnd"/>
      <w:r w:rsidR="00776752" w:rsidRPr="00776752">
        <w:rPr>
          <w:rFonts w:ascii="仿宋_GB2312" w:eastAsia="仿宋_GB2312" w:hint="eastAsia"/>
          <w:sz w:val="28"/>
          <w:szCs w:val="28"/>
        </w:rPr>
        <w:t>在</w:t>
      </w:r>
      <w:r>
        <w:rPr>
          <w:rFonts w:ascii="仿宋_GB2312" w:eastAsia="仿宋_GB2312" w:hint="eastAsia"/>
          <w:sz w:val="28"/>
          <w:szCs w:val="28"/>
        </w:rPr>
        <w:t>福田</w:t>
      </w:r>
      <w:r w:rsidR="00776752" w:rsidRPr="00776752">
        <w:rPr>
          <w:rFonts w:ascii="仿宋_GB2312" w:eastAsia="仿宋_GB2312" w:hint="eastAsia"/>
          <w:sz w:val="28"/>
          <w:szCs w:val="28"/>
        </w:rPr>
        <w:t>分局参保，</w:t>
      </w:r>
      <w:proofErr w:type="gramStart"/>
      <w:r w:rsidR="00776752" w:rsidRPr="00776752">
        <w:rPr>
          <w:rFonts w:ascii="仿宋_GB2312" w:eastAsia="仿宋_GB2312"/>
          <w:sz w:val="28"/>
          <w:szCs w:val="28"/>
        </w:rPr>
        <w:t>故</w:t>
      </w:r>
      <w:r w:rsidR="00776752" w:rsidRPr="00776752">
        <w:rPr>
          <w:rFonts w:ascii="仿宋_GB2312" w:eastAsia="仿宋_GB2312" w:hint="eastAsia"/>
          <w:sz w:val="28"/>
          <w:szCs w:val="28"/>
        </w:rPr>
        <w:t>统计</w:t>
      </w:r>
      <w:proofErr w:type="gramEnd"/>
      <w:r w:rsidR="00776752" w:rsidRPr="00776752">
        <w:rPr>
          <w:rFonts w:ascii="仿宋_GB2312" w:eastAsia="仿宋_GB2312" w:hint="eastAsia"/>
          <w:sz w:val="28"/>
          <w:szCs w:val="28"/>
        </w:rPr>
        <w:t>的社会保险参保人数</w:t>
      </w:r>
      <w:r w:rsidR="00776752" w:rsidRPr="00776752">
        <w:rPr>
          <w:rFonts w:ascii="仿宋_GB2312" w:eastAsia="仿宋_GB2312"/>
          <w:sz w:val="28"/>
          <w:szCs w:val="28"/>
        </w:rPr>
        <w:lastRenderedPageBreak/>
        <w:t>高于本区实有人口数</w:t>
      </w:r>
      <w:r>
        <w:rPr>
          <w:rFonts w:ascii="仿宋_GB2312" w:eastAsia="仿宋_GB2312" w:hint="eastAsia"/>
          <w:sz w:val="28"/>
          <w:szCs w:val="28"/>
        </w:rPr>
        <w:t>。</w:t>
      </w:r>
    </w:p>
    <w:p w:rsidR="006C3869" w:rsidRPr="0059191C" w:rsidRDefault="006C3869" w:rsidP="00375075">
      <w:pPr>
        <w:ind w:firstLineChars="200" w:firstLine="560"/>
        <w:rPr>
          <w:rFonts w:ascii="仿宋_GB2312" w:eastAsia="仿宋_GB2312"/>
          <w:sz w:val="28"/>
          <w:szCs w:val="28"/>
        </w:rPr>
      </w:pPr>
      <w:r w:rsidRPr="0059191C">
        <w:rPr>
          <w:rFonts w:ascii="仿宋_GB2312" w:eastAsia="仿宋_GB2312" w:hint="eastAsia"/>
          <w:sz w:val="28"/>
          <w:szCs w:val="28"/>
        </w:rPr>
        <w:t>资料来源：</w:t>
      </w:r>
      <w:r w:rsidR="00375075">
        <w:rPr>
          <w:rFonts w:ascii="仿宋_GB2312" w:eastAsia="仿宋_GB2312" w:hint="eastAsia"/>
          <w:sz w:val="28"/>
          <w:szCs w:val="28"/>
        </w:rPr>
        <w:t>本</w:t>
      </w:r>
      <w:r w:rsidR="00375075">
        <w:rPr>
          <w:rFonts w:ascii="仿宋_GB2312" w:eastAsia="仿宋_GB2312"/>
          <w:sz w:val="28"/>
          <w:szCs w:val="28"/>
        </w:rPr>
        <w:t>公报</w:t>
      </w:r>
      <w:r w:rsidRPr="0059191C">
        <w:rPr>
          <w:rFonts w:ascii="仿宋_GB2312" w:eastAsia="仿宋_GB2312" w:hint="eastAsia"/>
          <w:sz w:val="28"/>
          <w:szCs w:val="28"/>
        </w:rPr>
        <w:t>财政</w:t>
      </w:r>
      <w:r w:rsidR="00375075">
        <w:rPr>
          <w:rFonts w:ascii="仿宋_GB2312" w:eastAsia="仿宋_GB2312" w:hint="eastAsia"/>
          <w:sz w:val="28"/>
          <w:szCs w:val="28"/>
        </w:rPr>
        <w:t>税收</w:t>
      </w:r>
      <w:r w:rsidRPr="0059191C">
        <w:rPr>
          <w:rFonts w:ascii="仿宋_GB2312" w:eastAsia="仿宋_GB2312" w:hint="eastAsia"/>
          <w:sz w:val="28"/>
          <w:szCs w:val="28"/>
        </w:rPr>
        <w:t>数据来自</w:t>
      </w:r>
      <w:r w:rsidR="0059191C" w:rsidRPr="0059191C">
        <w:rPr>
          <w:rFonts w:ascii="仿宋_GB2312" w:eastAsia="仿宋_GB2312" w:hint="eastAsia"/>
          <w:sz w:val="28"/>
          <w:szCs w:val="28"/>
        </w:rPr>
        <w:t>区财政局；</w:t>
      </w:r>
      <w:r w:rsidR="00375075">
        <w:rPr>
          <w:rFonts w:ascii="仿宋_GB2312" w:eastAsia="仿宋_GB2312" w:hint="eastAsia"/>
          <w:sz w:val="28"/>
          <w:szCs w:val="28"/>
        </w:rPr>
        <w:t>进出口</w:t>
      </w:r>
      <w:r w:rsidR="0059191C" w:rsidRPr="0059191C">
        <w:rPr>
          <w:rFonts w:ascii="仿宋_GB2312" w:eastAsia="仿宋_GB2312" w:hint="eastAsia"/>
          <w:sz w:val="28"/>
          <w:szCs w:val="28"/>
        </w:rPr>
        <w:t>、</w:t>
      </w:r>
      <w:r w:rsidR="00375075">
        <w:rPr>
          <w:rFonts w:ascii="仿宋_GB2312" w:eastAsia="仿宋_GB2312" w:hint="eastAsia"/>
          <w:sz w:val="28"/>
          <w:szCs w:val="28"/>
        </w:rPr>
        <w:t>利用</w:t>
      </w:r>
      <w:r w:rsidR="00375075">
        <w:rPr>
          <w:rFonts w:ascii="仿宋_GB2312" w:eastAsia="仿宋_GB2312"/>
          <w:sz w:val="28"/>
          <w:szCs w:val="28"/>
        </w:rPr>
        <w:t>外资</w:t>
      </w:r>
      <w:r w:rsidR="0059191C" w:rsidRPr="0059191C">
        <w:rPr>
          <w:rFonts w:ascii="仿宋_GB2312" w:eastAsia="仿宋_GB2312" w:hint="eastAsia"/>
          <w:sz w:val="28"/>
          <w:szCs w:val="28"/>
        </w:rPr>
        <w:t>及旅游业数据</w:t>
      </w:r>
      <w:r w:rsidRPr="0059191C">
        <w:rPr>
          <w:rFonts w:ascii="仿宋_GB2312" w:eastAsia="仿宋_GB2312" w:hint="eastAsia"/>
          <w:sz w:val="28"/>
          <w:szCs w:val="28"/>
        </w:rPr>
        <w:t>来自</w:t>
      </w:r>
      <w:r w:rsidR="0059191C" w:rsidRPr="0059191C">
        <w:rPr>
          <w:rFonts w:ascii="仿宋_GB2312" w:eastAsia="仿宋_GB2312" w:hint="eastAsia"/>
          <w:sz w:val="28"/>
          <w:szCs w:val="28"/>
        </w:rPr>
        <w:t>区经济促进局；</w:t>
      </w:r>
      <w:r w:rsidR="00141225">
        <w:rPr>
          <w:rFonts w:ascii="仿宋_GB2312" w:eastAsia="仿宋_GB2312" w:hint="eastAsia"/>
          <w:sz w:val="28"/>
          <w:szCs w:val="28"/>
        </w:rPr>
        <w:t>科</w:t>
      </w:r>
      <w:r w:rsidR="001B134A">
        <w:rPr>
          <w:rFonts w:ascii="仿宋_GB2312" w:eastAsia="仿宋_GB2312" w:hint="eastAsia"/>
          <w:sz w:val="28"/>
          <w:szCs w:val="28"/>
        </w:rPr>
        <w:t>学技术</w:t>
      </w:r>
      <w:r w:rsidR="00141225">
        <w:rPr>
          <w:rFonts w:ascii="仿宋_GB2312" w:eastAsia="仿宋_GB2312"/>
          <w:sz w:val="28"/>
          <w:szCs w:val="28"/>
        </w:rPr>
        <w:t>数据来自区科技</w:t>
      </w:r>
      <w:r w:rsidR="00141225">
        <w:rPr>
          <w:rFonts w:ascii="仿宋_GB2312" w:eastAsia="仿宋_GB2312" w:hint="eastAsia"/>
          <w:sz w:val="28"/>
          <w:szCs w:val="28"/>
        </w:rPr>
        <w:t>创新</w:t>
      </w:r>
      <w:r w:rsidR="00141225">
        <w:rPr>
          <w:rFonts w:ascii="仿宋_GB2312" w:eastAsia="仿宋_GB2312"/>
          <w:sz w:val="28"/>
          <w:szCs w:val="28"/>
        </w:rPr>
        <w:t>局</w:t>
      </w:r>
      <w:r w:rsidR="00141225">
        <w:rPr>
          <w:rFonts w:ascii="仿宋_GB2312" w:eastAsia="仿宋_GB2312" w:hint="eastAsia"/>
          <w:sz w:val="28"/>
          <w:szCs w:val="28"/>
        </w:rPr>
        <w:t>；</w:t>
      </w:r>
      <w:r w:rsidR="00375075">
        <w:rPr>
          <w:rFonts w:ascii="仿宋_GB2312" w:eastAsia="仿宋_GB2312" w:hint="eastAsia"/>
          <w:sz w:val="28"/>
          <w:szCs w:val="28"/>
        </w:rPr>
        <w:t>教育</w:t>
      </w:r>
      <w:r w:rsidR="00375075">
        <w:rPr>
          <w:rFonts w:ascii="仿宋_GB2312" w:eastAsia="仿宋_GB2312"/>
          <w:sz w:val="28"/>
          <w:szCs w:val="28"/>
        </w:rPr>
        <w:t>数据来自区教育局；</w:t>
      </w:r>
      <w:r w:rsidR="00375075">
        <w:rPr>
          <w:rFonts w:ascii="仿宋_GB2312" w:eastAsia="仿宋_GB2312" w:hint="eastAsia"/>
          <w:sz w:val="28"/>
          <w:szCs w:val="28"/>
        </w:rPr>
        <w:t>文化、</w:t>
      </w:r>
      <w:r w:rsidR="00375075">
        <w:rPr>
          <w:rFonts w:ascii="仿宋_GB2312" w:eastAsia="仿宋_GB2312"/>
          <w:sz w:val="28"/>
          <w:szCs w:val="28"/>
        </w:rPr>
        <w:t>体育数据来自区</w:t>
      </w:r>
      <w:r w:rsidR="00375075">
        <w:rPr>
          <w:rFonts w:ascii="仿宋_GB2312" w:eastAsia="仿宋_GB2312" w:hint="eastAsia"/>
          <w:sz w:val="28"/>
          <w:szCs w:val="28"/>
        </w:rPr>
        <w:t>文</w:t>
      </w:r>
      <w:r w:rsidR="00375075">
        <w:rPr>
          <w:rFonts w:ascii="仿宋_GB2312" w:eastAsia="仿宋_GB2312"/>
          <w:sz w:val="28"/>
          <w:szCs w:val="28"/>
        </w:rPr>
        <w:t>体局</w:t>
      </w:r>
      <w:r w:rsidRPr="0059191C">
        <w:rPr>
          <w:rFonts w:ascii="仿宋_GB2312" w:eastAsia="仿宋_GB2312" w:hint="eastAsia"/>
          <w:sz w:val="28"/>
          <w:szCs w:val="28"/>
        </w:rPr>
        <w:t>；卫生数据来自</w:t>
      </w:r>
      <w:r w:rsidR="00375075">
        <w:rPr>
          <w:rFonts w:ascii="仿宋_GB2312" w:eastAsia="仿宋_GB2312" w:hint="eastAsia"/>
          <w:sz w:val="28"/>
          <w:szCs w:val="28"/>
        </w:rPr>
        <w:t>区</w:t>
      </w:r>
      <w:r w:rsidR="00017673">
        <w:rPr>
          <w:rFonts w:ascii="仿宋_GB2312" w:eastAsia="仿宋_GB2312" w:hint="eastAsia"/>
          <w:sz w:val="28"/>
          <w:szCs w:val="28"/>
        </w:rPr>
        <w:t>卫生</w:t>
      </w:r>
      <w:r w:rsidR="00017673">
        <w:rPr>
          <w:rFonts w:ascii="仿宋_GB2312" w:eastAsia="仿宋_GB2312"/>
          <w:sz w:val="28"/>
          <w:szCs w:val="28"/>
        </w:rPr>
        <w:t>和计划生育</w:t>
      </w:r>
      <w:r w:rsidR="00375075">
        <w:rPr>
          <w:rFonts w:ascii="仿宋_GB2312" w:eastAsia="仿宋_GB2312"/>
          <w:sz w:val="28"/>
          <w:szCs w:val="28"/>
        </w:rPr>
        <w:t>局</w:t>
      </w:r>
      <w:r w:rsidRPr="0059191C">
        <w:rPr>
          <w:rFonts w:ascii="仿宋_GB2312" w:eastAsia="仿宋_GB2312" w:hint="eastAsia"/>
          <w:sz w:val="28"/>
          <w:szCs w:val="28"/>
        </w:rPr>
        <w:t>；环境监测数据来自</w:t>
      </w:r>
      <w:r w:rsidR="00375075">
        <w:rPr>
          <w:rFonts w:ascii="仿宋_GB2312" w:eastAsia="仿宋_GB2312" w:hint="eastAsia"/>
          <w:sz w:val="28"/>
          <w:szCs w:val="28"/>
        </w:rPr>
        <w:t>区环</w:t>
      </w:r>
      <w:r w:rsidR="00141225">
        <w:rPr>
          <w:rFonts w:ascii="仿宋_GB2312" w:eastAsia="仿宋_GB2312" w:hint="eastAsia"/>
          <w:sz w:val="28"/>
          <w:szCs w:val="28"/>
        </w:rPr>
        <w:t>保</w:t>
      </w:r>
      <w:r w:rsidR="00375075">
        <w:rPr>
          <w:rFonts w:ascii="仿宋_GB2312" w:eastAsia="仿宋_GB2312"/>
          <w:sz w:val="28"/>
          <w:szCs w:val="28"/>
        </w:rPr>
        <w:t>水</w:t>
      </w:r>
      <w:proofErr w:type="gramStart"/>
      <w:r w:rsidR="00375075">
        <w:rPr>
          <w:rFonts w:ascii="仿宋_GB2312" w:eastAsia="仿宋_GB2312"/>
          <w:sz w:val="28"/>
          <w:szCs w:val="28"/>
        </w:rPr>
        <w:t>务</w:t>
      </w:r>
      <w:proofErr w:type="gramEnd"/>
      <w:r w:rsidR="00375075">
        <w:rPr>
          <w:rFonts w:ascii="仿宋_GB2312" w:eastAsia="仿宋_GB2312"/>
          <w:sz w:val="28"/>
          <w:szCs w:val="28"/>
        </w:rPr>
        <w:t>局</w:t>
      </w:r>
      <w:r w:rsidRPr="0059191C">
        <w:rPr>
          <w:rFonts w:ascii="仿宋_GB2312" w:eastAsia="仿宋_GB2312" w:hint="eastAsia"/>
          <w:sz w:val="28"/>
          <w:szCs w:val="28"/>
        </w:rPr>
        <w:t>；安全生产数据来自</w:t>
      </w:r>
      <w:r w:rsidR="00375075">
        <w:rPr>
          <w:rFonts w:ascii="仿宋_GB2312" w:eastAsia="仿宋_GB2312" w:hint="eastAsia"/>
          <w:sz w:val="28"/>
          <w:szCs w:val="28"/>
        </w:rPr>
        <w:t>区安全</w:t>
      </w:r>
      <w:r w:rsidR="00141225">
        <w:rPr>
          <w:rFonts w:ascii="仿宋_GB2312" w:eastAsia="仿宋_GB2312" w:hint="eastAsia"/>
          <w:sz w:val="28"/>
          <w:szCs w:val="28"/>
        </w:rPr>
        <w:t>生产</w:t>
      </w:r>
      <w:r w:rsidR="00141225">
        <w:rPr>
          <w:rFonts w:ascii="仿宋_GB2312" w:eastAsia="仿宋_GB2312"/>
          <w:sz w:val="28"/>
          <w:szCs w:val="28"/>
        </w:rPr>
        <w:t>监督管理</w:t>
      </w:r>
      <w:r w:rsidR="00375075">
        <w:rPr>
          <w:rFonts w:ascii="仿宋_GB2312" w:eastAsia="仿宋_GB2312"/>
          <w:sz w:val="28"/>
          <w:szCs w:val="28"/>
        </w:rPr>
        <w:t>局</w:t>
      </w:r>
      <w:r w:rsidRPr="0059191C">
        <w:rPr>
          <w:rFonts w:ascii="仿宋_GB2312" w:eastAsia="仿宋_GB2312" w:hint="eastAsia"/>
          <w:sz w:val="28"/>
          <w:szCs w:val="28"/>
        </w:rPr>
        <w:t>；</w:t>
      </w:r>
      <w:r w:rsidR="00CF1D22">
        <w:rPr>
          <w:rFonts w:ascii="仿宋_GB2312" w:eastAsia="仿宋_GB2312" w:hint="eastAsia"/>
          <w:sz w:val="28"/>
          <w:szCs w:val="28"/>
        </w:rPr>
        <w:t>保险</w:t>
      </w:r>
      <w:r w:rsidR="006A5BD5">
        <w:rPr>
          <w:rFonts w:ascii="仿宋_GB2312" w:eastAsia="仿宋_GB2312"/>
          <w:sz w:val="28"/>
          <w:szCs w:val="28"/>
        </w:rPr>
        <w:t>数据来自</w:t>
      </w:r>
      <w:r w:rsidR="00776752" w:rsidRPr="00006A3B">
        <w:rPr>
          <w:rFonts w:ascii="仿宋_GB2312" w:eastAsia="仿宋_GB2312" w:hint="eastAsia"/>
          <w:sz w:val="28"/>
          <w:szCs w:val="28"/>
        </w:rPr>
        <w:t>深圳市社会保险基金管理局福田分局</w:t>
      </w:r>
      <w:r w:rsidR="00776752">
        <w:rPr>
          <w:rFonts w:ascii="仿宋_GB2312" w:eastAsia="仿宋_GB2312" w:hint="eastAsia"/>
          <w:sz w:val="28"/>
          <w:szCs w:val="28"/>
        </w:rPr>
        <w:t>；</w:t>
      </w:r>
      <w:r w:rsidR="00CF1D22">
        <w:rPr>
          <w:rFonts w:ascii="仿宋_GB2312" w:eastAsia="仿宋_GB2312" w:hint="eastAsia"/>
          <w:sz w:val="28"/>
          <w:szCs w:val="28"/>
        </w:rPr>
        <w:t>社会</w:t>
      </w:r>
      <w:r w:rsidR="00CF1D22">
        <w:rPr>
          <w:rFonts w:ascii="仿宋_GB2312" w:eastAsia="仿宋_GB2312"/>
          <w:sz w:val="28"/>
          <w:szCs w:val="28"/>
        </w:rPr>
        <w:t>保障数据来自区民政局；</w:t>
      </w:r>
      <w:r w:rsidR="00017673">
        <w:rPr>
          <w:rFonts w:ascii="仿宋_GB2312" w:eastAsia="仿宋_GB2312" w:hint="eastAsia"/>
          <w:sz w:val="28"/>
          <w:szCs w:val="28"/>
        </w:rPr>
        <w:t>社会</w:t>
      </w:r>
      <w:r w:rsidR="00017673">
        <w:rPr>
          <w:rFonts w:ascii="仿宋_GB2312" w:eastAsia="仿宋_GB2312"/>
          <w:sz w:val="28"/>
          <w:szCs w:val="28"/>
        </w:rPr>
        <w:t>治安来自区公安分局。</w:t>
      </w:r>
    </w:p>
    <w:p w:rsidR="006C3869" w:rsidRPr="0059191C" w:rsidRDefault="006C3869" w:rsidP="0059191C">
      <w:pPr>
        <w:rPr>
          <w:rFonts w:ascii="仿宋_GB2312" w:eastAsia="仿宋_GB2312"/>
          <w:sz w:val="28"/>
          <w:szCs w:val="28"/>
        </w:rPr>
      </w:pPr>
    </w:p>
    <w:sectPr w:rsidR="006C3869" w:rsidRPr="0059191C" w:rsidSect="00D6122B">
      <w:type w:val="continuous"/>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67" w:rsidRDefault="002C1E67">
      <w:r>
        <w:separator/>
      </w:r>
    </w:p>
  </w:endnote>
  <w:endnote w:type="continuationSeparator" w:id="0">
    <w:p w:rsidR="002C1E67" w:rsidRDefault="002C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BA" w:rsidRDefault="000A17BA" w:rsidP="00CB1C97">
    <w:pPr>
      <w:pStyle w:val="af1"/>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rsidR="000A17BA" w:rsidRDefault="000A17BA" w:rsidP="00CB1C97">
    <w:pPr>
      <w:pStyle w:val="af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BA" w:rsidRDefault="000A17BA" w:rsidP="00CB1C97">
    <w:pPr>
      <w:pStyle w:val="af1"/>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separate"/>
    </w:r>
    <w:r w:rsidR="001776EE">
      <w:rPr>
        <w:rStyle w:val="af9"/>
        <w:noProof/>
      </w:rPr>
      <w:t>20</w:t>
    </w:r>
    <w:r>
      <w:rPr>
        <w:rStyle w:val="af9"/>
      </w:rPr>
      <w:fldChar w:fldCharType="end"/>
    </w:r>
  </w:p>
  <w:p w:rsidR="000A17BA" w:rsidRDefault="000A17BA" w:rsidP="00CB1C97">
    <w:pPr>
      <w:pStyle w:val="af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67" w:rsidRDefault="002C1E67">
      <w:r>
        <w:separator/>
      </w:r>
    </w:p>
  </w:footnote>
  <w:footnote w:type="continuationSeparator" w:id="0">
    <w:p w:rsidR="002C1E67" w:rsidRDefault="002C1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7A"/>
    <w:rsid w:val="00001A47"/>
    <w:rsid w:val="00001A5C"/>
    <w:rsid w:val="000046FB"/>
    <w:rsid w:val="00005D6D"/>
    <w:rsid w:val="00006A3B"/>
    <w:rsid w:val="000076DC"/>
    <w:rsid w:val="000077BB"/>
    <w:rsid w:val="000155C8"/>
    <w:rsid w:val="00016846"/>
    <w:rsid w:val="00017673"/>
    <w:rsid w:val="00032039"/>
    <w:rsid w:val="00044293"/>
    <w:rsid w:val="00047F0C"/>
    <w:rsid w:val="00050A9D"/>
    <w:rsid w:val="00051FC0"/>
    <w:rsid w:val="00057B9D"/>
    <w:rsid w:val="00062865"/>
    <w:rsid w:val="00064EC0"/>
    <w:rsid w:val="0007522F"/>
    <w:rsid w:val="00082EEC"/>
    <w:rsid w:val="000867DA"/>
    <w:rsid w:val="00096BE1"/>
    <w:rsid w:val="00097696"/>
    <w:rsid w:val="000A0AB9"/>
    <w:rsid w:val="000A17BA"/>
    <w:rsid w:val="000A2A66"/>
    <w:rsid w:val="000A4B00"/>
    <w:rsid w:val="000A703B"/>
    <w:rsid w:val="000A7918"/>
    <w:rsid w:val="000B00EC"/>
    <w:rsid w:val="000B2394"/>
    <w:rsid w:val="000B4834"/>
    <w:rsid w:val="000C0616"/>
    <w:rsid w:val="000C256C"/>
    <w:rsid w:val="000C60F9"/>
    <w:rsid w:val="000C6AA8"/>
    <w:rsid w:val="000D5AC0"/>
    <w:rsid w:val="000E0E13"/>
    <w:rsid w:val="000E5BB4"/>
    <w:rsid w:val="000F0C97"/>
    <w:rsid w:val="000F7CCB"/>
    <w:rsid w:val="00102FAD"/>
    <w:rsid w:val="001160BE"/>
    <w:rsid w:val="0012151D"/>
    <w:rsid w:val="00130C7B"/>
    <w:rsid w:val="00134B3A"/>
    <w:rsid w:val="00140878"/>
    <w:rsid w:val="00141225"/>
    <w:rsid w:val="00143A35"/>
    <w:rsid w:val="001452D7"/>
    <w:rsid w:val="00147DF3"/>
    <w:rsid w:val="00152AE2"/>
    <w:rsid w:val="00152B76"/>
    <w:rsid w:val="00154373"/>
    <w:rsid w:val="00155979"/>
    <w:rsid w:val="00155CB1"/>
    <w:rsid w:val="001612F9"/>
    <w:rsid w:val="00161BD1"/>
    <w:rsid w:val="0016711A"/>
    <w:rsid w:val="00172635"/>
    <w:rsid w:val="001752E1"/>
    <w:rsid w:val="00175BD8"/>
    <w:rsid w:val="001776EE"/>
    <w:rsid w:val="00192F21"/>
    <w:rsid w:val="0019444F"/>
    <w:rsid w:val="00195DBE"/>
    <w:rsid w:val="00196ABE"/>
    <w:rsid w:val="001A57BF"/>
    <w:rsid w:val="001B134A"/>
    <w:rsid w:val="001C2B91"/>
    <w:rsid w:val="001C6BD9"/>
    <w:rsid w:val="001D49CD"/>
    <w:rsid w:val="001D4FA2"/>
    <w:rsid w:val="001E2C0C"/>
    <w:rsid w:val="001E4D5F"/>
    <w:rsid w:val="001F13B6"/>
    <w:rsid w:val="001F2AD4"/>
    <w:rsid w:val="001F5D1B"/>
    <w:rsid w:val="001F65F4"/>
    <w:rsid w:val="001F6D37"/>
    <w:rsid w:val="00204317"/>
    <w:rsid w:val="00206DC3"/>
    <w:rsid w:val="00207619"/>
    <w:rsid w:val="00216A4A"/>
    <w:rsid w:val="00226228"/>
    <w:rsid w:val="00231673"/>
    <w:rsid w:val="00231D7A"/>
    <w:rsid w:val="00235F5D"/>
    <w:rsid w:val="002425B1"/>
    <w:rsid w:val="002451AF"/>
    <w:rsid w:val="00247B45"/>
    <w:rsid w:val="00255940"/>
    <w:rsid w:val="00266B41"/>
    <w:rsid w:val="002742FE"/>
    <w:rsid w:val="00275136"/>
    <w:rsid w:val="0027680F"/>
    <w:rsid w:val="002774F8"/>
    <w:rsid w:val="00284362"/>
    <w:rsid w:val="00286AC6"/>
    <w:rsid w:val="00296A7F"/>
    <w:rsid w:val="00296DE3"/>
    <w:rsid w:val="002A231B"/>
    <w:rsid w:val="002A432D"/>
    <w:rsid w:val="002A5D61"/>
    <w:rsid w:val="002C1E67"/>
    <w:rsid w:val="002C2D98"/>
    <w:rsid w:val="002D23D6"/>
    <w:rsid w:val="002E6C0C"/>
    <w:rsid w:val="002E7F65"/>
    <w:rsid w:val="003039F4"/>
    <w:rsid w:val="00310BB6"/>
    <w:rsid w:val="0031714F"/>
    <w:rsid w:val="00325620"/>
    <w:rsid w:val="003275A3"/>
    <w:rsid w:val="003309D1"/>
    <w:rsid w:val="00335123"/>
    <w:rsid w:val="00347C1F"/>
    <w:rsid w:val="003516FA"/>
    <w:rsid w:val="00370BB9"/>
    <w:rsid w:val="0037424C"/>
    <w:rsid w:val="00374446"/>
    <w:rsid w:val="00375075"/>
    <w:rsid w:val="00381A49"/>
    <w:rsid w:val="00385159"/>
    <w:rsid w:val="00393D19"/>
    <w:rsid w:val="00395077"/>
    <w:rsid w:val="003B6C13"/>
    <w:rsid w:val="003C0C6E"/>
    <w:rsid w:val="003D10FD"/>
    <w:rsid w:val="003D66AB"/>
    <w:rsid w:val="003E086F"/>
    <w:rsid w:val="003E415E"/>
    <w:rsid w:val="003E46B0"/>
    <w:rsid w:val="003F277C"/>
    <w:rsid w:val="003F5E47"/>
    <w:rsid w:val="003F7A22"/>
    <w:rsid w:val="004004BA"/>
    <w:rsid w:val="00407CAD"/>
    <w:rsid w:val="00413115"/>
    <w:rsid w:val="0042059A"/>
    <w:rsid w:val="0042075F"/>
    <w:rsid w:val="00422633"/>
    <w:rsid w:val="00430616"/>
    <w:rsid w:val="00430719"/>
    <w:rsid w:val="00431A2D"/>
    <w:rsid w:val="00433541"/>
    <w:rsid w:val="004341D4"/>
    <w:rsid w:val="004371A9"/>
    <w:rsid w:val="00454121"/>
    <w:rsid w:val="00454275"/>
    <w:rsid w:val="00462DFA"/>
    <w:rsid w:val="00466BE4"/>
    <w:rsid w:val="004714A6"/>
    <w:rsid w:val="00471FF6"/>
    <w:rsid w:val="0048317F"/>
    <w:rsid w:val="00486786"/>
    <w:rsid w:val="0049063B"/>
    <w:rsid w:val="00492A0C"/>
    <w:rsid w:val="00493151"/>
    <w:rsid w:val="0049781A"/>
    <w:rsid w:val="004A596B"/>
    <w:rsid w:val="004A65ED"/>
    <w:rsid w:val="004B1EA8"/>
    <w:rsid w:val="004B3CBE"/>
    <w:rsid w:val="004B6270"/>
    <w:rsid w:val="004C259E"/>
    <w:rsid w:val="004C568A"/>
    <w:rsid w:val="004C6D5A"/>
    <w:rsid w:val="004D0E37"/>
    <w:rsid w:val="004D408B"/>
    <w:rsid w:val="004D62D9"/>
    <w:rsid w:val="004D6427"/>
    <w:rsid w:val="004E092E"/>
    <w:rsid w:val="004E1973"/>
    <w:rsid w:val="004E700A"/>
    <w:rsid w:val="004F069A"/>
    <w:rsid w:val="004F3311"/>
    <w:rsid w:val="004F647F"/>
    <w:rsid w:val="0050020F"/>
    <w:rsid w:val="005059BE"/>
    <w:rsid w:val="00513660"/>
    <w:rsid w:val="005422C1"/>
    <w:rsid w:val="00542C30"/>
    <w:rsid w:val="00542F63"/>
    <w:rsid w:val="005446F4"/>
    <w:rsid w:val="005510D9"/>
    <w:rsid w:val="00555514"/>
    <w:rsid w:val="005559A1"/>
    <w:rsid w:val="0056239C"/>
    <w:rsid w:val="00580538"/>
    <w:rsid w:val="00585828"/>
    <w:rsid w:val="0059036F"/>
    <w:rsid w:val="0059191C"/>
    <w:rsid w:val="005961EC"/>
    <w:rsid w:val="005A18E2"/>
    <w:rsid w:val="005A27B7"/>
    <w:rsid w:val="005A7547"/>
    <w:rsid w:val="005A7BAD"/>
    <w:rsid w:val="005B1348"/>
    <w:rsid w:val="005B178C"/>
    <w:rsid w:val="005D344D"/>
    <w:rsid w:val="005E0957"/>
    <w:rsid w:val="005E1FD1"/>
    <w:rsid w:val="005E35F9"/>
    <w:rsid w:val="005F2F59"/>
    <w:rsid w:val="005F4FEB"/>
    <w:rsid w:val="005F564A"/>
    <w:rsid w:val="00604629"/>
    <w:rsid w:val="00607BFE"/>
    <w:rsid w:val="006108D0"/>
    <w:rsid w:val="006144C3"/>
    <w:rsid w:val="00621D15"/>
    <w:rsid w:val="00626407"/>
    <w:rsid w:val="00626AB9"/>
    <w:rsid w:val="006322FE"/>
    <w:rsid w:val="00646218"/>
    <w:rsid w:val="006506CC"/>
    <w:rsid w:val="00650A2D"/>
    <w:rsid w:val="00654434"/>
    <w:rsid w:val="00654DD3"/>
    <w:rsid w:val="0065764D"/>
    <w:rsid w:val="0066142E"/>
    <w:rsid w:val="0066408F"/>
    <w:rsid w:val="00672526"/>
    <w:rsid w:val="006817A6"/>
    <w:rsid w:val="0068260F"/>
    <w:rsid w:val="006865DB"/>
    <w:rsid w:val="006A2B16"/>
    <w:rsid w:val="006A2D34"/>
    <w:rsid w:val="006A5B97"/>
    <w:rsid w:val="006A5BD5"/>
    <w:rsid w:val="006A7102"/>
    <w:rsid w:val="006A7804"/>
    <w:rsid w:val="006B36C4"/>
    <w:rsid w:val="006B5327"/>
    <w:rsid w:val="006B53C0"/>
    <w:rsid w:val="006C2E9E"/>
    <w:rsid w:val="006C3869"/>
    <w:rsid w:val="006C7F19"/>
    <w:rsid w:val="006D0D5C"/>
    <w:rsid w:val="006D44D3"/>
    <w:rsid w:val="006E2720"/>
    <w:rsid w:val="006E3D28"/>
    <w:rsid w:val="006E5879"/>
    <w:rsid w:val="006E5F0E"/>
    <w:rsid w:val="006F1649"/>
    <w:rsid w:val="006F2ADE"/>
    <w:rsid w:val="006F6F63"/>
    <w:rsid w:val="00700462"/>
    <w:rsid w:val="00702D6E"/>
    <w:rsid w:val="00703FC8"/>
    <w:rsid w:val="0072282F"/>
    <w:rsid w:val="0072481C"/>
    <w:rsid w:val="00726FF5"/>
    <w:rsid w:val="00727BBC"/>
    <w:rsid w:val="00730A15"/>
    <w:rsid w:val="00730DAC"/>
    <w:rsid w:val="00736589"/>
    <w:rsid w:val="00740510"/>
    <w:rsid w:val="0075149D"/>
    <w:rsid w:val="00767681"/>
    <w:rsid w:val="00770657"/>
    <w:rsid w:val="0077227A"/>
    <w:rsid w:val="00776752"/>
    <w:rsid w:val="00783783"/>
    <w:rsid w:val="00787088"/>
    <w:rsid w:val="007907A8"/>
    <w:rsid w:val="007957CF"/>
    <w:rsid w:val="007A047E"/>
    <w:rsid w:val="007A3B07"/>
    <w:rsid w:val="007A47FD"/>
    <w:rsid w:val="007B1F9A"/>
    <w:rsid w:val="007B2DE8"/>
    <w:rsid w:val="007B6519"/>
    <w:rsid w:val="007B73FE"/>
    <w:rsid w:val="007C0258"/>
    <w:rsid w:val="007D0130"/>
    <w:rsid w:val="007D3CF2"/>
    <w:rsid w:val="007D3CF3"/>
    <w:rsid w:val="007D6217"/>
    <w:rsid w:val="007E12A0"/>
    <w:rsid w:val="007E1B8B"/>
    <w:rsid w:val="007E738E"/>
    <w:rsid w:val="007F7C14"/>
    <w:rsid w:val="00802EA9"/>
    <w:rsid w:val="00803E01"/>
    <w:rsid w:val="00805E7A"/>
    <w:rsid w:val="00810C3D"/>
    <w:rsid w:val="00810EBF"/>
    <w:rsid w:val="008130E2"/>
    <w:rsid w:val="00821680"/>
    <w:rsid w:val="00831861"/>
    <w:rsid w:val="00835936"/>
    <w:rsid w:val="00837828"/>
    <w:rsid w:val="008444F7"/>
    <w:rsid w:val="00844DB9"/>
    <w:rsid w:val="008525F7"/>
    <w:rsid w:val="00854F5F"/>
    <w:rsid w:val="008567DF"/>
    <w:rsid w:val="00861702"/>
    <w:rsid w:val="008633D5"/>
    <w:rsid w:val="00872CF5"/>
    <w:rsid w:val="008752B8"/>
    <w:rsid w:val="00875F37"/>
    <w:rsid w:val="00880C76"/>
    <w:rsid w:val="00881B55"/>
    <w:rsid w:val="008820AA"/>
    <w:rsid w:val="00882313"/>
    <w:rsid w:val="00883E30"/>
    <w:rsid w:val="00890B82"/>
    <w:rsid w:val="008A0A8D"/>
    <w:rsid w:val="008A138C"/>
    <w:rsid w:val="008A6E24"/>
    <w:rsid w:val="008A71F0"/>
    <w:rsid w:val="008A760F"/>
    <w:rsid w:val="008B4073"/>
    <w:rsid w:val="008B4A10"/>
    <w:rsid w:val="008B660E"/>
    <w:rsid w:val="008B7962"/>
    <w:rsid w:val="008C1F4D"/>
    <w:rsid w:val="008C3CF5"/>
    <w:rsid w:val="008C7435"/>
    <w:rsid w:val="008D05AF"/>
    <w:rsid w:val="008D5E9A"/>
    <w:rsid w:val="008E4E32"/>
    <w:rsid w:val="008E6528"/>
    <w:rsid w:val="008F1640"/>
    <w:rsid w:val="008F21A8"/>
    <w:rsid w:val="0092747F"/>
    <w:rsid w:val="0093314E"/>
    <w:rsid w:val="00951172"/>
    <w:rsid w:val="009518A2"/>
    <w:rsid w:val="00952D60"/>
    <w:rsid w:val="00954F1A"/>
    <w:rsid w:val="00955671"/>
    <w:rsid w:val="00971C42"/>
    <w:rsid w:val="009873AC"/>
    <w:rsid w:val="0099132F"/>
    <w:rsid w:val="0099365D"/>
    <w:rsid w:val="00996FD2"/>
    <w:rsid w:val="009A2EE9"/>
    <w:rsid w:val="009B3066"/>
    <w:rsid w:val="009C5A17"/>
    <w:rsid w:val="009C78C0"/>
    <w:rsid w:val="009D50CC"/>
    <w:rsid w:val="009D5713"/>
    <w:rsid w:val="009D7D66"/>
    <w:rsid w:val="009E7B8D"/>
    <w:rsid w:val="009E7E84"/>
    <w:rsid w:val="009F3544"/>
    <w:rsid w:val="00A05427"/>
    <w:rsid w:val="00A06189"/>
    <w:rsid w:val="00A2370A"/>
    <w:rsid w:val="00A33177"/>
    <w:rsid w:val="00A346E9"/>
    <w:rsid w:val="00A34C22"/>
    <w:rsid w:val="00A43424"/>
    <w:rsid w:val="00A453BE"/>
    <w:rsid w:val="00A47087"/>
    <w:rsid w:val="00A47D88"/>
    <w:rsid w:val="00A67EBF"/>
    <w:rsid w:val="00A70F39"/>
    <w:rsid w:val="00A71D59"/>
    <w:rsid w:val="00A82645"/>
    <w:rsid w:val="00A83CCD"/>
    <w:rsid w:val="00A844A1"/>
    <w:rsid w:val="00A9029C"/>
    <w:rsid w:val="00A92EBA"/>
    <w:rsid w:val="00A9308E"/>
    <w:rsid w:val="00A9741A"/>
    <w:rsid w:val="00AA00AD"/>
    <w:rsid w:val="00AA1955"/>
    <w:rsid w:val="00AA2784"/>
    <w:rsid w:val="00AA608A"/>
    <w:rsid w:val="00AB13CF"/>
    <w:rsid w:val="00AB25CE"/>
    <w:rsid w:val="00AB66E3"/>
    <w:rsid w:val="00AB7077"/>
    <w:rsid w:val="00AD52E3"/>
    <w:rsid w:val="00AD746C"/>
    <w:rsid w:val="00AE14DF"/>
    <w:rsid w:val="00AE3834"/>
    <w:rsid w:val="00AE4935"/>
    <w:rsid w:val="00AF27D6"/>
    <w:rsid w:val="00AF3549"/>
    <w:rsid w:val="00B04AD5"/>
    <w:rsid w:val="00B116A2"/>
    <w:rsid w:val="00B1550A"/>
    <w:rsid w:val="00B16260"/>
    <w:rsid w:val="00B16462"/>
    <w:rsid w:val="00B16D73"/>
    <w:rsid w:val="00B2174A"/>
    <w:rsid w:val="00B30E5B"/>
    <w:rsid w:val="00B32BF4"/>
    <w:rsid w:val="00B403EA"/>
    <w:rsid w:val="00B40C03"/>
    <w:rsid w:val="00B44650"/>
    <w:rsid w:val="00B50E17"/>
    <w:rsid w:val="00B541A0"/>
    <w:rsid w:val="00B559A9"/>
    <w:rsid w:val="00B615D7"/>
    <w:rsid w:val="00B75669"/>
    <w:rsid w:val="00B756CC"/>
    <w:rsid w:val="00B83368"/>
    <w:rsid w:val="00B90028"/>
    <w:rsid w:val="00B92794"/>
    <w:rsid w:val="00BA63E3"/>
    <w:rsid w:val="00BC1CDA"/>
    <w:rsid w:val="00BC2AA8"/>
    <w:rsid w:val="00BD17BE"/>
    <w:rsid w:val="00BD1F4F"/>
    <w:rsid w:val="00BE1C54"/>
    <w:rsid w:val="00BF4A82"/>
    <w:rsid w:val="00BF65CA"/>
    <w:rsid w:val="00BF7682"/>
    <w:rsid w:val="00C04AC3"/>
    <w:rsid w:val="00C056DD"/>
    <w:rsid w:val="00C1528C"/>
    <w:rsid w:val="00C2138D"/>
    <w:rsid w:val="00C215A5"/>
    <w:rsid w:val="00C23F05"/>
    <w:rsid w:val="00C2776E"/>
    <w:rsid w:val="00C36CFF"/>
    <w:rsid w:val="00C377D1"/>
    <w:rsid w:val="00C40303"/>
    <w:rsid w:val="00C428F2"/>
    <w:rsid w:val="00C4333C"/>
    <w:rsid w:val="00C46407"/>
    <w:rsid w:val="00C51FE7"/>
    <w:rsid w:val="00C5322D"/>
    <w:rsid w:val="00C624F7"/>
    <w:rsid w:val="00C64B15"/>
    <w:rsid w:val="00C6531D"/>
    <w:rsid w:val="00C65962"/>
    <w:rsid w:val="00C67044"/>
    <w:rsid w:val="00C67B46"/>
    <w:rsid w:val="00C730A4"/>
    <w:rsid w:val="00C82A40"/>
    <w:rsid w:val="00C84459"/>
    <w:rsid w:val="00C90A36"/>
    <w:rsid w:val="00C90EE7"/>
    <w:rsid w:val="00CA1E52"/>
    <w:rsid w:val="00CB1C97"/>
    <w:rsid w:val="00CC0E2E"/>
    <w:rsid w:val="00CC2C4D"/>
    <w:rsid w:val="00CC338B"/>
    <w:rsid w:val="00CC4370"/>
    <w:rsid w:val="00CD0D22"/>
    <w:rsid w:val="00CD18D2"/>
    <w:rsid w:val="00CD1B32"/>
    <w:rsid w:val="00CD6B1F"/>
    <w:rsid w:val="00CE13A5"/>
    <w:rsid w:val="00CE1A22"/>
    <w:rsid w:val="00CE2D6E"/>
    <w:rsid w:val="00CE6A34"/>
    <w:rsid w:val="00CF1AE5"/>
    <w:rsid w:val="00CF1D22"/>
    <w:rsid w:val="00CF4E2C"/>
    <w:rsid w:val="00CF5232"/>
    <w:rsid w:val="00D0187A"/>
    <w:rsid w:val="00D03446"/>
    <w:rsid w:val="00D12217"/>
    <w:rsid w:val="00D15150"/>
    <w:rsid w:val="00D163BC"/>
    <w:rsid w:val="00D16DC2"/>
    <w:rsid w:val="00D266A4"/>
    <w:rsid w:val="00D27D5B"/>
    <w:rsid w:val="00D30F33"/>
    <w:rsid w:val="00D31E19"/>
    <w:rsid w:val="00D334B8"/>
    <w:rsid w:val="00D36491"/>
    <w:rsid w:val="00D37E2A"/>
    <w:rsid w:val="00D43265"/>
    <w:rsid w:val="00D457EF"/>
    <w:rsid w:val="00D46B42"/>
    <w:rsid w:val="00D5312C"/>
    <w:rsid w:val="00D56204"/>
    <w:rsid w:val="00D56B6C"/>
    <w:rsid w:val="00D57C55"/>
    <w:rsid w:val="00D60F63"/>
    <w:rsid w:val="00D6110C"/>
    <w:rsid w:val="00D6122B"/>
    <w:rsid w:val="00D639F6"/>
    <w:rsid w:val="00D66CC3"/>
    <w:rsid w:val="00D674FA"/>
    <w:rsid w:val="00D70C7A"/>
    <w:rsid w:val="00D730E9"/>
    <w:rsid w:val="00D77383"/>
    <w:rsid w:val="00D80270"/>
    <w:rsid w:val="00D81988"/>
    <w:rsid w:val="00D950EA"/>
    <w:rsid w:val="00D95CA6"/>
    <w:rsid w:val="00DA4373"/>
    <w:rsid w:val="00DA69F8"/>
    <w:rsid w:val="00DB14C7"/>
    <w:rsid w:val="00DB476C"/>
    <w:rsid w:val="00DB6BC6"/>
    <w:rsid w:val="00DC49CB"/>
    <w:rsid w:val="00DC4FFB"/>
    <w:rsid w:val="00DC6A15"/>
    <w:rsid w:val="00DE0E23"/>
    <w:rsid w:val="00DE6A77"/>
    <w:rsid w:val="00DF34E3"/>
    <w:rsid w:val="00DF505D"/>
    <w:rsid w:val="00E037D0"/>
    <w:rsid w:val="00E03A3A"/>
    <w:rsid w:val="00E05B77"/>
    <w:rsid w:val="00E2158A"/>
    <w:rsid w:val="00E24B41"/>
    <w:rsid w:val="00E31C5C"/>
    <w:rsid w:val="00E31F7F"/>
    <w:rsid w:val="00E32C40"/>
    <w:rsid w:val="00E50421"/>
    <w:rsid w:val="00E50D53"/>
    <w:rsid w:val="00E534AE"/>
    <w:rsid w:val="00E6372D"/>
    <w:rsid w:val="00E66CEF"/>
    <w:rsid w:val="00E73A16"/>
    <w:rsid w:val="00E74DB2"/>
    <w:rsid w:val="00E7708D"/>
    <w:rsid w:val="00E80852"/>
    <w:rsid w:val="00E81B11"/>
    <w:rsid w:val="00E8213E"/>
    <w:rsid w:val="00E858A8"/>
    <w:rsid w:val="00E93362"/>
    <w:rsid w:val="00E963FA"/>
    <w:rsid w:val="00EA0845"/>
    <w:rsid w:val="00EA25A5"/>
    <w:rsid w:val="00EA51EC"/>
    <w:rsid w:val="00EB4963"/>
    <w:rsid w:val="00EB5A74"/>
    <w:rsid w:val="00EB71B8"/>
    <w:rsid w:val="00ED3A1E"/>
    <w:rsid w:val="00ED51EA"/>
    <w:rsid w:val="00ED5BD7"/>
    <w:rsid w:val="00ED7510"/>
    <w:rsid w:val="00ED7F8E"/>
    <w:rsid w:val="00EE6609"/>
    <w:rsid w:val="00EF09F3"/>
    <w:rsid w:val="00EF29FB"/>
    <w:rsid w:val="00EF5CF2"/>
    <w:rsid w:val="00EF6819"/>
    <w:rsid w:val="00F000C8"/>
    <w:rsid w:val="00F00B93"/>
    <w:rsid w:val="00F01301"/>
    <w:rsid w:val="00F023A7"/>
    <w:rsid w:val="00F02E89"/>
    <w:rsid w:val="00F05478"/>
    <w:rsid w:val="00F15061"/>
    <w:rsid w:val="00F1687E"/>
    <w:rsid w:val="00F2109E"/>
    <w:rsid w:val="00F23AEC"/>
    <w:rsid w:val="00F32CC6"/>
    <w:rsid w:val="00F32D7A"/>
    <w:rsid w:val="00F3677A"/>
    <w:rsid w:val="00F41202"/>
    <w:rsid w:val="00F41D78"/>
    <w:rsid w:val="00F44F49"/>
    <w:rsid w:val="00F46868"/>
    <w:rsid w:val="00F51213"/>
    <w:rsid w:val="00F52BAB"/>
    <w:rsid w:val="00F53F44"/>
    <w:rsid w:val="00F55747"/>
    <w:rsid w:val="00F568EF"/>
    <w:rsid w:val="00F653DA"/>
    <w:rsid w:val="00F65891"/>
    <w:rsid w:val="00F820CA"/>
    <w:rsid w:val="00F82530"/>
    <w:rsid w:val="00F845D1"/>
    <w:rsid w:val="00F84A6A"/>
    <w:rsid w:val="00F91AAE"/>
    <w:rsid w:val="00F91D7F"/>
    <w:rsid w:val="00F931E4"/>
    <w:rsid w:val="00F93AC4"/>
    <w:rsid w:val="00F95529"/>
    <w:rsid w:val="00F95B7E"/>
    <w:rsid w:val="00F9603C"/>
    <w:rsid w:val="00F9626C"/>
    <w:rsid w:val="00FA1311"/>
    <w:rsid w:val="00FA2B57"/>
    <w:rsid w:val="00FA41D4"/>
    <w:rsid w:val="00FB29ED"/>
    <w:rsid w:val="00FB4553"/>
    <w:rsid w:val="00FC3B69"/>
    <w:rsid w:val="00FD1C65"/>
    <w:rsid w:val="00FE051B"/>
    <w:rsid w:val="00FE43D7"/>
    <w:rsid w:val="00FE4DE3"/>
    <w:rsid w:val="00FE561C"/>
    <w:rsid w:val="00FF3C63"/>
    <w:rsid w:val="00FF410A"/>
    <w:rsid w:val="00FF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992151-01F3-4C77-A13D-E584C648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C7A"/>
    <w:pPr>
      <w:widowControl w:val="0"/>
      <w:jc w:val="both"/>
    </w:pPr>
    <w:rPr>
      <w:kern w:val="2"/>
      <w:sz w:val="21"/>
      <w:szCs w:val="24"/>
    </w:rPr>
  </w:style>
  <w:style w:type="paragraph" w:styleId="1">
    <w:name w:val="heading 1"/>
    <w:basedOn w:val="a"/>
    <w:next w:val="a"/>
    <w:qFormat/>
    <w:rsid w:val="000F7CCB"/>
    <w:pPr>
      <w:keepNext/>
      <w:keepLines/>
      <w:spacing w:beforeLines="300" w:before="300" w:line="600" w:lineRule="exact"/>
      <w:jc w:val="center"/>
      <w:outlineLvl w:val="0"/>
    </w:pPr>
    <w:rPr>
      <w:rFonts w:eastAsia="方正小标宋_GBK"/>
      <w:bCs/>
      <w:kern w:val="44"/>
      <w:sz w:val="40"/>
      <w:szCs w:val="42"/>
    </w:rPr>
  </w:style>
  <w:style w:type="paragraph" w:styleId="2">
    <w:name w:val="heading 2"/>
    <w:aliases w:val="单行"/>
    <w:basedOn w:val="a"/>
    <w:next w:val="a"/>
    <w:qFormat/>
    <w:rsid w:val="000F7CCB"/>
    <w:pPr>
      <w:keepNext/>
      <w:keepLines/>
      <w:spacing w:beforeLines="50" w:before="50" w:afterLines="150" w:after="150" w:line="600" w:lineRule="exact"/>
      <w:jc w:val="center"/>
      <w:outlineLvl w:val="1"/>
    </w:pPr>
    <w:rPr>
      <w:rFonts w:eastAsia="方正楷体_GBK"/>
      <w:bCs/>
      <w:szCs w:val="32"/>
    </w:rPr>
  </w:style>
  <w:style w:type="paragraph" w:styleId="3">
    <w:name w:val="heading 3"/>
    <w:basedOn w:val="a"/>
    <w:next w:val="a"/>
    <w:qFormat/>
    <w:rsid w:val="000F7CCB"/>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0F7CCB"/>
  </w:style>
  <w:style w:type="paragraph" w:customStyle="1" w:styleId="1-">
    <w:name w:val="标题 1-附件"/>
    <w:basedOn w:val="1"/>
    <w:link w:val="1-Char"/>
    <w:rsid w:val="000F7CCB"/>
    <w:pPr>
      <w:spacing w:beforeLines="150" w:before="150" w:afterLines="100" w:after="100"/>
    </w:pPr>
  </w:style>
  <w:style w:type="character" w:customStyle="1" w:styleId="1-Char">
    <w:name w:val="标题 1-附件 Char"/>
    <w:link w:val="1-"/>
    <w:rsid w:val="000F7CCB"/>
    <w:rPr>
      <w:rFonts w:eastAsia="方正小标宋_GBK"/>
      <w:bCs/>
      <w:kern w:val="44"/>
      <w:sz w:val="40"/>
      <w:szCs w:val="42"/>
      <w:lang w:val="en-US" w:eastAsia="zh-CN" w:bidi="ar-SA"/>
    </w:rPr>
  </w:style>
  <w:style w:type="paragraph" w:customStyle="1" w:styleId="1-0">
    <w:name w:val="标题 1-上"/>
    <w:basedOn w:val="1"/>
    <w:link w:val="1-Char0"/>
    <w:rsid w:val="000F7CCB"/>
  </w:style>
  <w:style w:type="character" w:customStyle="1" w:styleId="1-Char0">
    <w:name w:val="标题 1-上 Char"/>
    <w:link w:val="1-0"/>
    <w:rsid w:val="000F7CCB"/>
    <w:rPr>
      <w:rFonts w:eastAsia="方正小标宋_GBK"/>
      <w:bCs/>
      <w:kern w:val="44"/>
      <w:sz w:val="40"/>
      <w:szCs w:val="42"/>
      <w:lang w:val="en-US" w:eastAsia="zh-CN" w:bidi="ar-SA"/>
    </w:rPr>
  </w:style>
  <w:style w:type="paragraph" w:customStyle="1" w:styleId="1-1">
    <w:name w:val="标题 1-下"/>
    <w:basedOn w:val="1"/>
    <w:link w:val="1-Char1"/>
    <w:rsid w:val="000F7CCB"/>
    <w:pPr>
      <w:spacing w:beforeLines="0" w:before="0"/>
    </w:pPr>
  </w:style>
  <w:style w:type="character" w:customStyle="1" w:styleId="1-Char1">
    <w:name w:val="标题 1-下 Char"/>
    <w:link w:val="1-1"/>
    <w:rsid w:val="000F7CCB"/>
    <w:rPr>
      <w:rFonts w:eastAsia="方正小标宋_GBK"/>
      <w:bCs/>
      <w:kern w:val="44"/>
      <w:sz w:val="40"/>
      <w:szCs w:val="42"/>
      <w:lang w:val="en-US" w:eastAsia="zh-CN" w:bidi="ar-SA"/>
    </w:rPr>
  </w:style>
  <w:style w:type="paragraph" w:customStyle="1" w:styleId="20">
    <w:name w:val="标题 2，上"/>
    <w:basedOn w:val="2"/>
    <w:rsid w:val="000F7CCB"/>
    <w:pPr>
      <w:spacing w:afterLines="0" w:after="0"/>
    </w:pPr>
  </w:style>
  <w:style w:type="paragraph" w:customStyle="1" w:styleId="21">
    <w:name w:val="标题 2，下"/>
    <w:basedOn w:val="2"/>
    <w:rsid w:val="000F7CCB"/>
    <w:pPr>
      <w:spacing w:beforeLines="0" w:before="0"/>
    </w:pPr>
  </w:style>
  <w:style w:type="paragraph" w:customStyle="1" w:styleId="2-">
    <w:name w:val="标题 2-空行"/>
    <w:basedOn w:val="a"/>
    <w:next w:val="2"/>
    <w:rsid w:val="000F7CCB"/>
    <w:pPr>
      <w:spacing w:line="600" w:lineRule="exact"/>
      <w:ind w:firstLine="200"/>
    </w:pPr>
    <w:rPr>
      <w:szCs w:val="32"/>
    </w:rPr>
  </w:style>
  <w:style w:type="paragraph" w:customStyle="1" w:styleId="a3">
    <w:name w:val="表第一行"/>
    <w:basedOn w:val="a"/>
    <w:rsid w:val="000F7CCB"/>
    <w:pPr>
      <w:spacing w:line="360" w:lineRule="exact"/>
      <w:jc w:val="center"/>
    </w:pPr>
    <w:rPr>
      <w:rFonts w:eastAsia="黑体"/>
      <w:sz w:val="24"/>
      <w:szCs w:val="32"/>
    </w:rPr>
  </w:style>
  <w:style w:type="paragraph" w:customStyle="1" w:styleId="a4">
    <w:name w:val="表附件"/>
    <w:basedOn w:val="a"/>
    <w:link w:val="Char"/>
    <w:rsid w:val="000F7CCB"/>
    <w:rPr>
      <w:rFonts w:eastAsia="黑体"/>
    </w:rPr>
  </w:style>
  <w:style w:type="character" w:customStyle="1" w:styleId="Char">
    <w:name w:val="表附件 Char"/>
    <w:link w:val="a4"/>
    <w:rsid w:val="000F7CCB"/>
    <w:rPr>
      <w:rFonts w:eastAsia="黑体"/>
      <w:kern w:val="2"/>
      <w:sz w:val="27"/>
      <w:szCs w:val="27"/>
      <w:lang w:val="en-US" w:eastAsia="zh-CN" w:bidi="ar-SA"/>
    </w:rPr>
  </w:style>
  <w:style w:type="paragraph" w:customStyle="1" w:styleId="a5">
    <w:name w:val="表头"/>
    <w:basedOn w:val="a"/>
    <w:rsid w:val="000F7CCB"/>
    <w:pPr>
      <w:jc w:val="center"/>
    </w:pPr>
    <w:rPr>
      <w:rFonts w:eastAsia="黑体"/>
    </w:rPr>
  </w:style>
  <w:style w:type="paragraph" w:customStyle="1" w:styleId="a6">
    <w:name w:val="表下空"/>
    <w:basedOn w:val="a"/>
    <w:rsid w:val="000F7CCB"/>
    <w:rPr>
      <w:sz w:val="10"/>
      <w:szCs w:val="10"/>
    </w:rPr>
  </w:style>
  <w:style w:type="paragraph" w:customStyle="1" w:styleId="a7">
    <w:name w:val="表一级标"/>
    <w:basedOn w:val="a"/>
    <w:link w:val="Char0"/>
    <w:rsid w:val="000F7CCB"/>
    <w:pPr>
      <w:spacing w:line="360" w:lineRule="exact"/>
    </w:pPr>
    <w:rPr>
      <w:rFonts w:eastAsia="黑体"/>
      <w:szCs w:val="32"/>
    </w:rPr>
  </w:style>
  <w:style w:type="character" w:customStyle="1" w:styleId="Char0">
    <w:name w:val="表一级标 Char"/>
    <w:link w:val="a7"/>
    <w:rsid w:val="000F7CCB"/>
    <w:rPr>
      <w:rFonts w:eastAsia="黑体"/>
      <w:kern w:val="2"/>
      <w:sz w:val="21"/>
      <w:szCs w:val="32"/>
      <w:lang w:val="en-US" w:eastAsia="zh-CN" w:bidi="ar-SA"/>
    </w:rPr>
  </w:style>
  <w:style w:type="paragraph" w:customStyle="1" w:styleId="a8">
    <w:name w:val="表正文"/>
    <w:basedOn w:val="a"/>
    <w:link w:val="Char1"/>
    <w:rsid w:val="000F7CCB"/>
    <w:pPr>
      <w:spacing w:line="360" w:lineRule="exact"/>
    </w:pPr>
    <w:rPr>
      <w:szCs w:val="32"/>
    </w:rPr>
  </w:style>
  <w:style w:type="character" w:customStyle="1" w:styleId="Char1">
    <w:name w:val="表正文 Char"/>
    <w:link w:val="a8"/>
    <w:rsid w:val="000F7CCB"/>
    <w:rPr>
      <w:rFonts w:eastAsia="宋体"/>
      <w:kern w:val="2"/>
      <w:sz w:val="21"/>
      <w:szCs w:val="32"/>
      <w:lang w:val="en-US" w:eastAsia="zh-CN" w:bidi="ar-SA"/>
    </w:rPr>
  </w:style>
  <w:style w:type="paragraph" w:customStyle="1" w:styleId="a9">
    <w:name w:val="表注"/>
    <w:basedOn w:val="a"/>
    <w:rsid w:val="000F7CCB"/>
  </w:style>
  <w:style w:type="character" w:styleId="aa">
    <w:name w:val="Hyperlink"/>
    <w:rsid w:val="000F7CCB"/>
    <w:rPr>
      <w:color w:val="0000FF"/>
      <w:u w:val="single"/>
    </w:rPr>
  </w:style>
  <w:style w:type="paragraph" w:styleId="ab">
    <w:name w:val="footnote text"/>
    <w:basedOn w:val="a"/>
    <w:link w:val="Char2"/>
    <w:uiPriority w:val="99"/>
    <w:rsid w:val="000F7CCB"/>
    <w:pPr>
      <w:snapToGrid w:val="0"/>
    </w:pPr>
    <w:rPr>
      <w:sz w:val="18"/>
      <w:szCs w:val="18"/>
    </w:rPr>
  </w:style>
  <w:style w:type="character" w:styleId="ac">
    <w:name w:val="footnote reference"/>
    <w:semiHidden/>
    <w:rsid w:val="000F7CCB"/>
    <w:rPr>
      <w:vertAlign w:val="superscript"/>
    </w:rPr>
  </w:style>
  <w:style w:type="paragraph" w:styleId="10">
    <w:name w:val="toc 1"/>
    <w:basedOn w:val="a"/>
    <w:next w:val="a"/>
    <w:semiHidden/>
    <w:rsid w:val="000F7CCB"/>
    <w:pPr>
      <w:spacing w:line="500" w:lineRule="exact"/>
    </w:pPr>
  </w:style>
  <w:style w:type="table" w:styleId="ad">
    <w:name w:val="Table Grid"/>
    <w:basedOn w:val="a1"/>
    <w:rsid w:val="000F7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0F7CCB"/>
    <w:pPr>
      <w:snapToGrid w:val="0"/>
    </w:pPr>
  </w:style>
  <w:style w:type="character" w:styleId="af">
    <w:name w:val="endnote reference"/>
    <w:semiHidden/>
    <w:rsid w:val="000F7CCB"/>
    <w:rPr>
      <w:vertAlign w:val="superscript"/>
    </w:rPr>
  </w:style>
  <w:style w:type="paragraph" w:styleId="af0">
    <w:name w:val="Document Map"/>
    <w:basedOn w:val="a"/>
    <w:semiHidden/>
    <w:rsid w:val="000F7CCB"/>
    <w:pPr>
      <w:shd w:val="clear" w:color="auto" w:fill="000080"/>
    </w:pPr>
  </w:style>
  <w:style w:type="paragraph" w:styleId="af1">
    <w:name w:val="footer"/>
    <w:basedOn w:val="a"/>
    <w:rsid w:val="000F7CCB"/>
    <w:pPr>
      <w:tabs>
        <w:tab w:val="center" w:pos="4153"/>
        <w:tab w:val="right" w:pos="8306"/>
      </w:tabs>
      <w:snapToGrid w:val="0"/>
      <w:spacing w:line="240" w:lineRule="atLeast"/>
    </w:pPr>
    <w:rPr>
      <w:sz w:val="18"/>
      <w:szCs w:val="18"/>
    </w:rPr>
  </w:style>
  <w:style w:type="paragraph" w:styleId="af2">
    <w:name w:val="header"/>
    <w:basedOn w:val="a"/>
    <w:rsid w:val="000F7CCB"/>
    <w:pPr>
      <w:pBdr>
        <w:bottom w:val="single" w:sz="6" w:space="1" w:color="auto"/>
      </w:pBdr>
      <w:tabs>
        <w:tab w:val="center" w:pos="4153"/>
        <w:tab w:val="right" w:pos="8306"/>
      </w:tabs>
      <w:snapToGrid w:val="0"/>
      <w:spacing w:line="240" w:lineRule="atLeast"/>
      <w:jc w:val="center"/>
    </w:pPr>
    <w:rPr>
      <w:sz w:val="18"/>
      <w:szCs w:val="18"/>
    </w:rPr>
  </w:style>
  <w:style w:type="character" w:styleId="af3">
    <w:name w:val="FollowedHyperlink"/>
    <w:rsid w:val="000F7CCB"/>
    <w:rPr>
      <w:color w:val="800080"/>
      <w:u w:val="single"/>
    </w:rPr>
  </w:style>
  <w:style w:type="paragraph" w:customStyle="1" w:styleId="af4">
    <w:name w:val="议程"/>
    <w:basedOn w:val="a"/>
    <w:rsid w:val="000F7CCB"/>
    <w:pPr>
      <w:spacing w:beforeLines="200" w:before="624"/>
      <w:jc w:val="center"/>
    </w:pPr>
    <w:rPr>
      <w:rFonts w:eastAsia="黑体"/>
      <w:szCs w:val="32"/>
    </w:rPr>
  </w:style>
  <w:style w:type="paragraph" w:customStyle="1" w:styleId="af5">
    <w:name w:val="正文二级标"/>
    <w:basedOn w:val="a"/>
    <w:link w:val="Char3"/>
    <w:rsid w:val="000F7CCB"/>
    <w:rPr>
      <w:rFonts w:ascii="方正楷体_GBK" w:eastAsia="方正楷体_GBK"/>
      <w:color w:val="000000"/>
    </w:rPr>
  </w:style>
  <w:style w:type="character" w:customStyle="1" w:styleId="Char3">
    <w:name w:val="正文二级标 Char"/>
    <w:link w:val="af5"/>
    <w:rsid w:val="000F7CCB"/>
    <w:rPr>
      <w:rFonts w:ascii="方正楷体_GBK" w:eastAsia="方正楷体_GBK"/>
      <w:color w:val="000000"/>
      <w:kern w:val="2"/>
      <w:sz w:val="27"/>
      <w:szCs w:val="27"/>
      <w:lang w:val="en-US" w:eastAsia="zh-CN" w:bidi="ar-SA"/>
    </w:rPr>
  </w:style>
  <w:style w:type="paragraph" w:styleId="af6">
    <w:name w:val="Body Text Indent"/>
    <w:basedOn w:val="a"/>
    <w:rsid w:val="000F7CCB"/>
    <w:pPr>
      <w:adjustRightInd w:val="0"/>
      <w:snapToGrid w:val="0"/>
      <w:spacing w:line="360" w:lineRule="auto"/>
      <w:ind w:firstLine="630"/>
    </w:pPr>
    <w:rPr>
      <w:rFonts w:eastAsia="仿宋_GB2312"/>
      <w:sz w:val="32"/>
      <w:szCs w:val="20"/>
    </w:rPr>
  </w:style>
  <w:style w:type="paragraph" w:customStyle="1" w:styleId="af7">
    <w:name w:val="正文一级标"/>
    <w:basedOn w:val="a"/>
    <w:link w:val="Char4"/>
    <w:rsid w:val="000F7CCB"/>
    <w:rPr>
      <w:rFonts w:eastAsia="黑体"/>
    </w:rPr>
  </w:style>
  <w:style w:type="character" w:customStyle="1" w:styleId="Char4">
    <w:name w:val="正文一级标 Char"/>
    <w:link w:val="af7"/>
    <w:rsid w:val="000F7CCB"/>
    <w:rPr>
      <w:rFonts w:eastAsia="黑体"/>
      <w:kern w:val="2"/>
      <w:sz w:val="27"/>
      <w:szCs w:val="27"/>
      <w:lang w:val="en-US" w:eastAsia="zh-CN" w:bidi="ar-SA"/>
    </w:rPr>
  </w:style>
  <w:style w:type="paragraph" w:styleId="af8">
    <w:name w:val="annotation text"/>
    <w:basedOn w:val="a"/>
    <w:semiHidden/>
    <w:rsid w:val="00D70C7A"/>
    <w:pPr>
      <w:jc w:val="left"/>
    </w:pPr>
  </w:style>
  <w:style w:type="paragraph" w:styleId="22">
    <w:name w:val="Body Text Indent 2"/>
    <w:basedOn w:val="a"/>
    <w:link w:val="2Char"/>
    <w:rsid w:val="00D70C7A"/>
    <w:pPr>
      <w:ind w:firstLineChars="200" w:firstLine="647"/>
    </w:pPr>
    <w:rPr>
      <w:rFonts w:eastAsia="黑体"/>
      <w:sz w:val="32"/>
      <w:szCs w:val="20"/>
      <w:lang w:val="x-none" w:eastAsia="x-none"/>
    </w:rPr>
  </w:style>
  <w:style w:type="character" w:customStyle="1" w:styleId="2Char">
    <w:name w:val="正文文本缩进 2 Char"/>
    <w:link w:val="22"/>
    <w:rsid w:val="00D70C7A"/>
    <w:rPr>
      <w:rFonts w:eastAsia="黑体"/>
      <w:kern w:val="2"/>
      <w:sz w:val="32"/>
      <w:lang w:val="x-none" w:eastAsia="x-none" w:bidi="ar-SA"/>
    </w:rPr>
  </w:style>
  <w:style w:type="character" w:styleId="af9">
    <w:name w:val="page number"/>
    <w:basedOn w:val="a0"/>
    <w:rsid w:val="000A17BA"/>
  </w:style>
  <w:style w:type="table" w:styleId="11">
    <w:name w:val="Table Web 1"/>
    <w:basedOn w:val="a1"/>
    <w:rsid w:val="009D571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1"/>
    <w:rsid w:val="009D5713"/>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1"/>
    <w:rsid w:val="009D5713"/>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a">
    <w:name w:val="Table Professional"/>
    <w:basedOn w:val="a1"/>
    <w:rsid w:val="009D571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Table 3D effects 1"/>
    <w:basedOn w:val="a1"/>
    <w:rsid w:val="009D5713"/>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1"/>
    <w:rsid w:val="009D5713"/>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3D effects 3"/>
    <w:basedOn w:val="a1"/>
    <w:rsid w:val="009D5713"/>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b">
    <w:name w:val="Table Contemporary"/>
    <w:basedOn w:val="a1"/>
    <w:rsid w:val="009D5713"/>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5">
    <w:name w:val="Plain Table 5"/>
    <w:basedOn w:val="a1"/>
    <w:uiPriority w:val="45"/>
    <w:rsid w:val="009D57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57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a"/>
    <w:uiPriority w:val="40"/>
    <w:qFormat/>
    <w:rsid w:val="009D5713"/>
    <w:pPr>
      <w:widowControl/>
      <w:tabs>
        <w:tab w:val="decimal" w:pos="360"/>
      </w:tabs>
      <w:spacing w:after="200" w:line="276" w:lineRule="auto"/>
      <w:jc w:val="left"/>
    </w:pPr>
    <w:rPr>
      <w:rFonts w:asciiTheme="minorHAnsi" w:eastAsiaTheme="minorEastAsia" w:hAnsiTheme="minorHAnsi"/>
      <w:kern w:val="0"/>
      <w:sz w:val="22"/>
      <w:szCs w:val="22"/>
    </w:rPr>
  </w:style>
  <w:style w:type="character" w:customStyle="1" w:styleId="Char2">
    <w:name w:val="脚注文本 Char"/>
    <w:basedOn w:val="a0"/>
    <w:link w:val="ab"/>
    <w:uiPriority w:val="99"/>
    <w:rsid w:val="009D5713"/>
    <w:rPr>
      <w:kern w:val="2"/>
      <w:sz w:val="18"/>
      <w:szCs w:val="18"/>
    </w:rPr>
  </w:style>
  <w:style w:type="character" w:styleId="afc">
    <w:name w:val="Subtle Emphasis"/>
    <w:basedOn w:val="a0"/>
    <w:uiPriority w:val="19"/>
    <w:qFormat/>
    <w:rsid w:val="009D5713"/>
    <w:rPr>
      <w:i/>
      <w:iCs/>
    </w:rPr>
  </w:style>
  <w:style w:type="table" w:styleId="-1">
    <w:name w:val="Light Shading Accent 1"/>
    <w:basedOn w:val="a1"/>
    <w:uiPriority w:val="60"/>
    <w:rsid w:val="009D5713"/>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5">
    <w:name w:val="Table Subtle 2"/>
    <w:basedOn w:val="a1"/>
    <w:rsid w:val="009D5713"/>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9D5713"/>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Grid Table 7 Colorful"/>
    <w:basedOn w:val="a1"/>
    <w:uiPriority w:val="52"/>
    <w:rsid w:val="009D571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6">
    <w:name w:val="Table Grid 2"/>
    <w:basedOn w:val="a1"/>
    <w:rsid w:val="009D571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58819">
      <w:bodyDiv w:val="1"/>
      <w:marLeft w:val="0"/>
      <w:marRight w:val="0"/>
      <w:marTop w:val="0"/>
      <w:marBottom w:val="0"/>
      <w:divBdr>
        <w:top w:val="none" w:sz="0" w:space="0" w:color="auto"/>
        <w:left w:val="none" w:sz="0" w:space="0" w:color="auto"/>
        <w:bottom w:val="none" w:sz="0" w:space="0" w:color="auto"/>
        <w:right w:val="none" w:sz="0" w:space="0" w:color="auto"/>
      </w:divBdr>
    </w:div>
    <w:div w:id="252058216">
      <w:bodyDiv w:val="1"/>
      <w:marLeft w:val="0"/>
      <w:marRight w:val="0"/>
      <w:marTop w:val="0"/>
      <w:marBottom w:val="0"/>
      <w:divBdr>
        <w:top w:val="none" w:sz="0" w:space="0" w:color="auto"/>
        <w:left w:val="none" w:sz="0" w:space="0" w:color="auto"/>
        <w:bottom w:val="none" w:sz="0" w:space="0" w:color="auto"/>
        <w:right w:val="none" w:sz="0" w:space="0" w:color="auto"/>
      </w:divBdr>
    </w:div>
    <w:div w:id="351735149">
      <w:bodyDiv w:val="1"/>
      <w:marLeft w:val="0"/>
      <w:marRight w:val="0"/>
      <w:marTop w:val="0"/>
      <w:marBottom w:val="0"/>
      <w:divBdr>
        <w:top w:val="none" w:sz="0" w:space="0" w:color="auto"/>
        <w:left w:val="none" w:sz="0" w:space="0" w:color="auto"/>
        <w:bottom w:val="none" w:sz="0" w:space="0" w:color="auto"/>
        <w:right w:val="none" w:sz="0" w:space="0" w:color="auto"/>
      </w:divBdr>
    </w:div>
    <w:div w:id="487718965">
      <w:bodyDiv w:val="1"/>
      <w:marLeft w:val="0"/>
      <w:marRight w:val="0"/>
      <w:marTop w:val="0"/>
      <w:marBottom w:val="0"/>
      <w:divBdr>
        <w:top w:val="none" w:sz="0" w:space="0" w:color="auto"/>
        <w:left w:val="none" w:sz="0" w:space="0" w:color="auto"/>
        <w:bottom w:val="none" w:sz="0" w:space="0" w:color="auto"/>
        <w:right w:val="none" w:sz="0" w:space="0" w:color="auto"/>
      </w:divBdr>
    </w:div>
    <w:div w:id="530799244">
      <w:bodyDiv w:val="1"/>
      <w:marLeft w:val="0"/>
      <w:marRight w:val="0"/>
      <w:marTop w:val="0"/>
      <w:marBottom w:val="0"/>
      <w:divBdr>
        <w:top w:val="none" w:sz="0" w:space="0" w:color="auto"/>
        <w:left w:val="none" w:sz="0" w:space="0" w:color="auto"/>
        <w:bottom w:val="none" w:sz="0" w:space="0" w:color="auto"/>
        <w:right w:val="none" w:sz="0" w:space="0" w:color="auto"/>
      </w:divBdr>
    </w:div>
    <w:div w:id="534536804">
      <w:bodyDiv w:val="1"/>
      <w:marLeft w:val="0"/>
      <w:marRight w:val="0"/>
      <w:marTop w:val="0"/>
      <w:marBottom w:val="0"/>
      <w:divBdr>
        <w:top w:val="none" w:sz="0" w:space="0" w:color="auto"/>
        <w:left w:val="none" w:sz="0" w:space="0" w:color="auto"/>
        <w:bottom w:val="none" w:sz="0" w:space="0" w:color="auto"/>
        <w:right w:val="none" w:sz="0" w:space="0" w:color="auto"/>
      </w:divBdr>
    </w:div>
    <w:div w:id="559167818">
      <w:bodyDiv w:val="1"/>
      <w:marLeft w:val="0"/>
      <w:marRight w:val="0"/>
      <w:marTop w:val="0"/>
      <w:marBottom w:val="0"/>
      <w:divBdr>
        <w:top w:val="none" w:sz="0" w:space="0" w:color="auto"/>
        <w:left w:val="none" w:sz="0" w:space="0" w:color="auto"/>
        <w:bottom w:val="none" w:sz="0" w:space="0" w:color="auto"/>
        <w:right w:val="none" w:sz="0" w:space="0" w:color="auto"/>
      </w:divBdr>
      <w:divsChild>
        <w:div w:id="980307254">
          <w:marLeft w:val="0"/>
          <w:marRight w:val="0"/>
          <w:marTop w:val="0"/>
          <w:marBottom w:val="0"/>
          <w:divBdr>
            <w:top w:val="none" w:sz="0" w:space="0" w:color="auto"/>
            <w:left w:val="none" w:sz="0" w:space="0" w:color="auto"/>
            <w:bottom w:val="none" w:sz="0" w:space="0" w:color="auto"/>
            <w:right w:val="none" w:sz="0" w:space="0" w:color="auto"/>
          </w:divBdr>
        </w:div>
      </w:divsChild>
    </w:div>
    <w:div w:id="631405154">
      <w:bodyDiv w:val="1"/>
      <w:marLeft w:val="0"/>
      <w:marRight w:val="0"/>
      <w:marTop w:val="0"/>
      <w:marBottom w:val="0"/>
      <w:divBdr>
        <w:top w:val="none" w:sz="0" w:space="0" w:color="auto"/>
        <w:left w:val="none" w:sz="0" w:space="0" w:color="auto"/>
        <w:bottom w:val="none" w:sz="0" w:space="0" w:color="auto"/>
        <w:right w:val="none" w:sz="0" w:space="0" w:color="auto"/>
      </w:divBdr>
    </w:div>
    <w:div w:id="638346067">
      <w:bodyDiv w:val="1"/>
      <w:marLeft w:val="0"/>
      <w:marRight w:val="0"/>
      <w:marTop w:val="0"/>
      <w:marBottom w:val="0"/>
      <w:divBdr>
        <w:top w:val="none" w:sz="0" w:space="0" w:color="auto"/>
        <w:left w:val="none" w:sz="0" w:space="0" w:color="auto"/>
        <w:bottom w:val="none" w:sz="0" w:space="0" w:color="auto"/>
        <w:right w:val="none" w:sz="0" w:space="0" w:color="auto"/>
      </w:divBdr>
    </w:div>
    <w:div w:id="649134604">
      <w:bodyDiv w:val="1"/>
      <w:marLeft w:val="0"/>
      <w:marRight w:val="0"/>
      <w:marTop w:val="100"/>
      <w:marBottom w:val="100"/>
      <w:divBdr>
        <w:top w:val="none" w:sz="0" w:space="0" w:color="auto"/>
        <w:left w:val="none" w:sz="0" w:space="0" w:color="auto"/>
        <w:bottom w:val="none" w:sz="0" w:space="0" w:color="auto"/>
        <w:right w:val="none" w:sz="0" w:space="0" w:color="auto"/>
      </w:divBdr>
      <w:divsChild>
        <w:div w:id="169488382">
          <w:marLeft w:val="0"/>
          <w:marRight w:val="0"/>
          <w:marTop w:val="0"/>
          <w:marBottom w:val="0"/>
          <w:divBdr>
            <w:top w:val="none" w:sz="0" w:space="0" w:color="auto"/>
            <w:left w:val="none" w:sz="0" w:space="0" w:color="auto"/>
            <w:bottom w:val="none" w:sz="0" w:space="0" w:color="auto"/>
            <w:right w:val="none" w:sz="0" w:space="0" w:color="auto"/>
          </w:divBdr>
          <w:divsChild>
            <w:div w:id="962613544">
              <w:marLeft w:val="0"/>
              <w:marRight w:val="0"/>
              <w:marTop w:val="0"/>
              <w:marBottom w:val="0"/>
              <w:divBdr>
                <w:top w:val="none" w:sz="0" w:space="0" w:color="auto"/>
                <w:left w:val="none" w:sz="0" w:space="0" w:color="auto"/>
                <w:bottom w:val="none" w:sz="0" w:space="0" w:color="auto"/>
                <w:right w:val="none" w:sz="0" w:space="0" w:color="auto"/>
              </w:divBdr>
              <w:divsChild>
                <w:div w:id="70006422">
                  <w:marLeft w:val="0"/>
                  <w:marRight w:val="0"/>
                  <w:marTop w:val="0"/>
                  <w:marBottom w:val="0"/>
                  <w:divBdr>
                    <w:top w:val="none" w:sz="0" w:space="0" w:color="auto"/>
                    <w:left w:val="none" w:sz="0" w:space="0" w:color="auto"/>
                    <w:bottom w:val="none" w:sz="0" w:space="0" w:color="auto"/>
                    <w:right w:val="none" w:sz="0" w:space="0" w:color="auto"/>
                  </w:divBdr>
                  <w:divsChild>
                    <w:div w:id="270359832">
                      <w:marLeft w:val="0"/>
                      <w:marRight w:val="0"/>
                      <w:marTop w:val="375"/>
                      <w:marBottom w:val="0"/>
                      <w:divBdr>
                        <w:top w:val="none" w:sz="0" w:space="0" w:color="auto"/>
                        <w:left w:val="none" w:sz="0" w:space="0" w:color="auto"/>
                        <w:bottom w:val="none" w:sz="0" w:space="0" w:color="auto"/>
                        <w:right w:val="none" w:sz="0" w:space="0" w:color="auto"/>
                      </w:divBdr>
                      <w:divsChild>
                        <w:div w:id="84412741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674312">
      <w:bodyDiv w:val="1"/>
      <w:marLeft w:val="0"/>
      <w:marRight w:val="0"/>
      <w:marTop w:val="0"/>
      <w:marBottom w:val="0"/>
      <w:divBdr>
        <w:top w:val="none" w:sz="0" w:space="0" w:color="auto"/>
        <w:left w:val="none" w:sz="0" w:space="0" w:color="auto"/>
        <w:bottom w:val="none" w:sz="0" w:space="0" w:color="auto"/>
        <w:right w:val="none" w:sz="0" w:space="0" w:color="auto"/>
      </w:divBdr>
    </w:div>
    <w:div w:id="856846652">
      <w:bodyDiv w:val="1"/>
      <w:marLeft w:val="0"/>
      <w:marRight w:val="0"/>
      <w:marTop w:val="0"/>
      <w:marBottom w:val="0"/>
      <w:divBdr>
        <w:top w:val="none" w:sz="0" w:space="0" w:color="auto"/>
        <w:left w:val="none" w:sz="0" w:space="0" w:color="auto"/>
        <w:bottom w:val="none" w:sz="0" w:space="0" w:color="auto"/>
        <w:right w:val="none" w:sz="0" w:space="0" w:color="auto"/>
      </w:divBdr>
    </w:div>
    <w:div w:id="1025400370">
      <w:bodyDiv w:val="1"/>
      <w:marLeft w:val="0"/>
      <w:marRight w:val="0"/>
      <w:marTop w:val="0"/>
      <w:marBottom w:val="0"/>
      <w:divBdr>
        <w:top w:val="none" w:sz="0" w:space="0" w:color="auto"/>
        <w:left w:val="none" w:sz="0" w:space="0" w:color="auto"/>
        <w:bottom w:val="none" w:sz="0" w:space="0" w:color="auto"/>
        <w:right w:val="none" w:sz="0" w:space="0" w:color="auto"/>
      </w:divBdr>
    </w:div>
    <w:div w:id="1107967746">
      <w:bodyDiv w:val="1"/>
      <w:marLeft w:val="0"/>
      <w:marRight w:val="0"/>
      <w:marTop w:val="0"/>
      <w:marBottom w:val="0"/>
      <w:divBdr>
        <w:top w:val="none" w:sz="0" w:space="0" w:color="auto"/>
        <w:left w:val="none" w:sz="0" w:space="0" w:color="auto"/>
        <w:bottom w:val="none" w:sz="0" w:space="0" w:color="auto"/>
        <w:right w:val="none" w:sz="0" w:space="0" w:color="auto"/>
      </w:divBdr>
    </w:div>
    <w:div w:id="1113482593">
      <w:bodyDiv w:val="1"/>
      <w:marLeft w:val="0"/>
      <w:marRight w:val="0"/>
      <w:marTop w:val="0"/>
      <w:marBottom w:val="0"/>
      <w:divBdr>
        <w:top w:val="none" w:sz="0" w:space="0" w:color="auto"/>
        <w:left w:val="none" w:sz="0" w:space="0" w:color="auto"/>
        <w:bottom w:val="none" w:sz="0" w:space="0" w:color="auto"/>
        <w:right w:val="none" w:sz="0" w:space="0" w:color="auto"/>
      </w:divBdr>
    </w:div>
    <w:div w:id="1144658374">
      <w:bodyDiv w:val="1"/>
      <w:marLeft w:val="0"/>
      <w:marRight w:val="0"/>
      <w:marTop w:val="0"/>
      <w:marBottom w:val="0"/>
      <w:divBdr>
        <w:top w:val="none" w:sz="0" w:space="0" w:color="auto"/>
        <w:left w:val="none" w:sz="0" w:space="0" w:color="auto"/>
        <w:bottom w:val="none" w:sz="0" w:space="0" w:color="auto"/>
        <w:right w:val="none" w:sz="0" w:space="0" w:color="auto"/>
      </w:divBdr>
      <w:divsChild>
        <w:div w:id="595748503">
          <w:marLeft w:val="0"/>
          <w:marRight w:val="0"/>
          <w:marTop w:val="0"/>
          <w:marBottom w:val="0"/>
          <w:divBdr>
            <w:top w:val="none" w:sz="0" w:space="0" w:color="auto"/>
            <w:left w:val="none" w:sz="0" w:space="0" w:color="auto"/>
            <w:bottom w:val="none" w:sz="0" w:space="0" w:color="auto"/>
            <w:right w:val="none" w:sz="0" w:space="0" w:color="auto"/>
          </w:divBdr>
        </w:div>
      </w:divsChild>
    </w:div>
    <w:div w:id="1363243209">
      <w:bodyDiv w:val="1"/>
      <w:marLeft w:val="0"/>
      <w:marRight w:val="0"/>
      <w:marTop w:val="0"/>
      <w:marBottom w:val="0"/>
      <w:divBdr>
        <w:top w:val="none" w:sz="0" w:space="0" w:color="auto"/>
        <w:left w:val="none" w:sz="0" w:space="0" w:color="auto"/>
        <w:bottom w:val="none" w:sz="0" w:space="0" w:color="auto"/>
        <w:right w:val="none" w:sz="0" w:space="0" w:color="auto"/>
      </w:divBdr>
    </w:div>
    <w:div w:id="1388648763">
      <w:bodyDiv w:val="1"/>
      <w:marLeft w:val="0"/>
      <w:marRight w:val="0"/>
      <w:marTop w:val="0"/>
      <w:marBottom w:val="0"/>
      <w:divBdr>
        <w:top w:val="none" w:sz="0" w:space="0" w:color="auto"/>
        <w:left w:val="none" w:sz="0" w:space="0" w:color="auto"/>
        <w:bottom w:val="none" w:sz="0" w:space="0" w:color="auto"/>
        <w:right w:val="none" w:sz="0" w:space="0" w:color="auto"/>
      </w:divBdr>
    </w:div>
    <w:div w:id="1706521571">
      <w:bodyDiv w:val="1"/>
      <w:marLeft w:val="0"/>
      <w:marRight w:val="0"/>
      <w:marTop w:val="0"/>
      <w:marBottom w:val="0"/>
      <w:divBdr>
        <w:top w:val="none" w:sz="0" w:space="0" w:color="auto"/>
        <w:left w:val="none" w:sz="0" w:space="0" w:color="auto"/>
        <w:bottom w:val="none" w:sz="0" w:space="0" w:color="auto"/>
        <w:right w:val="none" w:sz="0" w:space="0" w:color="auto"/>
      </w:divBdr>
      <w:divsChild>
        <w:div w:id="2099010829">
          <w:marLeft w:val="0"/>
          <w:marRight w:val="0"/>
          <w:marTop w:val="0"/>
          <w:marBottom w:val="0"/>
          <w:divBdr>
            <w:top w:val="none" w:sz="0" w:space="0" w:color="auto"/>
            <w:left w:val="none" w:sz="0" w:space="0" w:color="auto"/>
            <w:bottom w:val="none" w:sz="0" w:space="0" w:color="auto"/>
            <w:right w:val="none" w:sz="0" w:space="0" w:color="auto"/>
          </w:divBdr>
        </w:div>
      </w:divsChild>
    </w:div>
    <w:div w:id="1846631361">
      <w:bodyDiv w:val="1"/>
      <w:marLeft w:val="0"/>
      <w:marRight w:val="0"/>
      <w:marTop w:val="0"/>
      <w:marBottom w:val="0"/>
      <w:divBdr>
        <w:top w:val="none" w:sz="0" w:space="0" w:color="auto"/>
        <w:left w:val="none" w:sz="0" w:space="0" w:color="auto"/>
        <w:bottom w:val="none" w:sz="0" w:space="0" w:color="auto"/>
        <w:right w:val="none" w:sz="0" w:space="0" w:color="auto"/>
      </w:divBdr>
      <w:divsChild>
        <w:div w:id="229776726">
          <w:marLeft w:val="0"/>
          <w:marRight w:val="0"/>
          <w:marTop w:val="90"/>
          <w:marBottom w:val="0"/>
          <w:divBdr>
            <w:top w:val="none" w:sz="0" w:space="0" w:color="auto"/>
            <w:left w:val="none" w:sz="0" w:space="0" w:color="auto"/>
            <w:bottom w:val="none" w:sz="0" w:space="0" w:color="auto"/>
            <w:right w:val="none" w:sz="0" w:space="0" w:color="auto"/>
          </w:divBdr>
          <w:divsChild>
            <w:div w:id="613486974">
              <w:marLeft w:val="0"/>
              <w:marRight w:val="0"/>
              <w:marTop w:val="0"/>
              <w:marBottom w:val="0"/>
              <w:divBdr>
                <w:top w:val="none" w:sz="0" w:space="0" w:color="auto"/>
                <w:left w:val="none" w:sz="0" w:space="0" w:color="auto"/>
                <w:bottom w:val="none" w:sz="0" w:space="0" w:color="auto"/>
                <w:right w:val="none" w:sz="0" w:space="0" w:color="auto"/>
              </w:divBdr>
              <w:divsChild>
                <w:div w:id="1079207877">
                  <w:marLeft w:val="0"/>
                  <w:marRight w:val="0"/>
                  <w:marTop w:val="150"/>
                  <w:marBottom w:val="0"/>
                  <w:divBdr>
                    <w:top w:val="none" w:sz="0" w:space="0" w:color="auto"/>
                    <w:left w:val="none" w:sz="0" w:space="0" w:color="auto"/>
                    <w:bottom w:val="none" w:sz="0" w:space="0" w:color="auto"/>
                    <w:right w:val="none" w:sz="0" w:space="0" w:color="auto"/>
                  </w:divBdr>
                  <w:divsChild>
                    <w:div w:id="1063523875">
                      <w:marLeft w:val="0"/>
                      <w:marRight w:val="0"/>
                      <w:marTop w:val="0"/>
                      <w:marBottom w:val="0"/>
                      <w:divBdr>
                        <w:top w:val="none" w:sz="0" w:space="0" w:color="auto"/>
                        <w:left w:val="single" w:sz="6" w:space="8" w:color="68BC80"/>
                        <w:bottom w:val="none" w:sz="0" w:space="0" w:color="auto"/>
                        <w:right w:val="single" w:sz="6" w:space="8" w:color="68BC80"/>
                      </w:divBdr>
                      <w:divsChild>
                        <w:div w:id="710496760">
                          <w:marLeft w:val="0"/>
                          <w:marRight w:val="0"/>
                          <w:marTop w:val="0"/>
                          <w:marBottom w:val="0"/>
                          <w:divBdr>
                            <w:top w:val="none" w:sz="0" w:space="0" w:color="auto"/>
                            <w:left w:val="none" w:sz="0" w:space="0" w:color="auto"/>
                            <w:bottom w:val="none" w:sz="0" w:space="0" w:color="auto"/>
                            <w:right w:val="none" w:sz="0" w:space="0" w:color="auto"/>
                          </w:divBdr>
                          <w:divsChild>
                            <w:div w:id="2763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31200">
      <w:bodyDiv w:val="1"/>
      <w:marLeft w:val="0"/>
      <w:marRight w:val="0"/>
      <w:marTop w:val="0"/>
      <w:marBottom w:val="0"/>
      <w:divBdr>
        <w:top w:val="none" w:sz="0" w:space="0" w:color="auto"/>
        <w:left w:val="none" w:sz="0" w:space="0" w:color="auto"/>
        <w:bottom w:val="none" w:sz="0" w:space="0" w:color="auto"/>
        <w:right w:val="none" w:sz="0" w:space="0" w:color="auto"/>
      </w:divBdr>
    </w:div>
    <w:div w:id="197120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chart" Target="charts/chart14.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chart" Target="charts/chart1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2.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___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___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__15.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c:f>
              <c:strCache>
                <c:ptCount val="1"/>
                <c:pt idx="0">
                  <c:v>地区生产总值三次产业</c:v>
                </c:pt>
              </c:strCache>
            </c:strRef>
          </c:tx>
          <c:explosion val="25"/>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2177328843995511"/>
                  <c:y val="5.522682445759367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宋体" panose="02010600030101010101" pitchFamily="2" charset="-122"/>
                        <a:ea typeface="宋体" panose="02010600030101010101" pitchFamily="2" charset="-122"/>
                        <a:cs typeface="+mn-cs"/>
                      </a:defRPr>
                    </a:pPr>
                    <a:r>
                      <a:rPr lang="zh-CN" altLang="en-US">
                        <a:latin typeface="宋体" panose="02010600030101010101" pitchFamily="2" charset="-122"/>
                        <a:ea typeface="宋体" panose="02010600030101010101" pitchFamily="2" charset="-122"/>
                      </a:rPr>
                      <a:t>第一产业</a:t>
                    </a:r>
                    <a:r>
                      <a:rPr lang="en-US" altLang="zh-CN">
                        <a:latin typeface="宋体" panose="02010600030101010101" pitchFamily="2" charset="-122"/>
                        <a:ea typeface="宋体" panose="02010600030101010101" pitchFamily="2" charset="-122"/>
                      </a:rPr>
                      <a:t>, 
1.33</a:t>
                    </a:r>
                    <a:r>
                      <a:rPr lang="zh-CN" altLang="en-US">
                        <a:latin typeface="宋体" panose="02010600030101010101" pitchFamily="2" charset="-122"/>
                        <a:ea typeface="宋体" panose="02010600030101010101" pitchFamily="2" charset="-122"/>
                      </a:rPr>
                      <a:t>亿元 </a:t>
                    </a:r>
                    <a:r>
                      <a:rPr lang="en-US" altLang="zh-CN">
                        <a:latin typeface="宋体" panose="02010600030101010101" pitchFamily="2" charset="-122"/>
                        <a:ea typeface="宋体" panose="02010600030101010101" pitchFamily="2" charset="-122"/>
                      </a:rPr>
                      <a:t>, 
</a:t>
                    </a:r>
                    <a:r>
                      <a:rPr lang="zh-CN" altLang="en-US">
                        <a:latin typeface="宋体" panose="02010600030101010101" pitchFamily="2" charset="-122"/>
                        <a:ea typeface="宋体" panose="02010600030101010101" pitchFamily="2" charset="-122"/>
                      </a:rPr>
                      <a:t>占</a:t>
                    </a:r>
                    <a:r>
                      <a:rPr lang="en-US" altLang="zh-CN">
                        <a:latin typeface="宋体" panose="02010600030101010101" pitchFamily="2" charset="-122"/>
                        <a:ea typeface="宋体" panose="02010600030101010101" pitchFamily="2" charset="-122"/>
                      </a:rPr>
                      <a:t>0.04%</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宋体" panose="02010600030101010101" pitchFamily="2" charset="-122"/>
                      <a:ea typeface="宋体" panose="02010600030101010101" pitchFamily="2" charset="-122"/>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3692480359147033"/>
                  <c:y val="6.706114398422090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宋体" panose="02010600030101010101" pitchFamily="2" charset="-122"/>
                        <a:ea typeface="宋体" panose="02010600030101010101" pitchFamily="2" charset="-122"/>
                        <a:cs typeface="+mn-cs"/>
                      </a:defRPr>
                    </a:pPr>
                    <a:r>
                      <a:rPr lang="zh-CN" altLang="en-US">
                        <a:latin typeface="宋体" panose="02010600030101010101" pitchFamily="2" charset="-122"/>
                        <a:ea typeface="宋体" panose="02010600030101010101" pitchFamily="2" charset="-122"/>
                      </a:rPr>
                      <a:t>第二产业</a:t>
                    </a:r>
                    <a:r>
                      <a:rPr lang="en-US" altLang="zh-CN">
                        <a:latin typeface="宋体" panose="02010600030101010101" pitchFamily="2" charset="-122"/>
                        <a:ea typeface="宋体" panose="02010600030101010101" pitchFamily="2" charset="-122"/>
                      </a:rPr>
                      <a:t>, 201.38</a:t>
                    </a:r>
                    <a:r>
                      <a:rPr lang="zh-CN" altLang="en-US">
                        <a:latin typeface="宋体" panose="02010600030101010101" pitchFamily="2" charset="-122"/>
                        <a:ea typeface="宋体" panose="02010600030101010101" pitchFamily="2" charset="-122"/>
                      </a:rPr>
                      <a:t>亿元 </a:t>
                    </a:r>
                    <a:r>
                      <a:rPr lang="en-US" altLang="zh-CN">
                        <a:latin typeface="宋体" panose="02010600030101010101" pitchFamily="2" charset="-122"/>
                        <a:ea typeface="宋体" panose="02010600030101010101" pitchFamily="2" charset="-122"/>
                      </a:rPr>
                      <a:t>, 
</a:t>
                    </a:r>
                    <a:r>
                      <a:rPr lang="zh-CN" altLang="en-US">
                        <a:latin typeface="宋体" panose="02010600030101010101" pitchFamily="2" charset="-122"/>
                        <a:ea typeface="宋体" panose="02010600030101010101" pitchFamily="2" charset="-122"/>
                      </a:rPr>
                      <a:t>占</a:t>
                    </a:r>
                    <a:r>
                      <a:rPr lang="en-US" altLang="zh-CN">
                        <a:latin typeface="宋体" panose="02010600030101010101" pitchFamily="2" charset="-122"/>
                        <a:ea typeface="宋体" panose="02010600030101010101" pitchFamily="2" charset="-122"/>
                      </a:rPr>
                      <a:t>6.81%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宋体" panose="02010600030101010101" pitchFamily="2" charset="-122"/>
                      <a:ea typeface="宋体" panose="02010600030101010101" pitchFamily="2" charset="-122"/>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9.6520763187429859E-2"/>
                  <c:y val="-2.36686390532544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宋体" panose="02010600030101010101" pitchFamily="2" charset="-122"/>
                        <a:ea typeface="宋体" panose="02010600030101010101" pitchFamily="2" charset="-122"/>
                        <a:cs typeface="+mn-cs"/>
                      </a:defRPr>
                    </a:pPr>
                    <a:r>
                      <a:rPr lang="zh-CN" altLang="en-US">
                        <a:latin typeface="宋体" panose="02010600030101010101" pitchFamily="2" charset="-122"/>
                        <a:ea typeface="宋体" panose="02010600030101010101" pitchFamily="2" charset="-122"/>
                      </a:rPr>
                      <a:t>第三产业</a:t>
                    </a:r>
                    <a:r>
                      <a:rPr lang="en-US" altLang="zh-CN">
                        <a:latin typeface="宋体" panose="02010600030101010101" pitchFamily="2" charset="-122"/>
                        <a:ea typeface="宋体" panose="02010600030101010101" pitchFamily="2" charset="-122"/>
                      </a:rPr>
                      <a:t>, 2756.14</a:t>
                    </a:r>
                    <a:r>
                      <a:rPr lang="zh-CN" altLang="en-US">
                        <a:latin typeface="宋体" panose="02010600030101010101" pitchFamily="2" charset="-122"/>
                        <a:ea typeface="宋体" panose="02010600030101010101" pitchFamily="2" charset="-122"/>
                      </a:rPr>
                      <a:t>亿元 </a:t>
                    </a:r>
                    <a:r>
                      <a:rPr lang="en-US" altLang="zh-CN">
                        <a:latin typeface="宋体" panose="02010600030101010101" pitchFamily="2" charset="-122"/>
                        <a:ea typeface="宋体" panose="02010600030101010101" pitchFamily="2" charset="-122"/>
                      </a:rPr>
                      <a:t>, 
</a:t>
                    </a:r>
                    <a:r>
                      <a:rPr lang="zh-CN" altLang="en-US">
                        <a:latin typeface="宋体" panose="02010600030101010101" pitchFamily="2" charset="-122"/>
                        <a:ea typeface="宋体" panose="02010600030101010101" pitchFamily="2" charset="-122"/>
                      </a:rPr>
                      <a:t>占</a:t>
                    </a:r>
                    <a:r>
                      <a:rPr lang="en-US" altLang="zh-CN">
                        <a:latin typeface="宋体" panose="02010600030101010101" pitchFamily="2" charset="-122"/>
                        <a:ea typeface="宋体" panose="02010600030101010101" pitchFamily="2" charset="-122"/>
                      </a:rPr>
                      <a:t>93.15%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宋体" panose="02010600030101010101" pitchFamily="2" charset="-122"/>
                      <a:ea typeface="宋体" panose="02010600030101010101" pitchFamily="2" charset="-122"/>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宋体" panose="02010600030101010101" pitchFamily="2" charset="-122"/>
                    <a:ea typeface="宋体" panose="02010600030101010101" pitchFamily="2" charset="-122"/>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Sheet1!$B$1:$D$1</c:f>
              <c:strCache>
                <c:ptCount val="3"/>
                <c:pt idx="0">
                  <c:v>第一产业</c:v>
                </c:pt>
                <c:pt idx="1">
                  <c:v>第二产业</c:v>
                </c:pt>
                <c:pt idx="2">
                  <c:v>第三产业</c:v>
                </c:pt>
              </c:strCache>
            </c:strRef>
          </c:cat>
          <c:val>
            <c:numRef>
              <c:f>Sheet1!$B$2:$D$2</c:f>
              <c:numCache>
                <c:formatCode>0.00_ </c:formatCode>
                <c:ptCount val="3"/>
                <c:pt idx="0">
                  <c:v>1.33</c:v>
                </c:pt>
                <c:pt idx="1">
                  <c:v>201.38</c:v>
                </c:pt>
                <c:pt idx="2">
                  <c:v>2756.14</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出口总额（亿美元）</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8144078144078144E-2"/>
                  <c:y val="-0.21031746031746035"/>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17582417582417573"/>
                  <c:y val="0.13492063492063491"/>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9.7680097680097708E-2"/>
                  <c:y val="-0.1984126984126984"/>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一般贸易</c:v>
                </c:pt>
                <c:pt idx="1">
                  <c:v>加工贸易</c:v>
                </c:pt>
                <c:pt idx="2">
                  <c:v>其它贸易</c:v>
                </c:pt>
              </c:strCache>
            </c:strRef>
          </c:cat>
          <c:val>
            <c:numRef>
              <c:f>Sheet1!$B$2:$B$4</c:f>
              <c:numCache>
                <c:formatCode>0.00;[Red]0.00</c:formatCode>
                <c:ptCount val="3"/>
                <c:pt idx="0">
                  <c:v>171.2</c:v>
                </c:pt>
                <c:pt idx="1">
                  <c:v>131.43</c:v>
                </c:pt>
                <c:pt idx="2">
                  <c:v>169.54</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2431522982705"/>
          <c:y val="0.11058732412546793"/>
          <c:w val="0.75280469748973688"/>
          <c:h val="0.77008218235015702"/>
        </c:manualLayout>
      </c:layout>
      <c:doughnutChart>
        <c:varyColors val="1"/>
        <c:ser>
          <c:idx val="0"/>
          <c:order val="0"/>
          <c:tx>
            <c:strRef>
              <c:f>Sheet1!$B$1</c:f>
              <c:strCache>
                <c:ptCount val="1"/>
                <c:pt idx="0">
                  <c:v>出口总额（亿美元）</c:v>
                </c:pt>
              </c:strCache>
            </c:strRef>
          </c:tx>
          <c:dPt>
            <c:idx val="0"/>
            <c:bubble3D val="0"/>
            <c:spPr>
              <a:solidFill>
                <a:schemeClr val="bg1">
                  <a:lumMod val="85000"/>
                </a:schemeClr>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27053140096618356"/>
                  <c:y val="-9.6385542168674704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35265700483091794"/>
                  <c:y val="1.9326700928850814E-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初级产品</c:v>
                </c:pt>
                <c:pt idx="1">
                  <c:v>工业制成品</c:v>
                </c:pt>
              </c:strCache>
            </c:strRef>
          </c:cat>
          <c:val>
            <c:numRef>
              <c:f>Sheet1!$B$2:$B$3</c:f>
              <c:numCache>
                <c:formatCode>0.00;[Red]0.00</c:formatCode>
                <c:ptCount val="2"/>
                <c:pt idx="0">
                  <c:v>18.600000000000001</c:v>
                </c:pt>
                <c:pt idx="1">
                  <c:v>453.57</c:v>
                </c:pt>
              </c:numCache>
            </c:numRef>
          </c:val>
        </c:ser>
        <c:dLbls>
          <c:showLegendKey val="0"/>
          <c:showVal val="1"/>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21821897886725"/>
          <c:y val="6.8967084032528728E-2"/>
          <c:w val="0.78209459459459463"/>
          <c:h val="0.70268783615162866"/>
        </c:manualLayout>
      </c:layout>
      <c:barChart>
        <c:barDir val="col"/>
        <c:grouping val="clustered"/>
        <c:varyColors val="0"/>
        <c:ser>
          <c:idx val="1"/>
          <c:order val="0"/>
          <c:tx>
            <c:strRef>
              <c:f>Sheet1!$A$2</c:f>
              <c:strCache>
                <c:ptCount val="1"/>
                <c:pt idx="0">
                  <c:v>公共财政预算收入（亿元）</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1.552967276760958E-2"/>
                  <c:y val="2.185792349726771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6595050315162543E-2"/>
                  <c:y val="2.210689985196245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5.7169459474803584E-2"/>
                  <c:y val="7.5779871778322752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0_ "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2010年</c:v>
                </c:pt>
                <c:pt idx="1">
                  <c:v>2011年</c:v>
                </c:pt>
                <c:pt idx="2">
                  <c:v>2012年</c:v>
                </c:pt>
                <c:pt idx="3">
                  <c:v>2013年</c:v>
                </c:pt>
                <c:pt idx="4">
                  <c:v>2014年</c:v>
                </c:pt>
              </c:strCache>
            </c:strRef>
          </c:cat>
          <c:val>
            <c:numRef>
              <c:f>Sheet1!$B$2:$F$2</c:f>
              <c:numCache>
                <c:formatCode>0.00_ </c:formatCode>
                <c:ptCount val="5"/>
                <c:pt idx="0">
                  <c:v>69.27</c:v>
                </c:pt>
                <c:pt idx="1">
                  <c:v>91.66</c:v>
                </c:pt>
                <c:pt idx="2">
                  <c:v>93.62</c:v>
                </c:pt>
                <c:pt idx="3">
                  <c:v>97.03</c:v>
                </c:pt>
                <c:pt idx="4">
                  <c:v>120.58</c:v>
                </c:pt>
              </c:numCache>
            </c:numRef>
          </c:val>
        </c:ser>
        <c:dLbls>
          <c:showLegendKey val="0"/>
          <c:showVal val="0"/>
          <c:showCatName val="0"/>
          <c:showSerName val="0"/>
          <c:showPercent val="0"/>
          <c:showBubbleSize val="0"/>
        </c:dLbls>
        <c:gapWidth val="150"/>
        <c:axId val="672467768"/>
        <c:axId val="672466200"/>
      </c:barChart>
      <c:lineChart>
        <c:grouping val="standard"/>
        <c:varyColors val="0"/>
        <c:ser>
          <c:idx val="0"/>
          <c:order val="1"/>
          <c:tx>
            <c:strRef>
              <c:f>Sheet1!$A$3</c:f>
              <c:strCache>
                <c:ptCount val="1"/>
                <c:pt idx="0">
                  <c:v>增长速度（%）</c:v>
                </c:pt>
              </c:strCache>
            </c:strRef>
          </c:tx>
          <c:spPr>
            <a:ln w="34925" cap="rnd">
              <a:solidFill>
                <a:schemeClr val="accent6"/>
              </a:solidFill>
              <a:round/>
            </a:ln>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dPt>
            <c:idx val="2"/>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bubble3D val="0"/>
          </c:dPt>
          <c:dLbls>
            <c:dLbl>
              <c:idx val="1"/>
              <c:layout>
                <c:manualLayout>
                  <c:x val="1.1891991038557785E-2"/>
                  <c:y val="-3.149571877285839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5541376795454564E-2"/>
                  <c:y val="-6.305890452218071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1.9720064110122674E-2"/>
                  <c:y val="-2.07257863258895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1.1194640603368838E-2"/>
                  <c:y val="-6.2634137945872317E-3"/>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_ "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2010年</c:v>
                </c:pt>
                <c:pt idx="1">
                  <c:v>2011年</c:v>
                </c:pt>
                <c:pt idx="2">
                  <c:v>2012年</c:v>
                </c:pt>
                <c:pt idx="3">
                  <c:v>2013年</c:v>
                </c:pt>
                <c:pt idx="4">
                  <c:v>2014年</c:v>
                </c:pt>
              </c:strCache>
            </c:strRef>
          </c:cat>
          <c:val>
            <c:numRef>
              <c:f>Sheet1!$B$3:$F$3</c:f>
              <c:numCache>
                <c:formatCode>0.0_ </c:formatCode>
                <c:ptCount val="5"/>
                <c:pt idx="0">
                  <c:v>48.3</c:v>
                </c:pt>
                <c:pt idx="1">
                  <c:v>32.299999999999997</c:v>
                </c:pt>
                <c:pt idx="2">
                  <c:v>2.2000000000000002</c:v>
                </c:pt>
                <c:pt idx="3">
                  <c:v>3.6</c:v>
                </c:pt>
                <c:pt idx="4">
                  <c:v>24.3</c:v>
                </c:pt>
              </c:numCache>
            </c:numRef>
          </c:val>
          <c:smooth val="0"/>
        </c:ser>
        <c:dLbls>
          <c:showLegendKey val="0"/>
          <c:showVal val="0"/>
          <c:showCatName val="0"/>
          <c:showSerName val="0"/>
          <c:showPercent val="0"/>
          <c:showBubbleSize val="0"/>
        </c:dLbls>
        <c:marker val="1"/>
        <c:smooth val="0"/>
        <c:axId val="672466592"/>
        <c:axId val="672466984"/>
      </c:lineChart>
      <c:catAx>
        <c:axId val="672467768"/>
        <c:scaling>
          <c:orientation val="minMax"/>
        </c:scaling>
        <c:delete val="0"/>
        <c:axPos val="b"/>
        <c:numFmt formatCode="0_ " sourceLinked="0"/>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66200"/>
        <c:crosses val="autoZero"/>
        <c:auto val="0"/>
        <c:lblAlgn val="ctr"/>
        <c:lblOffset val="100"/>
        <c:tickLblSkip val="1"/>
        <c:tickMarkSkip val="1"/>
        <c:noMultiLvlLbl val="0"/>
      </c:catAx>
      <c:valAx>
        <c:axId val="672466200"/>
        <c:scaling>
          <c:orientation val="minMax"/>
        </c:scaling>
        <c:delete val="0"/>
        <c:axPos val="l"/>
        <c:majorGridlines>
          <c:spPr>
            <a:ln w="6350" cap="flat" cmpd="sng" algn="ctr">
              <a:solidFill>
                <a:schemeClr val="accent3"/>
              </a:solidFill>
              <a:prstDash val="solid"/>
              <a:miter lim="800000"/>
            </a:ln>
            <a:effectLst/>
          </c:spPr>
        </c:majorGridlines>
        <c:numFmt formatCode="0.00_ "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67768"/>
        <c:crosses val="autoZero"/>
        <c:crossBetween val="between"/>
      </c:valAx>
      <c:catAx>
        <c:axId val="672466592"/>
        <c:scaling>
          <c:orientation val="minMax"/>
        </c:scaling>
        <c:delete val="1"/>
        <c:axPos val="b"/>
        <c:numFmt formatCode="General" sourceLinked="1"/>
        <c:majorTickMark val="none"/>
        <c:minorTickMark val="none"/>
        <c:tickLblPos val="nextTo"/>
        <c:crossAx val="672466984"/>
        <c:crosses val="autoZero"/>
        <c:auto val="0"/>
        <c:lblAlgn val="ctr"/>
        <c:lblOffset val="100"/>
        <c:noMultiLvlLbl val="0"/>
      </c:catAx>
      <c:valAx>
        <c:axId val="672466984"/>
        <c:scaling>
          <c:orientation val="minMax"/>
        </c:scaling>
        <c:delete val="0"/>
        <c:axPos val="r"/>
        <c:numFmt formatCode="0.0_ "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66592"/>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医院病床数（张）</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宋体" panose="02010600030101010101" pitchFamily="2" charset="-122"/>
                    <a:ea typeface="宋体" panose="02010600030101010101" pitchFamily="2" charset="-122"/>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2010年</c:v>
                </c:pt>
                <c:pt idx="1">
                  <c:v>2011年</c:v>
                </c:pt>
                <c:pt idx="2">
                  <c:v>2012年</c:v>
                </c:pt>
                <c:pt idx="3">
                  <c:v>2013年</c:v>
                </c:pt>
                <c:pt idx="4">
                  <c:v>2014年</c:v>
                </c:pt>
              </c:strCache>
            </c:strRef>
          </c:cat>
          <c:val>
            <c:numRef>
              <c:f>Sheet1!$B$2:$B$6</c:f>
              <c:numCache>
                <c:formatCode>General</c:formatCode>
                <c:ptCount val="5"/>
                <c:pt idx="0">
                  <c:v>5081</c:v>
                </c:pt>
                <c:pt idx="1">
                  <c:v>5711</c:v>
                </c:pt>
                <c:pt idx="2">
                  <c:v>6126</c:v>
                </c:pt>
                <c:pt idx="3">
                  <c:v>6513</c:v>
                </c:pt>
                <c:pt idx="4">
                  <c:v>7211</c:v>
                </c:pt>
              </c:numCache>
            </c:numRef>
          </c:val>
        </c:ser>
        <c:dLbls>
          <c:dLblPos val="inEnd"/>
          <c:showLegendKey val="0"/>
          <c:showVal val="1"/>
          <c:showCatName val="0"/>
          <c:showSerName val="0"/>
          <c:showPercent val="0"/>
          <c:showBubbleSize val="0"/>
        </c:dLbls>
        <c:gapWidth val="41"/>
        <c:axId val="540109024"/>
        <c:axId val="675031368"/>
      </c:barChart>
      <c:catAx>
        <c:axId val="540109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effectLst/>
                <a:latin typeface="宋体" panose="02010600030101010101" pitchFamily="2" charset="-122"/>
                <a:ea typeface="宋体" panose="02010600030101010101" pitchFamily="2" charset="-122"/>
                <a:cs typeface="+mn-cs"/>
              </a:defRPr>
            </a:pPr>
            <a:endParaRPr lang="zh-CN"/>
          </a:p>
        </c:txPr>
        <c:crossAx val="675031368"/>
        <c:crosses val="autoZero"/>
        <c:auto val="1"/>
        <c:lblAlgn val="ctr"/>
        <c:lblOffset val="100"/>
        <c:noMultiLvlLbl val="0"/>
      </c:catAx>
      <c:valAx>
        <c:axId val="675031368"/>
        <c:scaling>
          <c:orientation val="minMax"/>
        </c:scaling>
        <c:delete val="1"/>
        <c:axPos val="l"/>
        <c:numFmt formatCode="General" sourceLinked="1"/>
        <c:majorTickMark val="none"/>
        <c:minorTickMark val="none"/>
        <c:tickLblPos val="nextTo"/>
        <c:crossAx val="54010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人数（万人）</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养老保险</c:v>
                </c:pt>
                <c:pt idx="1">
                  <c:v>医疗保险</c:v>
                </c:pt>
                <c:pt idx="2">
                  <c:v>工伤保险</c:v>
                </c:pt>
                <c:pt idx="3">
                  <c:v>失业保险</c:v>
                </c:pt>
                <c:pt idx="4">
                  <c:v>生育医疗保险</c:v>
                </c:pt>
              </c:strCache>
            </c:strRef>
          </c:cat>
          <c:val>
            <c:numRef>
              <c:f>Sheet1!$B$2:$B$6</c:f>
              <c:numCache>
                <c:formatCode>General</c:formatCode>
                <c:ptCount val="5"/>
                <c:pt idx="0">
                  <c:v>199.18</c:v>
                </c:pt>
                <c:pt idx="1">
                  <c:v>253.23</c:v>
                </c:pt>
                <c:pt idx="2">
                  <c:v>203.03</c:v>
                </c:pt>
                <c:pt idx="3">
                  <c:v>201.72</c:v>
                </c:pt>
                <c:pt idx="4">
                  <c:v>193.48</c:v>
                </c:pt>
              </c:numCache>
            </c:numRef>
          </c:val>
        </c:ser>
        <c:dLbls>
          <c:showLegendKey val="0"/>
          <c:showVal val="1"/>
          <c:showCatName val="0"/>
          <c:showSerName val="0"/>
          <c:showPercent val="0"/>
          <c:showBubbleSize val="0"/>
        </c:dLbls>
        <c:gapWidth val="150"/>
        <c:shape val="box"/>
        <c:axId val="675031760"/>
        <c:axId val="675032152"/>
        <c:axId val="0"/>
      </c:bar3DChart>
      <c:catAx>
        <c:axId val="675031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5032152"/>
        <c:crosses val="autoZero"/>
        <c:auto val="1"/>
        <c:lblAlgn val="ctr"/>
        <c:lblOffset val="100"/>
        <c:noMultiLvlLbl val="0"/>
      </c:catAx>
      <c:valAx>
        <c:axId val="67503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503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户籍人口（万人）</c:v>
                </c:pt>
              </c:strCache>
            </c:strRef>
          </c:tx>
          <c:spPr>
            <a:solidFill>
              <a:schemeClr val="accent6">
                <a:lumMod val="20000"/>
                <a:lumOff val="80000"/>
              </a:schemeClr>
            </a:solidFill>
            <a:ln>
              <a:noFill/>
            </a:ln>
            <a:effectLst/>
            <a:sp3d/>
          </c:spPr>
          <c:invertIfNegative val="0"/>
          <c:dLbls>
            <c:dLbl>
              <c:idx val="0"/>
              <c:layout>
                <c:manualLayout>
                  <c:x val="-2.0268791097345261E-17"/>
                  <c:y val="0.1052631578947369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223327805416948E-3"/>
                  <c:y val="0.1052631578947367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8446655610833896E-3"/>
                  <c:y val="0.10916179337231968"/>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111663902707867E-3"/>
                  <c:y val="0.1169590643274853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223327805417356E-3"/>
                  <c:y val="0.1520467836257309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2010年</c:v>
                </c:pt>
                <c:pt idx="1">
                  <c:v>2011年</c:v>
                </c:pt>
                <c:pt idx="2">
                  <c:v>2012年</c:v>
                </c:pt>
                <c:pt idx="3">
                  <c:v>2013年</c:v>
                </c:pt>
                <c:pt idx="4">
                  <c:v>2014年</c:v>
                </c:pt>
              </c:strCache>
            </c:strRef>
          </c:cat>
          <c:val>
            <c:numRef>
              <c:f>Sheet1!$B$2:$B$6</c:f>
              <c:numCache>
                <c:formatCode>0.00_ </c:formatCode>
                <c:ptCount val="5"/>
                <c:pt idx="0">
                  <c:v>61.32</c:v>
                </c:pt>
                <c:pt idx="1">
                  <c:v>66.7</c:v>
                </c:pt>
                <c:pt idx="2">
                  <c:v>73.02</c:v>
                </c:pt>
                <c:pt idx="3">
                  <c:v>78.319999999999993</c:v>
                </c:pt>
                <c:pt idx="4">
                  <c:v>83.35</c:v>
                </c:pt>
              </c:numCache>
            </c:numRef>
          </c:val>
        </c:ser>
        <c:ser>
          <c:idx val="1"/>
          <c:order val="1"/>
          <c:tx>
            <c:strRef>
              <c:f>Sheet1!$C$1</c:f>
              <c:strCache>
                <c:ptCount val="1"/>
                <c:pt idx="0">
                  <c:v>非户籍人口（万人）</c:v>
                </c:pt>
              </c:strCache>
            </c:strRef>
          </c:tx>
          <c:spPr>
            <a:solidFill>
              <a:schemeClr val="accent1">
                <a:lumMod val="50000"/>
              </a:schemeClr>
            </a:solidFill>
            <a:ln>
              <a:noFill/>
            </a:ln>
            <a:effectLst/>
            <a:sp3d/>
          </c:spPr>
          <c:invertIfNegative val="0"/>
          <c:dLbls>
            <c:dLbl>
              <c:idx val="2"/>
              <c:layout>
                <c:manualLayout>
                  <c:x val="2.6533996683250415E-2"/>
                  <c:y val="-7.7972709551656916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478164731896156E-2"/>
                  <c:y val="-2.339181286549707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16749585406302E-2"/>
                  <c:y val="-2.33918128654970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2010年</c:v>
                </c:pt>
                <c:pt idx="1">
                  <c:v>2011年</c:v>
                </c:pt>
                <c:pt idx="2">
                  <c:v>2012年</c:v>
                </c:pt>
                <c:pt idx="3">
                  <c:v>2013年</c:v>
                </c:pt>
                <c:pt idx="4">
                  <c:v>2014年</c:v>
                </c:pt>
              </c:strCache>
            </c:strRef>
          </c:cat>
          <c:val>
            <c:numRef>
              <c:f>Sheet1!$C$2:$C$6</c:f>
              <c:numCache>
                <c:formatCode>0.00_ </c:formatCode>
                <c:ptCount val="5"/>
                <c:pt idx="0">
                  <c:v>70.64</c:v>
                </c:pt>
                <c:pt idx="1">
                  <c:v>65.819999999999993</c:v>
                </c:pt>
                <c:pt idx="2">
                  <c:v>60.03</c:v>
                </c:pt>
                <c:pt idx="3">
                  <c:v>55.63</c:v>
                </c:pt>
                <c:pt idx="4">
                  <c:v>52.36</c:v>
                </c:pt>
              </c:numCache>
            </c:numRef>
          </c:val>
        </c:ser>
        <c:dLbls>
          <c:showLegendKey val="0"/>
          <c:showVal val="1"/>
          <c:showCatName val="0"/>
          <c:showSerName val="0"/>
          <c:showPercent val="0"/>
          <c:showBubbleSize val="0"/>
        </c:dLbls>
        <c:gapWidth val="150"/>
        <c:shape val="box"/>
        <c:axId val="675032936"/>
        <c:axId val="675033328"/>
        <c:axId val="675128032"/>
      </c:bar3DChart>
      <c:catAx>
        <c:axId val="675032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5033328"/>
        <c:crosses val="autoZero"/>
        <c:auto val="1"/>
        <c:lblAlgn val="ctr"/>
        <c:lblOffset val="100"/>
        <c:noMultiLvlLbl val="0"/>
      </c:catAx>
      <c:valAx>
        <c:axId val="675033328"/>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5032936"/>
        <c:crosses val="autoZero"/>
        <c:crossBetween val="between"/>
      </c:valAx>
      <c:serAx>
        <c:axId val="675128032"/>
        <c:scaling>
          <c:orientation val="minMax"/>
        </c:scaling>
        <c:delete val="1"/>
        <c:axPos val="b"/>
        <c:majorTickMark val="none"/>
        <c:minorTickMark val="none"/>
        <c:tickLblPos val="nextTo"/>
        <c:crossAx val="67503332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1081081081081"/>
          <c:y val="6.0223914633621624E-2"/>
          <c:w val="0.78209459459459463"/>
          <c:h val="0.64585723505873238"/>
        </c:manualLayout>
      </c:layout>
      <c:barChart>
        <c:barDir val="col"/>
        <c:grouping val="clustered"/>
        <c:varyColors val="0"/>
        <c:ser>
          <c:idx val="1"/>
          <c:order val="0"/>
          <c:tx>
            <c:strRef>
              <c:f>Sheet1!$A$2</c:f>
              <c:strCache>
                <c:ptCount val="1"/>
                <c:pt idx="0">
                  <c:v>地区生产总值（亿元）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1.552967276760958E-2"/>
                  <c:y val="2.185792349726771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6595050315162543E-2"/>
                  <c:y val="2.210689985196245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5.7169459474803584E-2"/>
                  <c:y val="7.5779871778322752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0_ "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2010年</c:v>
                </c:pt>
                <c:pt idx="1">
                  <c:v>2011年</c:v>
                </c:pt>
                <c:pt idx="2">
                  <c:v>2012年</c:v>
                </c:pt>
                <c:pt idx="3">
                  <c:v>2013年</c:v>
                </c:pt>
                <c:pt idx="4">
                  <c:v>2014年</c:v>
                </c:pt>
              </c:strCache>
            </c:strRef>
          </c:cat>
          <c:val>
            <c:numRef>
              <c:f>Sheet1!$B$2:$F$2</c:f>
              <c:numCache>
                <c:formatCode>0.00_ </c:formatCode>
                <c:ptCount val="5"/>
                <c:pt idx="0">
                  <c:v>1855.35</c:v>
                </c:pt>
                <c:pt idx="1">
                  <c:v>2099.09</c:v>
                </c:pt>
                <c:pt idx="2">
                  <c:v>2372.5</c:v>
                </c:pt>
                <c:pt idx="3">
                  <c:v>2700.29</c:v>
                </c:pt>
                <c:pt idx="4">
                  <c:v>2958.85</c:v>
                </c:pt>
              </c:numCache>
            </c:numRef>
          </c:val>
        </c:ser>
        <c:dLbls>
          <c:showLegendKey val="0"/>
          <c:showVal val="0"/>
          <c:showCatName val="0"/>
          <c:showSerName val="0"/>
          <c:showPercent val="0"/>
          <c:showBubbleSize val="0"/>
        </c:dLbls>
        <c:gapWidth val="150"/>
        <c:axId val="672480704"/>
        <c:axId val="672479920"/>
      </c:barChart>
      <c:lineChart>
        <c:grouping val="standard"/>
        <c:varyColors val="0"/>
        <c:ser>
          <c:idx val="0"/>
          <c:order val="1"/>
          <c:tx>
            <c:strRef>
              <c:f>Sheet1!$A$3</c:f>
              <c:strCache>
                <c:ptCount val="1"/>
                <c:pt idx="0">
                  <c:v>增长速度（%）</c:v>
                </c:pt>
              </c:strCache>
            </c:strRef>
          </c:tx>
          <c:spPr>
            <a:ln w="12700" cap="flat" cmpd="sng" algn="ctr">
              <a:solidFill>
                <a:schemeClr val="accent1">
                  <a:shade val="50000"/>
                </a:schemeClr>
              </a:solidFill>
              <a:prstDash val="solid"/>
              <a:miter lim="800000"/>
            </a:ln>
            <a:effectLst/>
          </c:spPr>
          <c:marker>
            <c:symbol val="circle"/>
            <c:size val="6"/>
            <c:spPr>
              <a:solidFill>
                <a:schemeClr val="accent1"/>
              </a:solidFill>
              <a:ln w="12700" cap="flat" cmpd="sng" algn="ctr">
                <a:solidFill>
                  <a:schemeClr val="accent1">
                    <a:shade val="50000"/>
                  </a:schemeClr>
                </a:solidFill>
                <a:prstDash val="solid"/>
                <a:miter lim="800000"/>
              </a:ln>
              <a:effectLst/>
            </c:spPr>
          </c:marker>
          <c:dPt>
            <c:idx val="2"/>
            <c:marker>
              <c:symbol val="circle"/>
              <c:size val="6"/>
              <c:spPr>
                <a:solidFill>
                  <a:schemeClr val="accent1"/>
                </a:solidFill>
                <a:ln w="12700" cap="flat" cmpd="sng" algn="ctr">
                  <a:solidFill>
                    <a:schemeClr val="accent1">
                      <a:shade val="50000"/>
                    </a:schemeClr>
                  </a:solidFill>
                  <a:prstDash val="solid"/>
                  <a:miter lim="800000"/>
                </a:ln>
                <a:effectLst/>
              </c:spPr>
            </c:marker>
            <c:bubble3D val="0"/>
          </c:dPt>
          <c:dLbls>
            <c:dLbl>
              <c:idx val="1"/>
              <c:layout>
                <c:manualLayout>
                  <c:x val="-5.8561653941074376E-3"/>
                  <c:y val="-5.772531418729942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8829136301524838E-2"/>
                  <c:y val="-7.180206694367016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3491296398131438E-2"/>
                  <c:y val="-5.56984395005564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7612915954197579E-2"/>
                  <c:y val="4.1824163262268288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_ "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2010年</c:v>
                </c:pt>
                <c:pt idx="1">
                  <c:v>2011年</c:v>
                </c:pt>
                <c:pt idx="2">
                  <c:v>2012年</c:v>
                </c:pt>
                <c:pt idx="3">
                  <c:v>2013年</c:v>
                </c:pt>
                <c:pt idx="4">
                  <c:v>2014年</c:v>
                </c:pt>
              </c:strCache>
            </c:strRef>
          </c:cat>
          <c:val>
            <c:numRef>
              <c:f>Sheet1!$B$3:$F$3</c:f>
              <c:numCache>
                <c:formatCode>0.0_ </c:formatCode>
                <c:ptCount val="5"/>
                <c:pt idx="0">
                  <c:v>10.6</c:v>
                </c:pt>
                <c:pt idx="1">
                  <c:v>8.5</c:v>
                </c:pt>
                <c:pt idx="2">
                  <c:v>9</c:v>
                </c:pt>
                <c:pt idx="3">
                  <c:v>10.3</c:v>
                </c:pt>
                <c:pt idx="4">
                  <c:v>8.9</c:v>
                </c:pt>
              </c:numCache>
            </c:numRef>
          </c:val>
          <c:smooth val="0"/>
        </c:ser>
        <c:dLbls>
          <c:showLegendKey val="0"/>
          <c:showVal val="0"/>
          <c:showCatName val="0"/>
          <c:showSerName val="0"/>
          <c:showPercent val="0"/>
          <c:showBubbleSize val="0"/>
        </c:dLbls>
        <c:marker val="1"/>
        <c:smooth val="0"/>
        <c:axId val="672479136"/>
        <c:axId val="672478744"/>
      </c:lineChart>
      <c:catAx>
        <c:axId val="672480704"/>
        <c:scaling>
          <c:orientation val="minMax"/>
        </c:scaling>
        <c:delete val="0"/>
        <c:axPos val="b"/>
        <c:numFmt formatCode="0_ " sourceLinked="0"/>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9920"/>
        <c:crosses val="autoZero"/>
        <c:auto val="0"/>
        <c:lblAlgn val="ctr"/>
        <c:lblOffset val="100"/>
        <c:tickLblSkip val="1"/>
        <c:tickMarkSkip val="1"/>
        <c:noMultiLvlLbl val="0"/>
      </c:catAx>
      <c:valAx>
        <c:axId val="672479920"/>
        <c:scaling>
          <c:orientation val="minMax"/>
        </c:scaling>
        <c:delete val="0"/>
        <c:axPos val="l"/>
        <c:majorGridlines>
          <c:spPr>
            <a:ln w="6350" cap="flat" cmpd="sng" algn="ctr">
              <a:solidFill>
                <a:schemeClr val="accent3"/>
              </a:solidFill>
              <a:prstDash val="solid"/>
              <a:miter lim="800000"/>
            </a:ln>
            <a:effectLst/>
          </c:spPr>
        </c:majorGridlines>
        <c:numFmt formatCode="0.00_ "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80704"/>
        <c:crosses val="autoZero"/>
        <c:crossBetween val="between"/>
      </c:valAx>
      <c:catAx>
        <c:axId val="672479136"/>
        <c:scaling>
          <c:orientation val="minMax"/>
        </c:scaling>
        <c:delete val="1"/>
        <c:axPos val="b"/>
        <c:numFmt formatCode="General" sourceLinked="1"/>
        <c:majorTickMark val="none"/>
        <c:minorTickMark val="none"/>
        <c:tickLblPos val="nextTo"/>
        <c:crossAx val="672478744"/>
        <c:crosses val="autoZero"/>
        <c:auto val="0"/>
        <c:lblAlgn val="ctr"/>
        <c:lblOffset val="100"/>
        <c:noMultiLvlLbl val="0"/>
      </c:catAx>
      <c:valAx>
        <c:axId val="672478744"/>
        <c:scaling>
          <c:orientation val="minMax"/>
        </c:scaling>
        <c:delete val="0"/>
        <c:axPos val="r"/>
        <c:numFmt formatCode="0.0_ "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913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占GDP比重（%）</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总部企业</c:v>
                </c:pt>
                <c:pt idx="1">
                  <c:v>现代服务业</c:v>
                </c:pt>
                <c:pt idx="2">
                  <c:v>高新技术产业</c:v>
                </c:pt>
                <c:pt idx="3">
                  <c:v>文化产业</c:v>
                </c:pt>
                <c:pt idx="4">
                  <c:v>战略性新兴产业</c:v>
                </c:pt>
              </c:strCache>
            </c:strRef>
          </c:cat>
          <c:val>
            <c:numRef>
              <c:f>Sheet1!$B$2:$B$6</c:f>
              <c:numCache>
                <c:formatCode>0.0_ </c:formatCode>
                <c:ptCount val="5"/>
                <c:pt idx="0">
                  <c:v>40</c:v>
                </c:pt>
                <c:pt idx="1">
                  <c:v>69.900000000000006</c:v>
                </c:pt>
                <c:pt idx="2">
                  <c:v>9.3000000000000007</c:v>
                </c:pt>
                <c:pt idx="3">
                  <c:v>8</c:v>
                </c:pt>
                <c:pt idx="4">
                  <c:v>18.5</c:v>
                </c:pt>
              </c:numCache>
            </c:numRef>
          </c:val>
        </c:ser>
        <c:dLbls>
          <c:dLblPos val="outEnd"/>
          <c:showLegendKey val="0"/>
          <c:showVal val="1"/>
          <c:showCatName val="0"/>
          <c:showSerName val="0"/>
          <c:showPercent val="0"/>
          <c:showBubbleSize val="0"/>
        </c:dLbls>
        <c:gapWidth val="100"/>
        <c:overlap val="-24"/>
        <c:axId val="672477960"/>
        <c:axId val="672477568"/>
      </c:barChart>
      <c:catAx>
        <c:axId val="6724779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7568"/>
        <c:crosses val="autoZero"/>
        <c:auto val="1"/>
        <c:lblAlgn val="ctr"/>
        <c:lblOffset val="100"/>
        <c:noMultiLvlLbl val="0"/>
      </c:catAx>
      <c:valAx>
        <c:axId val="672477568"/>
        <c:scaling>
          <c:orientation val="minMax"/>
        </c:scaling>
        <c:delete val="0"/>
        <c:axPos val="l"/>
        <c:majorGridlines>
          <c:spPr>
            <a:ln w="9525" cap="flat" cmpd="sng" algn="ctr">
              <a:solidFill>
                <a:schemeClr val="tx2">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7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Sheet1!$A$2</c:f>
              <c:strCache>
                <c:ptCount val="1"/>
                <c:pt idx="0">
                  <c:v>居民消费价格指数（%）</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宋体" panose="02010600030101010101" pitchFamily="2" charset="-122"/>
                    <a:ea typeface="宋体" panose="02010600030101010101" pitchFamily="2"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Sheet1!$B$1:$N$1</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Sheet1!$B$2:$N$2</c:f>
              <c:numCache>
                <c:formatCode>0.0;[Red]0.0</c:formatCode>
                <c:ptCount val="13"/>
                <c:pt idx="0">
                  <c:v>3.5</c:v>
                </c:pt>
                <c:pt idx="1">
                  <c:v>3</c:v>
                </c:pt>
                <c:pt idx="2">
                  <c:v>2.9</c:v>
                </c:pt>
                <c:pt idx="3">
                  <c:v>2.1</c:v>
                </c:pt>
                <c:pt idx="4">
                  <c:v>2.8</c:v>
                </c:pt>
                <c:pt idx="5">
                  <c:v>2.5</c:v>
                </c:pt>
                <c:pt idx="6">
                  <c:v>2</c:v>
                </c:pt>
                <c:pt idx="7">
                  <c:v>1.2</c:v>
                </c:pt>
                <c:pt idx="8">
                  <c:v>0.7</c:v>
                </c:pt>
                <c:pt idx="9">
                  <c:v>1.2</c:v>
                </c:pt>
                <c:pt idx="10">
                  <c:v>1.4</c:v>
                </c:pt>
                <c:pt idx="11">
                  <c:v>1</c:v>
                </c:pt>
              </c:numCache>
            </c:numRef>
          </c:val>
          <c:smooth val="0"/>
        </c:ser>
        <c:dLbls>
          <c:dLblPos val="ctr"/>
          <c:showLegendKey val="0"/>
          <c:showVal val="1"/>
          <c:showCatName val="0"/>
          <c:showSerName val="0"/>
          <c:showPercent val="0"/>
          <c:showBubbleSize val="0"/>
        </c:dLbls>
        <c:marker val="1"/>
        <c:smooth val="0"/>
        <c:axId val="672476784"/>
        <c:axId val="672476392"/>
      </c:lineChart>
      <c:catAx>
        <c:axId val="6724767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1000" b="0" i="0" u="none" strike="noStrike" kern="1200" cap="all" baseline="0">
                <a:solidFill>
                  <a:schemeClr val="dk1">
                    <a:lumMod val="75000"/>
                    <a:lumOff val="25000"/>
                  </a:schemeClr>
                </a:solidFill>
                <a:latin typeface="宋体" panose="02010600030101010101" pitchFamily="2" charset="-122"/>
                <a:ea typeface="宋体" panose="02010600030101010101" pitchFamily="2" charset="-122"/>
                <a:cs typeface="+mn-cs"/>
              </a:defRPr>
            </a:pPr>
            <a:endParaRPr lang="zh-CN"/>
          </a:p>
        </c:txPr>
        <c:crossAx val="672476392"/>
        <c:crosses val="autoZero"/>
        <c:auto val="1"/>
        <c:lblAlgn val="ctr"/>
        <c:lblOffset val="100"/>
        <c:tickLblSkip val="1"/>
        <c:tickMarkSkip val="1"/>
        <c:noMultiLvlLbl val="0"/>
      </c:catAx>
      <c:valAx>
        <c:axId val="67247639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6784"/>
        <c:crosses val="autoZero"/>
        <c:crossBetween val="midCat"/>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Sheet1!$A$2</c:f>
              <c:strCache>
                <c:ptCount val="1"/>
                <c:pt idx="0">
                  <c:v>居民消费价格指数（%）</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宋体" panose="02010600030101010101" pitchFamily="2" charset="-122"/>
                    <a:ea typeface="宋体" panose="02010600030101010101" pitchFamily="2"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Sheet1!$B$1:$F$1</c:f>
              <c:strCache>
                <c:ptCount val="5"/>
                <c:pt idx="0">
                  <c:v>2010年</c:v>
                </c:pt>
                <c:pt idx="1">
                  <c:v>2011年</c:v>
                </c:pt>
                <c:pt idx="2">
                  <c:v>2012年</c:v>
                </c:pt>
                <c:pt idx="3">
                  <c:v>2013年</c:v>
                </c:pt>
                <c:pt idx="4">
                  <c:v>2014年</c:v>
                </c:pt>
              </c:strCache>
            </c:strRef>
          </c:cat>
          <c:val>
            <c:numRef>
              <c:f>Sheet1!$B$2:$F$2</c:f>
              <c:numCache>
                <c:formatCode>0.0;[Red]0.0</c:formatCode>
                <c:ptCount val="5"/>
                <c:pt idx="0">
                  <c:v>3.5</c:v>
                </c:pt>
                <c:pt idx="1">
                  <c:v>5.4</c:v>
                </c:pt>
                <c:pt idx="2">
                  <c:v>2.8</c:v>
                </c:pt>
                <c:pt idx="3">
                  <c:v>2.7</c:v>
                </c:pt>
                <c:pt idx="4">
                  <c:v>2</c:v>
                </c:pt>
              </c:numCache>
            </c:numRef>
          </c:val>
          <c:smooth val="0"/>
        </c:ser>
        <c:dLbls>
          <c:dLblPos val="ctr"/>
          <c:showLegendKey val="0"/>
          <c:showVal val="1"/>
          <c:showCatName val="0"/>
          <c:showSerName val="0"/>
          <c:showPercent val="0"/>
          <c:showBubbleSize val="0"/>
        </c:dLbls>
        <c:marker val="1"/>
        <c:smooth val="0"/>
        <c:axId val="672475608"/>
        <c:axId val="672475216"/>
      </c:lineChart>
      <c:catAx>
        <c:axId val="672475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1000" b="0" i="0" u="none" strike="noStrike" kern="1200" cap="all"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5216"/>
        <c:crossesAt val="-2"/>
        <c:auto val="1"/>
        <c:lblAlgn val="ctr"/>
        <c:lblOffset val="100"/>
        <c:tickLblSkip val="1"/>
        <c:tickMarkSkip val="1"/>
        <c:noMultiLvlLbl val="0"/>
      </c:catAx>
      <c:valAx>
        <c:axId val="67247521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5608"/>
        <c:crosses val="autoZero"/>
        <c:crossBetween val="midCat"/>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固定资产投资额分月累计增长速度（%）</c:v>
                </c:pt>
              </c:strCache>
            </c:strRef>
          </c:tx>
          <c:spPr>
            <a:ln w="12700" cap="flat" cmpd="sng" algn="ctr">
              <a:solidFill>
                <a:schemeClr val="dk1">
                  <a:shade val="50000"/>
                </a:schemeClr>
              </a:solidFill>
              <a:prstDash val="solid"/>
              <a:miter lim="800000"/>
            </a:ln>
            <a:effectLst/>
          </c:spPr>
          <c:marker>
            <c:symbol val="circle"/>
            <c:size val="6"/>
            <c:spPr>
              <a:solidFill>
                <a:schemeClr val="dk1"/>
              </a:solidFill>
              <a:ln w="12700" cap="flat" cmpd="sng" algn="ctr">
                <a:solidFill>
                  <a:schemeClr val="dk1">
                    <a:shade val="50000"/>
                  </a:schemeClr>
                </a:solidFill>
                <a:prstDash val="solid"/>
                <a:miter lim="800000"/>
              </a:ln>
              <a:effectLst/>
            </c:spPr>
          </c:marker>
          <c:dLbls>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宋体" panose="02010600030101010101" pitchFamily="2" charset="-122"/>
                    <a:ea typeface="宋体" panose="02010600030101010101" pitchFamily="2"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2月</c:v>
                </c:pt>
                <c:pt idx="1">
                  <c:v>3月</c:v>
                </c:pt>
                <c:pt idx="2">
                  <c:v>4月</c:v>
                </c:pt>
                <c:pt idx="3">
                  <c:v>5月</c:v>
                </c:pt>
                <c:pt idx="4">
                  <c:v>6月</c:v>
                </c:pt>
                <c:pt idx="5">
                  <c:v>7月</c:v>
                </c:pt>
                <c:pt idx="6">
                  <c:v>8月</c:v>
                </c:pt>
                <c:pt idx="7">
                  <c:v>9月</c:v>
                </c:pt>
                <c:pt idx="8">
                  <c:v>10月</c:v>
                </c:pt>
                <c:pt idx="9">
                  <c:v>11月</c:v>
                </c:pt>
                <c:pt idx="10">
                  <c:v>12月</c:v>
                </c:pt>
              </c:strCache>
            </c:strRef>
          </c:cat>
          <c:val>
            <c:numRef>
              <c:f>Sheet1!$B$2:$B$12</c:f>
              <c:numCache>
                <c:formatCode>0.0;[Red]0.0</c:formatCode>
                <c:ptCount val="11"/>
                <c:pt idx="0">
                  <c:v>26.8</c:v>
                </c:pt>
                <c:pt idx="1">
                  <c:v>46</c:v>
                </c:pt>
                <c:pt idx="2">
                  <c:v>43.4</c:v>
                </c:pt>
                <c:pt idx="3">
                  <c:v>40.1</c:v>
                </c:pt>
                <c:pt idx="4">
                  <c:v>22.3</c:v>
                </c:pt>
                <c:pt idx="5">
                  <c:v>20.3</c:v>
                </c:pt>
                <c:pt idx="6">
                  <c:v>15.6</c:v>
                </c:pt>
                <c:pt idx="7">
                  <c:v>12.2</c:v>
                </c:pt>
                <c:pt idx="8">
                  <c:v>12.8</c:v>
                </c:pt>
                <c:pt idx="9">
                  <c:v>13</c:v>
                </c:pt>
                <c:pt idx="10">
                  <c:v>14.2</c:v>
                </c:pt>
              </c:numCache>
            </c:numRef>
          </c:val>
          <c:smooth val="0"/>
        </c:ser>
        <c:dLbls>
          <c:dLblPos val="ctr"/>
          <c:showLegendKey val="0"/>
          <c:showVal val="1"/>
          <c:showCatName val="0"/>
          <c:showSerName val="0"/>
          <c:showPercent val="0"/>
          <c:showBubbleSize val="0"/>
        </c:dLbls>
        <c:marker val="1"/>
        <c:smooth val="0"/>
        <c:axId val="672474432"/>
        <c:axId val="672474040"/>
      </c:lineChart>
      <c:catAx>
        <c:axId val="6724744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crossAx val="672474040"/>
        <c:crosses val="autoZero"/>
        <c:auto val="1"/>
        <c:lblAlgn val="ctr"/>
        <c:lblOffset val="100"/>
        <c:noMultiLvlLbl val="0"/>
      </c:catAx>
      <c:valAx>
        <c:axId val="672474040"/>
        <c:scaling>
          <c:orientation val="minMax"/>
        </c:scaling>
        <c:delete val="0"/>
        <c:axPos val="l"/>
        <c:majorGridlines>
          <c:spPr>
            <a:ln w="9525" cap="flat" cmpd="sng" algn="ctr">
              <a:solidFill>
                <a:schemeClr val="tx1">
                  <a:lumMod val="15000"/>
                  <a:lumOff val="85000"/>
                </a:schemeClr>
              </a:solidFill>
              <a:round/>
            </a:ln>
            <a:effectLst/>
          </c:spPr>
        </c:majorGridlines>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44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社会消费品零售总额分季度累计增长速度（%）</c:v>
                </c:pt>
              </c:strCache>
            </c:strRef>
          </c:tx>
          <c:spPr>
            <a:ln w="12700" cap="flat" cmpd="sng" algn="ctr">
              <a:solidFill>
                <a:schemeClr val="dk1">
                  <a:shade val="50000"/>
                </a:schemeClr>
              </a:solidFill>
              <a:prstDash val="solid"/>
              <a:miter lim="800000"/>
            </a:ln>
            <a:effectLst/>
          </c:spPr>
          <c:marker>
            <c:symbol val="circle"/>
            <c:size val="6"/>
            <c:spPr>
              <a:solidFill>
                <a:schemeClr val="dk1"/>
              </a:solidFill>
              <a:ln w="12700" cap="flat" cmpd="sng" algn="ctr">
                <a:solidFill>
                  <a:schemeClr val="dk1">
                    <a:shade val="50000"/>
                  </a:schemeClr>
                </a:solidFill>
                <a:prstDash val="solid"/>
                <a:miter lim="800000"/>
              </a:ln>
              <a:effectLst/>
            </c:spPr>
          </c:marker>
          <c:dLbls>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宋体" panose="02010600030101010101" pitchFamily="2" charset="-122"/>
                    <a:ea typeface="宋体" panose="02010600030101010101" pitchFamily="2" charset="-122"/>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第一季度</c:v>
                </c:pt>
                <c:pt idx="1">
                  <c:v>第二季度</c:v>
                </c:pt>
                <c:pt idx="2">
                  <c:v>第三季度</c:v>
                </c:pt>
                <c:pt idx="3">
                  <c:v>第四季度</c:v>
                </c:pt>
              </c:strCache>
            </c:strRef>
          </c:cat>
          <c:val>
            <c:numRef>
              <c:f>Sheet1!$B$2:$B$5</c:f>
              <c:numCache>
                <c:formatCode>0.0;[Red]0.0</c:formatCode>
                <c:ptCount val="4"/>
                <c:pt idx="0">
                  <c:v>5.0999999999999996</c:v>
                </c:pt>
                <c:pt idx="1">
                  <c:v>7</c:v>
                </c:pt>
                <c:pt idx="2">
                  <c:v>7.6</c:v>
                </c:pt>
                <c:pt idx="3">
                  <c:v>8.4</c:v>
                </c:pt>
              </c:numCache>
            </c:numRef>
          </c:val>
          <c:smooth val="0"/>
        </c:ser>
        <c:dLbls>
          <c:dLblPos val="ctr"/>
          <c:showLegendKey val="0"/>
          <c:showVal val="1"/>
          <c:showCatName val="0"/>
          <c:showSerName val="0"/>
          <c:showPercent val="0"/>
          <c:showBubbleSize val="0"/>
        </c:dLbls>
        <c:marker val="1"/>
        <c:smooth val="0"/>
        <c:axId val="672473256"/>
        <c:axId val="672472864"/>
      </c:lineChart>
      <c:catAx>
        <c:axId val="6724732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crossAx val="672472864"/>
        <c:crosses val="autoZero"/>
        <c:auto val="1"/>
        <c:lblAlgn val="ctr"/>
        <c:lblOffset val="100"/>
        <c:noMultiLvlLbl val="0"/>
      </c:catAx>
      <c:valAx>
        <c:axId val="672472864"/>
        <c:scaling>
          <c:orientation val="minMax"/>
        </c:scaling>
        <c:delete val="0"/>
        <c:axPos val="l"/>
        <c:majorGridlines>
          <c:spPr>
            <a:ln w="9525" cap="flat" cmpd="sng" algn="ctr">
              <a:solidFill>
                <a:schemeClr val="tx1">
                  <a:lumMod val="15000"/>
                  <a:lumOff val="85000"/>
                </a:schemeClr>
              </a:solidFill>
              <a:round/>
            </a:ln>
            <a:effectLst/>
          </c:spPr>
        </c:majorGridlines>
        <c:numFmt formatCode="0.0;[Red]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32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21821897886725"/>
          <c:y val="8.5506122880150831E-2"/>
          <c:w val="0.78209459459459463"/>
          <c:h val="0.68614904561078471"/>
        </c:manualLayout>
      </c:layout>
      <c:barChart>
        <c:barDir val="col"/>
        <c:grouping val="clustered"/>
        <c:varyColors val="0"/>
        <c:ser>
          <c:idx val="1"/>
          <c:order val="0"/>
          <c:tx>
            <c:strRef>
              <c:f>Sheet1!$A$2</c:f>
              <c:strCache>
                <c:ptCount val="1"/>
                <c:pt idx="0">
                  <c:v>社会消费品零售总额（亿元）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1"/>
              <c:layout>
                <c:manualLayout>
                  <c:x val="-1.552967276760958E-2"/>
                  <c:y val="2.185792349726771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6595050315162543E-2"/>
                  <c:y val="2.210689985196245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5.7169459474803584E-2"/>
                  <c:y val="7.5779871778322752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0_ "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2010年</c:v>
                </c:pt>
                <c:pt idx="1">
                  <c:v>2011年</c:v>
                </c:pt>
                <c:pt idx="2">
                  <c:v>2012年</c:v>
                </c:pt>
                <c:pt idx="3">
                  <c:v>2013年</c:v>
                </c:pt>
                <c:pt idx="4">
                  <c:v>2014年</c:v>
                </c:pt>
              </c:strCache>
            </c:strRef>
          </c:cat>
          <c:val>
            <c:numRef>
              <c:f>Sheet1!$B$2:$F$2</c:f>
              <c:numCache>
                <c:formatCode>0.00_ </c:formatCode>
                <c:ptCount val="5"/>
                <c:pt idx="0">
                  <c:v>930.93</c:v>
                </c:pt>
                <c:pt idx="1">
                  <c:v>1086.0899999999999</c:v>
                </c:pt>
                <c:pt idx="2">
                  <c:v>1272.07</c:v>
                </c:pt>
                <c:pt idx="3">
                  <c:v>1392.91</c:v>
                </c:pt>
                <c:pt idx="4">
                  <c:v>1509.56</c:v>
                </c:pt>
              </c:numCache>
            </c:numRef>
          </c:val>
        </c:ser>
        <c:dLbls>
          <c:showLegendKey val="0"/>
          <c:showVal val="0"/>
          <c:showCatName val="0"/>
          <c:showSerName val="0"/>
          <c:showPercent val="0"/>
          <c:showBubbleSize val="0"/>
        </c:dLbls>
        <c:gapWidth val="150"/>
        <c:axId val="672472080"/>
        <c:axId val="672471688"/>
      </c:barChart>
      <c:lineChart>
        <c:grouping val="standard"/>
        <c:varyColors val="0"/>
        <c:ser>
          <c:idx val="0"/>
          <c:order val="1"/>
          <c:tx>
            <c:strRef>
              <c:f>Sheet1!$A$3</c:f>
              <c:strCache>
                <c:ptCount val="1"/>
                <c:pt idx="0">
                  <c:v>增长速度（%）</c:v>
                </c:pt>
              </c:strCache>
            </c:strRef>
          </c:tx>
          <c:spPr>
            <a:ln w="34925"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dPt>
            <c:idx val="2"/>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bubble3D val="0"/>
          </c:dPt>
          <c:dLbls>
            <c:dLbl>
              <c:idx val="1"/>
              <c:layout>
                <c:manualLayout>
                  <c:x val="-3.6376817290517554E-3"/>
                  <c:y val="-4.121336226160584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2173542783025746E-2"/>
                  <c:y val="-4.70341207349081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3491296398131438E-2"/>
                  <c:y val="-5.56984395005564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7612915954197579E-2"/>
                  <c:y val="4.1824163262268288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_ "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2010年</c:v>
                </c:pt>
                <c:pt idx="1">
                  <c:v>2011年</c:v>
                </c:pt>
                <c:pt idx="2">
                  <c:v>2012年</c:v>
                </c:pt>
                <c:pt idx="3">
                  <c:v>2013年</c:v>
                </c:pt>
                <c:pt idx="4">
                  <c:v>2014年</c:v>
                </c:pt>
              </c:strCache>
            </c:strRef>
          </c:cat>
          <c:val>
            <c:numRef>
              <c:f>Sheet1!$B$3:$F$3</c:f>
              <c:numCache>
                <c:formatCode>0.0_ </c:formatCode>
                <c:ptCount val="5"/>
                <c:pt idx="0">
                  <c:v>16.3</c:v>
                </c:pt>
                <c:pt idx="1">
                  <c:v>17</c:v>
                </c:pt>
                <c:pt idx="2">
                  <c:v>16</c:v>
                </c:pt>
                <c:pt idx="3">
                  <c:v>9.5</c:v>
                </c:pt>
                <c:pt idx="4">
                  <c:v>8.4</c:v>
                </c:pt>
              </c:numCache>
            </c:numRef>
          </c:val>
          <c:smooth val="0"/>
        </c:ser>
        <c:dLbls>
          <c:showLegendKey val="0"/>
          <c:showVal val="0"/>
          <c:showCatName val="0"/>
          <c:showSerName val="0"/>
          <c:showPercent val="0"/>
          <c:showBubbleSize val="0"/>
        </c:dLbls>
        <c:marker val="1"/>
        <c:smooth val="0"/>
        <c:axId val="672471296"/>
        <c:axId val="672470904"/>
      </c:lineChart>
      <c:catAx>
        <c:axId val="672472080"/>
        <c:scaling>
          <c:orientation val="minMax"/>
        </c:scaling>
        <c:delete val="0"/>
        <c:axPos val="b"/>
        <c:numFmt formatCode="0_ " sourceLinked="0"/>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1688"/>
        <c:crosses val="autoZero"/>
        <c:auto val="0"/>
        <c:lblAlgn val="ctr"/>
        <c:lblOffset val="100"/>
        <c:tickLblSkip val="1"/>
        <c:tickMarkSkip val="1"/>
        <c:noMultiLvlLbl val="0"/>
      </c:catAx>
      <c:valAx>
        <c:axId val="672471688"/>
        <c:scaling>
          <c:orientation val="minMax"/>
        </c:scaling>
        <c:delete val="0"/>
        <c:axPos val="l"/>
        <c:majorGridlines>
          <c:spPr>
            <a:ln w="6350" cap="flat" cmpd="sng" algn="ctr">
              <a:solidFill>
                <a:schemeClr val="accent3"/>
              </a:solidFill>
              <a:prstDash val="solid"/>
              <a:miter lim="800000"/>
            </a:ln>
            <a:effectLst/>
          </c:spPr>
        </c:majorGridlines>
        <c:numFmt formatCode="0.00_ "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2080"/>
        <c:crosses val="autoZero"/>
        <c:crossBetween val="between"/>
      </c:valAx>
      <c:catAx>
        <c:axId val="672471296"/>
        <c:scaling>
          <c:orientation val="minMax"/>
        </c:scaling>
        <c:delete val="1"/>
        <c:axPos val="b"/>
        <c:numFmt formatCode="General" sourceLinked="1"/>
        <c:majorTickMark val="none"/>
        <c:minorTickMark val="none"/>
        <c:tickLblPos val="nextTo"/>
        <c:crossAx val="672470904"/>
        <c:crosses val="autoZero"/>
        <c:auto val="0"/>
        <c:lblAlgn val="ctr"/>
        <c:lblOffset val="100"/>
        <c:noMultiLvlLbl val="0"/>
      </c:catAx>
      <c:valAx>
        <c:axId val="672470904"/>
        <c:scaling>
          <c:orientation val="minMax"/>
        </c:scaling>
        <c:delete val="0"/>
        <c:axPos val="r"/>
        <c:numFmt formatCode="0.0_ "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1296"/>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Sheet1!$A$2</c:f>
              <c:strCache>
                <c:ptCount val="1"/>
                <c:pt idx="0">
                  <c:v>出口总额增长速度（%）</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9131652661064426E-2"/>
                  <c:y val="-6.86591276252019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927170868347338E-2"/>
                  <c:y val="2.423263327948303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336134453781515E-2"/>
                  <c:y val="-6.058158319870762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168067226890758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7226890756302525E-3"/>
                  <c:y val="3.63489499192245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2010年</c:v>
                </c:pt>
                <c:pt idx="1">
                  <c:v>2011年</c:v>
                </c:pt>
                <c:pt idx="2">
                  <c:v>2012年</c:v>
                </c:pt>
                <c:pt idx="3">
                  <c:v>2013年</c:v>
                </c:pt>
                <c:pt idx="4">
                  <c:v>2014年</c:v>
                </c:pt>
              </c:strCache>
            </c:strRef>
          </c:cat>
          <c:val>
            <c:numRef>
              <c:f>Sheet1!$B$2:$F$2</c:f>
              <c:numCache>
                <c:formatCode>0.0_ </c:formatCode>
                <c:ptCount val="5"/>
                <c:pt idx="0">
                  <c:v>12.5</c:v>
                </c:pt>
                <c:pt idx="1">
                  <c:v>9.1999999999999993</c:v>
                </c:pt>
                <c:pt idx="2">
                  <c:v>28.6</c:v>
                </c:pt>
                <c:pt idx="3">
                  <c:v>50.2</c:v>
                </c:pt>
                <c:pt idx="4">
                  <c:v>-47.1</c:v>
                </c:pt>
              </c:numCache>
            </c:numRef>
          </c:val>
          <c:smooth val="0"/>
        </c:ser>
        <c:ser>
          <c:idx val="0"/>
          <c:order val="1"/>
          <c:tx>
            <c:strRef>
              <c:f>Sheet1!$A$3</c:f>
              <c:strCache>
                <c:ptCount val="1"/>
                <c:pt idx="0">
                  <c:v>进出口总额增长速度（%）</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6974789915966408E-2"/>
                  <c:y val="7.06785137318254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4901960784313725E-2"/>
                  <c:y val="-7.471728594507269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1288515406162466E-2"/>
                  <c:y val="6.66397415185784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7.1708683473389434E-2"/>
                  <c:y val="9.69305331179321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8.9635854341736688E-3"/>
                  <c:y val="-5.048465266558965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2010年</c:v>
                </c:pt>
                <c:pt idx="1">
                  <c:v>2011年</c:v>
                </c:pt>
                <c:pt idx="2">
                  <c:v>2012年</c:v>
                </c:pt>
                <c:pt idx="3">
                  <c:v>2013年</c:v>
                </c:pt>
                <c:pt idx="4">
                  <c:v>2014年</c:v>
                </c:pt>
              </c:strCache>
            </c:strRef>
          </c:cat>
          <c:val>
            <c:numRef>
              <c:f>Sheet1!$B$3:$F$3</c:f>
              <c:numCache>
                <c:formatCode>0.0_ </c:formatCode>
                <c:ptCount val="5"/>
                <c:pt idx="0">
                  <c:v>12.3</c:v>
                </c:pt>
                <c:pt idx="1">
                  <c:v>10</c:v>
                </c:pt>
                <c:pt idx="2">
                  <c:v>25.5</c:v>
                </c:pt>
                <c:pt idx="3">
                  <c:v>40.4</c:v>
                </c:pt>
                <c:pt idx="4">
                  <c:v>-42</c:v>
                </c:pt>
              </c:numCache>
            </c:numRef>
          </c:val>
          <c:smooth val="0"/>
        </c:ser>
        <c:dLbls>
          <c:dLblPos val="ctr"/>
          <c:showLegendKey val="0"/>
          <c:showVal val="1"/>
          <c:showCatName val="0"/>
          <c:showSerName val="0"/>
          <c:showPercent val="0"/>
          <c:showBubbleSize val="0"/>
        </c:dLbls>
        <c:marker val="1"/>
        <c:smooth val="0"/>
        <c:axId val="672470120"/>
        <c:axId val="672469728"/>
      </c:lineChart>
      <c:catAx>
        <c:axId val="67247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69728"/>
        <c:crosses val="autoZero"/>
        <c:auto val="0"/>
        <c:lblAlgn val="ctr"/>
        <c:lblOffset val="100"/>
        <c:noMultiLvlLbl val="0"/>
      </c:catAx>
      <c:valAx>
        <c:axId val="672469728"/>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crossAx val="672470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20</Pages>
  <Words>1196</Words>
  <Characters>6819</Characters>
  <Application>Microsoft Office Word</Application>
  <DocSecurity>0</DocSecurity>
  <Lines>56</Lines>
  <Paragraphs>15</Paragraphs>
  <ScaleCrop>false</ScaleCrop>
  <Company>微软中国</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第4期</dc:title>
  <dc:subject/>
  <dc:creator>Administrator</dc:creator>
  <cp:keywords/>
  <dc:description/>
  <cp:lastModifiedBy>caiyanghong</cp:lastModifiedBy>
  <cp:revision>244</cp:revision>
  <cp:lastPrinted>2014-04-15T03:01:00Z</cp:lastPrinted>
  <dcterms:created xsi:type="dcterms:W3CDTF">2015-03-23T10:21:00Z</dcterms:created>
  <dcterms:modified xsi:type="dcterms:W3CDTF">2015-04-08T02:21:00Z</dcterms:modified>
</cp:coreProperties>
</file>