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Lines="0" w:beforeAutospacing="0" w:after="0" w:afterLines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福田区2015年1-1</w:t>
      </w:r>
      <w:r>
        <w:rPr>
          <w:rFonts w:hint="eastAsia" w:ascii="宋体" w:hAnsi="宋体" w:cs="宋体"/>
          <w:kern w:val="2"/>
          <w:sz w:val="44"/>
          <w:szCs w:val="4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月经济发展情况简析</w:t>
      </w: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1-11月福田区经济发展稳中有升，稳中有忧，部分指标完成情况不够理想。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一、工业生产发展平稳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规模以上工业总产值948.04亿元，比上年同期同口径增长7.5%;规模以上工业增加值164.34亿元，增长7.8%，与市对区下达增长8%的计划目标相差0.2个百分点，比1-10月上升了0.3个百分点。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从今年各月累计增速看，总体上呈逐月稳步上升态势。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   二、消费市场持续低迷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社会消费品零售总额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1406.88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亿元，增长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%，与1-10月份持平，虽然我区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消费总额继续领先全市各区，但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受汽车限购、国际油价下跌、网上消费对传统商业的冲击等因素影响，社会消费品零售业疲态凸显，消费市场持续低迷的现状短期内难以扭转，增速比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市下达全年3.3%的计划目标仍相差2.3个百分点。</w:t>
      </w: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三、投资建设形势良好</w:t>
      </w: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完成固定资产投资额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209.88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亿元，增长24.9%，完成年度计划的110.5%，增速远高于市对区下达全年18.1%的增长目标。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其中，房地产开发项目完成投资额142.62亿元，增长29.1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；非房地产项目完成投资额67.26亿元，增长16.4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我区投资项目有序开展，完成情况良好。</w:t>
      </w: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四、外贸进出口持续下降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实现外贸进出口总额1060.66亿美元，下降0.7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，与1-10月相比，降幅扩大0.3个百分点，距离市对区下达全年5.0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的计划目标相差5.7个百分点。其中进口总额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bidi="ar-SA"/>
        </w:rPr>
        <w:t>571.09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亿美元，下降0.2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；出口总额489.57亿美元，下降1.3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，虽然我区进出口总额绝对值全市排名第一，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但受经营成本上升和产业链转移内地等不利因素影响，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外贸形势不容乐观。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   五、财税收入稳健增长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default" w:ascii="Times New Roman" w:hAnsi="Times New Roman" w:eastAsia="宋体" w:cs="Times New Roman"/>
          <w:sz w:val="21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完成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公共财政预算收入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135.11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29.5%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完成年度计划的104.7%，</w:t>
      </w:r>
      <w:r>
        <w:rPr>
          <w:rFonts w:hint="eastAsia" w:ascii="仿宋_GB2312" w:hAnsi="宋体" w:eastAsia="仿宋_GB2312" w:cs="Times New Roman"/>
          <w:sz w:val="32"/>
          <w:szCs w:val="22"/>
          <w:shd w:val="clear" w:color="auto" w:fill="FFFFFF"/>
          <w:lang w:val="en-US" w:eastAsia="zh-CN" w:bidi="ar-SA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 w:bidi="ar-SA"/>
        </w:rPr>
        <w:t>中税收分成收入占公共财政预算收入的96%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。税收总额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1071.59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亿元，增长41.3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地税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652.81亿元，增长29.6%；国税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418.78亿元，增长64.2%。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公共财政预算收入和税收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总额继续保持快速、稳健增长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bidi="ar-SA"/>
        </w:rPr>
        <w:t>态势。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六、外商投资小幅下降</w:t>
      </w: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实际使用外资13.20亿美元，下降4.0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，降幅比1-10月收窄3.1个百分点。与全市十区相比，我区实际使用外资总额位居十区之首。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bidi="ar-SA"/>
        </w:rPr>
        <w:t>从投资来源看，主要地区对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 w:bidi="ar-SA"/>
        </w:rPr>
        <w:t>我区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bidi="ar-SA"/>
        </w:rPr>
        <w:t>投资总体保持稳定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 w:bidi="ar-SA"/>
        </w:rPr>
        <w:t>，香港地区实际使用外资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11.02亿美元，占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 w:bidi="ar-SA"/>
        </w:rPr>
        <w:t>全区总额的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83.5%；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bidi="ar-SA"/>
        </w:rPr>
        <w:t>从行业分布看，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 w:bidi="ar-SA"/>
        </w:rPr>
        <w:t>房地产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bidi="ar-SA"/>
        </w:rPr>
        <w:t>业实际使用外资6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.51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bidi="ar-SA"/>
        </w:rPr>
        <w:t>亿美元，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 w:bidi="ar-SA"/>
        </w:rPr>
        <w:t>占全区总额的4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 w:bidi="ar-SA"/>
        </w:rPr>
        <w:t>9.3%。</w:t>
      </w:r>
    </w:p>
    <w:p>
      <w:pPr>
        <w:widowControl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七、物价指数温和上涨</w:t>
      </w:r>
    </w:p>
    <w:p>
      <w:pPr>
        <w:widowControl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1-11月居民消费价格总水平（CPI）上涨2.1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，涨幅与1-10月持平。八大类消费品价格呈“七升一降”，其中上涨幅度最高的前三位为衣着类、居住类和食品类，分别上涨4.8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、3.3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和3.2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。今年以来，居民消费价格指数保持在1.0%-2.1%的低位运行区间。</w:t>
      </w:r>
    </w:p>
    <w:p>
      <w:pPr>
        <w:widowControl w:val="0"/>
        <w:spacing w:before="0" w:beforeLines="0" w:beforeAutospacing="0" w:after="0" w:afterLines="0" w:afterAutospacing="0" w:line="240" w:lineRule="auto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</w:p>
    <w:p>
      <w:pPr>
        <w:widowControl w:val="0"/>
        <w:spacing w:before="0" w:beforeLines="0" w:beforeAutospacing="0" w:after="0" w:afterLines="0" w:afterAutospacing="0" w:line="400" w:lineRule="exact"/>
        <w:ind w:left="0" w:right="0"/>
        <w:jc w:val="center"/>
        <w:rPr>
          <w:rFonts w:hint="eastAsia" w:ascii="黑体" w:hAnsi="Times New Roman" w:eastAsia="黑体" w:cs="黑体"/>
          <w:b/>
          <w:bCs w:val="0"/>
          <w:sz w:val="32"/>
          <w:szCs w:val="24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32"/>
          <w:szCs w:val="24"/>
          <w:lang w:val="en-US" w:eastAsia="zh-CN" w:bidi="ar-SA"/>
        </w:rPr>
        <w:t>福田区2015年1-11月主要经济指标</w:t>
      </w:r>
    </w:p>
    <w:p>
      <w:pPr>
        <w:widowControl w:val="0"/>
        <w:spacing w:before="0" w:beforeLines="0" w:beforeAutospacing="0" w:after="0" w:afterLines="0" w:afterAutospacing="0" w:line="300" w:lineRule="exact"/>
        <w:ind w:left="0" w:right="0"/>
        <w:jc w:val="center"/>
        <w:rPr>
          <w:sz w:val="28"/>
          <w:szCs w:val="24"/>
          <w:lang w:val="en-US"/>
        </w:rPr>
      </w:pPr>
    </w:p>
    <w:p>
      <w:pPr>
        <w:widowControl w:val="0"/>
        <w:spacing w:before="0" w:beforeLines="0" w:beforeAutospacing="0" w:after="0" w:afterLines="0" w:afterAutospacing="0"/>
        <w:ind w:left="0" w:right="0"/>
        <w:jc w:val="both"/>
        <w:rPr>
          <w:lang w:val="en-US"/>
        </w:rPr>
      </w:pPr>
    </w:p>
    <w:tbl>
      <w:tblPr>
        <w:tblStyle w:val="3"/>
        <w:tblW w:w="8697" w:type="dxa"/>
        <w:jc w:val="right"/>
        <w:tblBorders>
          <w:top w:val="single" w:color="auto" w:sz="12" w:space="0"/>
          <w:left w:val="none" w:color="auto" w:sz="6" w:space="0"/>
          <w:bottom w:val="single" w:color="auto" w:sz="12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993"/>
        <w:gridCol w:w="1430"/>
        <w:gridCol w:w="1682"/>
        <w:gridCol w:w="1474"/>
      </w:tblGrid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right"/>
        </w:trPr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计量</w:t>
            </w:r>
          </w:p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1-11月</w:t>
            </w:r>
          </w:p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累计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同比增长</w:t>
            </w:r>
          </w:p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positio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（±%）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完成年度计划（%）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1、规模以上工业企业总产值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  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948.04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7.5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2、规模以上工业企业增加值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  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164.34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7.8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3、固定资产投资额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  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209.88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24.9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110.5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4、社会消费品零售总额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  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1406.88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1.0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92.3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5、进出口总额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亿美元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1060.66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-0.7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 w:firstLine="437" w:firstLineChars="1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#出口总额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亿美元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489.57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-1.3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6、实际使用外资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亿美元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13.20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-4.0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7、公共财政预算收入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  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135.11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29.5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8、税收总额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亿  元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1071.59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41.3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6" w:space="0"/>
            <w:bottom w:val="single" w:color="auto" w:sz="12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9、居民消费价格总指数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102.1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2.1个百分点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wordWrap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</w:tbl>
    <w:p>
      <w:pPr>
        <w:widowControl w:val="0"/>
        <w:spacing w:before="0" w:beforeLines="0" w:beforeAutospacing="0" w:after="0" w:afterLines="0" w:afterAutospacing="0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注： 5、6项由区经促局提供；7、8项由区财政局提供；9项来源于国家统计局深圳调查队；“完成年度计划百分数”按照年初区人大审议通过的计划数计算。</w:t>
      </w:r>
    </w:p>
    <w:bookmarkEnd w:id="0"/>
    <w:p/>
    <w:p/>
    <w:sectPr>
      <w:pgSz w:w="11906" w:h="16838"/>
      <w:pgMar w:top="1440" w:right="1800" w:bottom="1440" w:left="1800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4B856FE"/>
    <w:rsid w:val="57F72ECB"/>
    <w:rsid w:val="75D8575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2015-12-18T02:14:00Z</dcterms:created>
  <dc:creator>caiyanghong</dc:creator>
  <cp:lastModifiedBy>zhongchengkun</cp:lastModifiedBy>
  <dcterms:modified xsi:type="dcterms:W3CDTF">2015-12-18T08:49:37Z</dcterms:modified>
  <dc:title>福田区2015年1-11月经济发展情况简析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