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2018年现任人民陪审员情况登记表</w:t>
      </w:r>
    </w:p>
    <w:tbl>
      <w:tblPr>
        <w:tblStyle w:val="3"/>
        <w:tblpPr w:leftFromText="180" w:rightFromText="180" w:vertAnchor="text" w:horzAnchor="page" w:tblpX="1538" w:tblpY="276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19"/>
        <w:gridCol w:w="311"/>
        <w:gridCol w:w="375"/>
        <w:gridCol w:w="860"/>
        <w:gridCol w:w="285"/>
        <w:gridCol w:w="463"/>
        <w:gridCol w:w="335"/>
        <w:gridCol w:w="897"/>
        <w:gridCol w:w="520"/>
        <w:gridCol w:w="540"/>
        <w:gridCol w:w="480"/>
        <w:gridCol w:w="336"/>
        <w:gridCol w:w="614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32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本届被任命时间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担任人民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陪审员届数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归属法院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学历及毕业院校</w:t>
            </w:r>
          </w:p>
        </w:tc>
        <w:tc>
          <w:tcPr>
            <w:tcW w:w="352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490" w:type="dxa"/>
            <w:gridSpan w:val="5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本届担任人民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陪审员审理案件数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9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637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9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兼职情况</w:t>
            </w:r>
          </w:p>
        </w:tc>
        <w:tc>
          <w:tcPr>
            <w:tcW w:w="637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964" w:type="dxa"/>
            <w:gridSpan w:val="4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637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38" w:tblpY="3394"/>
        <w:tblOverlap w:val="never"/>
        <w:tblW w:w="93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76"/>
        <w:gridCol w:w="1200"/>
        <w:gridCol w:w="1440"/>
        <w:gridCol w:w="1440"/>
        <w:gridCol w:w="2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主要家庭成员及社会关系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是否具备担任人民陪审员的条件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1、是否拥护中华人民共和国宪法（□是，□否）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2、是否年满二十八周岁（□是，□否）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3、是否遵纪守法、品行良好、公道正派（□是，□否）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4、是否具有正常履行职责的身体条件（□是，□否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是否属于不能担任人民陪审员的人员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1、是否人民代表大会常务委员会的组成人员，监察委员会、人民法院、人民检察院、公安机关、国家安全机关、司法行政机关的工作人员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2、是否律师、公证员、仲裁员、基层法律服务工作者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3、是否其他因职务原因不适宜担任人民陪审员的人员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是否有下列情形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受过刑事处罚（□是，□否）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被开除公职（□是，□否）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被吊销律师、公证员执业证书（□是，□否）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被纳入失信被执行人名单（□是，□否）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因受惩戒被免除人民陪审员职务（□是，□否）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其他有严重违法违纪行为，可能影响司法公信（□是，□否）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bookmarkStart w:id="0" w:name="_GoBack" w:colFirst="0" w:colLast="0"/>
            <w:r>
              <w:rPr>
                <w:rFonts w:hint="eastAsia"/>
                <w:sz w:val="28"/>
              </w:rPr>
              <w:t>公安局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1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（盖章）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法院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司法局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年   月   日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个人签名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填表说明：1、表格中“常住地”是指公民离开住所地最后连续居住一年以上的地方，但住院治病的除外。2、某一事项内容较多在表格中填写不下时，请复制相应事项表格，另附页填写。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E5EAC"/>
    <w:rsid w:val="0B336760"/>
    <w:rsid w:val="135434AC"/>
    <w:rsid w:val="23CA6585"/>
    <w:rsid w:val="29227261"/>
    <w:rsid w:val="32FE5EAC"/>
    <w:rsid w:val="38314C6A"/>
    <w:rsid w:val="4C952341"/>
    <w:rsid w:val="722265D6"/>
    <w:rsid w:val="79321A01"/>
    <w:rsid w:val="79A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2018-10-22T01:32:00Z</dcterms:created>
  <dc:creator>李锐玮</dc:creator>
  <cp:lastModifiedBy>李锐玮</cp:lastModifiedBy>
  <dcterms:modified xsi:type="dcterms:W3CDTF">2018-10-26T08:30:41Z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