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fill="FFFFFF"/>
        <w:snapToGrid w:val="0"/>
        <w:spacing w:before="0" w:beforeAutospacing="0" w:after="0" w:afterAutospacing="0"/>
        <w:ind w:left="0" w:right="0"/>
        <w:jc w:val="left"/>
        <w:rPr>
          <w:rFonts w:hint="eastAsia" w:ascii="黑体" w:hAnsi="黑体" w:eastAsia="黑体" w:cs="黑体"/>
          <w:color w:val="000000"/>
          <w:sz w:val="32"/>
          <w:szCs w:val="32"/>
          <w:shd w:val="clear" w:fill="FFFFFF"/>
          <w:lang w:val="en-US" w:eastAsia="zh-CN"/>
        </w:rPr>
      </w:pPr>
      <w:r>
        <w:rPr>
          <w:rFonts w:hint="eastAsia" w:ascii="黑体" w:hAnsi="黑体" w:eastAsia="黑体" w:cs="黑体"/>
          <w:color w:val="000000"/>
          <w:sz w:val="32"/>
          <w:szCs w:val="32"/>
          <w:shd w:val="clear" w:fill="FFFFFF"/>
          <w:lang w:val="en-US" w:eastAsia="zh-CN"/>
        </w:rPr>
        <w:t>附件3</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color w:val="000000"/>
          <w:sz w:val="32"/>
          <w:szCs w:val="32"/>
          <w:lang w:val="en-US"/>
        </w:rPr>
      </w:pPr>
      <w:bookmarkStart w:id="0" w:name="_GoBack"/>
      <w:r>
        <w:rPr>
          <w:rFonts w:hint="eastAsia" w:ascii="方正小标宋_GBK" w:hAnsi="方正小标宋_GBK" w:eastAsia="方正小标宋_GBK" w:cs="方正小标宋_GBK"/>
          <w:color w:val="000000"/>
          <w:kern w:val="2"/>
          <w:sz w:val="32"/>
          <w:szCs w:val="32"/>
          <w:lang w:val="en-US" w:eastAsia="zh-CN" w:bidi="ar"/>
        </w:rPr>
        <w:t>深圳市福田区园岭街道办事处政府投资</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color w:val="000000"/>
          <w:sz w:val="32"/>
          <w:szCs w:val="32"/>
          <w:lang w:val="en-US"/>
        </w:rPr>
      </w:pPr>
      <w:r>
        <w:rPr>
          <w:rFonts w:hint="eastAsia" w:ascii="方正小标宋_GBK" w:hAnsi="方正小标宋_GBK" w:eastAsia="方正小标宋_GBK" w:cs="方正小标宋_GBK"/>
          <w:color w:val="000000"/>
          <w:kern w:val="2"/>
          <w:sz w:val="32"/>
          <w:szCs w:val="32"/>
          <w:lang w:val="en-US" w:eastAsia="zh-CN" w:bidi="ar"/>
        </w:rPr>
        <w:t>建设工程承包商履约评价实施细则</w:t>
      </w:r>
      <w:bookmarkEnd w:id="0"/>
    </w:p>
    <w:p>
      <w:pPr>
        <w:keepNext w:val="0"/>
        <w:keepLines w:val="0"/>
        <w:widowControl w:val="0"/>
        <w:suppressLineNumbers w:val="0"/>
        <w:wordWrap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为促进承包商依法、诚信履行工程合同和投标承诺，提高承包商履约水平，规范履约评价行为，保证工程的质量和安全，根据</w:t>
      </w:r>
      <w:r>
        <w:rPr>
          <w:rFonts w:hint="eastAsia" w:ascii="仿宋_GB2312" w:hAnsi="仿宋_GB2312" w:eastAsia="仿宋_GB2312" w:cs="仿宋_GB2312"/>
          <w:bCs/>
          <w:color w:val="000000"/>
          <w:sz w:val="32"/>
          <w:szCs w:val="32"/>
          <w:shd w:val="clear" w:fill="FFFFFF"/>
          <w:lang w:eastAsia="zh-CN"/>
        </w:rPr>
        <w:t>《建筑市场信用管理暂行办法》</w:t>
      </w:r>
      <w:r>
        <w:rPr>
          <w:rFonts w:hint="eastAsia" w:ascii="仿宋_GB2312" w:hAnsi="仿宋_GB2312" w:eastAsia="仿宋_GB2312" w:cs="仿宋_GB2312"/>
          <w:color w:val="000000"/>
          <w:sz w:val="32"/>
          <w:szCs w:val="32"/>
          <w:shd w:val="clear" w:fill="FFFFFF"/>
          <w:lang w:eastAsia="zh-CN"/>
        </w:rPr>
        <w:t>有关要求，结合本街道的实际情况，制定本细则。</w:t>
      </w:r>
    </w:p>
    <w:p>
      <w:pPr>
        <w:ind w:firstLine="640" w:firstLineChars="200"/>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第一条【适用范围】对深圳市福田区园岭街道办事处政府投资、民生微实事等财政性资金建设项目的施工承包商进行履约评价，适用本办法。</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第二条【评价原则】履约评价应当实事求是，遵循公平、公开、公正、客观的原则。</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第三条【评价方式】承包商的履约评价为单项工程最终履约评价。单项工程最终履约评价是指合同履行完毕后，项目实施部门对承包商的履约行为进行最终的具体评价。</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第四条【评价时间】单项工程最终履约评价工作在工程结算审计后进行。</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第五条【评价单位职责】项目实施部门负责承包商单项工程最终履约评价工作的实施，并将评价结果报街道采购办公室备案。自合同签订之日起，项目实施部门应按照规定加强对承包商日常履约情况的评价。</w:t>
      </w:r>
    </w:p>
    <w:p>
      <w:pPr>
        <w:pStyle w:val="3"/>
        <w:widowControl/>
        <w:shd w:val="clear" w:fill="FFFFFF"/>
        <w:snapToGrid w:val="0"/>
        <w:spacing w:before="0" w:beforeAutospacing="0" w:after="0" w:afterAutospacing="0" w:line="560" w:lineRule="exact"/>
        <w:ind w:left="0" w:right="0" w:firstLine="647"/>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第六条【评价依据】单项工程最终履约评价的依据是双方签订并经备案的工程合同及补充协议等。</w:t>
      </w:r>
    </w:p>
    <w:p>
      <w:pPr>
        <w:pStyle w:val="3"/>
        <w:widowControl/>
        <w:shd w:val="clear" w:fill="FFFFFF"/>
        <w:snapToGrid w:val="0"/>
        <w:spacing w:before="0" w:beforeAutospacing="0" w:after="0" w:afterAutospacing="0" w:line="560" w:lineRule="exact"/>
        <w:ind w:left="0" w:right="0" w:firstLine="648"/>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第七条【评价内容】对施工单位单项工程最终履约评价的主要内容：机构人员配备、技术经济实力、施工过程（质量、安全、文明施工）管理、进度控制、配合与服务、资金支付等。　</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第八条【异议处理】承包商对单项工程履约评价结果有异议的，可在履约评价结果公布之日起</w:t>
      </w:r>
      <w:r>
        <w:rPr>
          <w:rFonts w:hint="eastAsia" w:ascii="仿宋_GB2312" w:hAnsi="仿宋_GB2312" w:eastAsia="仿宋_GB2312" w:cs="仿宋_GB2312"/>
          <w:color w:val="000000"/>
          <w:sz w:val="32"/>
          <w:szCs w:val="32"/>
          <w:shd w:val="clear" w:fill="FFFFFF"/>
          <w:lang w:val="en-US"/>
        </w:rPr>
        <w:t>3</w:t>
      </w:r>
      <w:r>
        <w:rPr>
          <w:rFonts w:hint="eastAsia" w:ascii="仿宋_GB2312" w:hAnsi="仿宋_GB2312" w:eastAsia="仿宋_GB2312" w:cs="仿宋_GB2312"/>
          <w:color w:val="000000"/>
          <w:sz w:val="32"/>
          <w:szCs w:val="32"/>
          <w:shd w:val="clear" w:fill="FFFFFF"/>
          <w:lang w:eastAsia="zh-CN"/>
        </w:rPr>
        <w:t>个工作日内向项目实施部门提出申辩，逾期视为无异议，不再受理。</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bCs/>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第九条【评价结论】单项工程最终履约评价的结果，</w:t>
      </w:r>
      <w:r>
        <w:rPr>
          <w:rFonts w:hint="eastAsia" w:ascii="仿宋_GB2312" w:hAnsi="仿宋_GB2312" w:eastAsia="仿宋_GB2312" w:cs="仿宋_GB2312"/>
          <w:bCs/>
          <w:color w:val="000000"/>
          <w:sz w:val="32"/>
          <w:szCs w:val="32"/>
          <w:shd w:val="clear" w:fill="FFFFFF"/>
          <w:lang w:eastAsia="zh-CN"/>
        </w:rPr>
        <w:t>分为优秀、良好、合格、不合格四个等级。</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（一）优秀：承包商的履约表现达到合同约定的标准且大部分履约水平高于合同约定的标准，评价得分在</w:t>
      </w:r>
      <w:r>
        <w:rPr>
          <w:rFonts w:hint="eastAsia" w:ascii="仿宋_GB2312" w:hAnsi="仿宋_GB2312" w:eastAsia="仿宋_GB2312" w:cs="仿宋_GB2312"/>
          <w:color w:val="000000"/>
          <w:sz w:val="32"/>
          <w:szCs w:val="32"/>
          <w:shd w:val="clear" w:fill="FFFFFF"/>
          <w:lang w:val="en-US"/>
        </w:rPr>
        <w:t>90</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rPr>
        <w:t>100</w:t>
      </w:r>
      <w:r>
        <w:rPr>
          <w:rFonts w:hint="eastAsia" w:ascii="仿宋_GB2312" w:hAnsi="仿宋_GB2312" w:eastAsia="仿宋_GB2312" w:cs="仿宋_GB2312"/>
          <w:color w:val="000000"/>
          <w:sz w:val="32"/>
          <w:szCs w:val="32"/>
          <w:shd w:val="clear" w:fill="FFFFFF"/>
          <w:lang w:eastAsia="zh-CN"/>
        </w:rPr>
        <w:t>分；</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（二）良好：承包商的履约表现达到合同约定的标准且部分履约水平高于合同约定的标准，评价得分在</w:t>
      </w:r>
      <w:r>
        <w:rPr>
          <w:rFonts w:hint="eastAsia" w:ascii="仿宋_GB2312" w:hAnsi="仿宋_GB2312" w:eastAsia="仿宋_GB2312" w:cs="仿宋_GB2312"/>
          <w:color w:val="000000"/>
          <w:sz w:val="32"/>
          <w:szCs w:val="32"/>
          <w:shd w:val="clear" w:fill="FFFFFF"/>
          <w:lang w:val="en-US"/>
        </w:rPr>
        <w:t>75</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rPr>
        <w:t>89</w:t>
      </w:r>
      <w:r>
        <w:rPr>
          <w:rFonts w:hint="eastAsia" w:ascii="仿宋_GB2312" w:hAnsi="仿宋_GB2312" w:eastAsia="仿宋_GB2312" w:cs="仿宋_GB2312"/>
          <w:color w:val="000000"/>
          <w:sz w:val="32"/>
          <w:szCs w:val="32"/>
          <w:shd w:val="clear" w:fill="FFFFFF"/>
          <w:lang w:eastAsia="zh-CN"/>
        </w:rPr>
        <w:t>分；</w:t>
      </w:r>
    </w:p>
    <w:p>
      <w:pPr>
        <w:pStyle w:val="3"/>
        <w:widowControl/>
        <w:shd w:val="clear" w:fill="FFFFFF"/>
        <w:snapToGrid w:val="0"/>
        <w:spacing w:before="0" w:beforeAutospacing="0" w:after="0" w:afterAutospacing="0" w:line="560" w:lineRule="exact"/>
        <w:ind w:left="0" w:right="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　</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lang w:eastAsia="zh-CN"/>
        </w:rPr>
        <w:t>（三）合格：承包商的履约表现达到合同约定的标准，评价得分在</w:t>
      </w:r>
      <w:r>
        <w:rPr>
          <w:rFonts w:hint="eastAsia" w:ascii="仿宋_GB2312" w:hAnsi="仿宋_GB2312" w:eastAsia="仿宋_GB2312" w:cs="仿宋_GB2312"/>
          <w:color w:val="000000"/>
          <w:sz w:val="32"/>
          <w:szCs w:val="32"/>
          <w:shd w:val="clear" w:fill="FFFFFF"/>
          <w:lang w:val="en-US"/>
        </w:rPr>
        <w:t>60</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rPr>
        <w:t>74</w:t>
      </w:r>
      <w:r>
        <w:rPr>
          <w:rFonts w:hint="eastAsia" w:ascii="仿宋_GB2312" w:hAnsi="仿宋_GB2312" w:eastAsia="仿宋_GB2312" w:cs="仿宋_GB2312"/>
          <w:color w:val="000000"/>
          <w:sz w:val="32"/>
          <w:szCs w:val="32"/>
          <w:shd w:val="clear" w:fill="FFFFFF"/>
          <w:lang w:eastAsia="zh-CN"/>
        </w:rPr>
        <w:t>分；</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（四）不合格：承包商的履约表现低于合同约定的标准，或需有关单位重复发出指令、反复整改，才能达到满意水平，评价得分在</w:t>
      </w:r>
      <w:r>
        <w:rPr>
          <w:rFonts w:hint="eastAsia" w:ascii="仿宋_GB2312" w:hAnsi="仿宋_GB2312" w:eastAsia="仿宋_GB2312" w:cs="仿宋_GB2312"/>
          <w:color w:val="000000"/>
          <w:sz w:val="32"/>
          <w:szCs w:val="32"/>
          <w:shd w:val="clear" w:fill="FFFFFF"/>
          <w:lang w:val="en-US"/>
        </w:rPr>
        <w:t>59</w:t>
      </w:r>
      <w:r>
        <w:rPr>
          <w:rFonts w:hint="eastAsia" w:ascii="仿宋_GB2312" w:hAnsi="仿宋_GB2312" w:eastAsia="仿宋_GB2312" w:cs="仿宋_GB2312"/>
          <w:color w:val="000000"/>
          <w:sz w:val="32"/>
          <w:szCs w:val="32"/>
          <w:shd w:val="clear" w:fill="FFFFFF"/>
          <w:lang w:eastAsia="zh-CN"/>
        </w:rPr>
        <w:t>分</w:t>
      </w:r>
      <w:r>
        <w:rPr>
          <w:rFonts w:hint="eastAsia" w:ascii="仿宋_GB2312" w:hAnsi="仿宋_GB2312" w:eastAsia="仿宋_GB2312" w:cs="仿宋_GB2312"/>
          <w:color w:val="000000"/>
          <w:sz w:val="32"/>
          <w:szCs w:val="32"/>
          <w:shd w:val="clear" w:fill="FFFFFF"/>
          <w:lang w:val="en-US"/>
        </w:rPr>
        <w:t>(</w:t>
      </w:r>
      <w:r>
        <w:rPr>
          <w:rFonts w:hint="eastAsia" w:ascii="仿宋_GB2312" w:hAnsi="仿宋_GB2312" w:eastAsia="仿宋_GB2312" w:cs="仿宋_GB2312"/>
          <w:color w:val="000000"/>
          <w:sz w:val="32"/>
          <w:szCs w:val="32"/>
          <w:shd w:val="clear" w:fill="FFFFFF"/>
          <w:lang w:eastAsia="zh-CN"/>
        </w:rPr>
        <w:t>含</w:t>
      </w:r>
      <w:r>
        <w:rPr>
          <w:rFonts w:hint="eastAsia" w:ascii="仿宋_GB2312" w:hAnsi="仿宋_GB2312" w:eastAsia="仿宋_GB2312" w:cs="仿宋_GB2312"/>
          <w:color w:val="000000"/>
          <w:sz w:val="32"/>
          <w:szCs w:val="32"/>
          <w:shd w:val="clear" w:fill="FFFFFF"/>
          <w:lang w:val="en-US"/>
        </w:rPr>
        <w:t>)</w:t>
      </w:r>
      <w:r>
        <w:rPr>
          <w:rFonts w:hint="eastAsia" w:ascii="仿宋_GB2312" w:hAnsi="仿宋_GB2312" w:eastAsia="仿宋_GB2312" w:cs="仿宋_GB2312"/>
          <w:color w:val="000000"/>
          <w:sz w:val="32"/>
          <w:szCs w:val="32"/>
          <w:shd w:val="clear" w:fill="FFFFFF"/>
          <w:lang w:eastAsia="zh-CN"/>
        </w:rPr>
        <w:t>以下。</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承包商有下列情形之一的，其单项工程最终履约评价结果直接评为“不合格”等级：</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（一）因自身原因造成工程发生较大或较大以上事故的；</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（二）因自身原因造成履约时间严重滞后的（滞后时间超过合同约定履约时间</w:t>
      </w:r>
      <w:r>
        <w:rPr>
          <w:rFonts w:hint="eastAsia" w:ascii="仿宋_GB2312" w:hAnsi="仿宋_GB2312" w:eastAsia="仿宋_GB2312" w:cs="仿宋_GB2312"/>
          <w:color w:val="000000"/>
          <w:sz w:val="32"/>
          <w:szCs w:val="32"/>
          <w:shd w:val="clear" w:fill="FFFFFF"/>
          <w:lang w:val="en-US"/>
        </w:rPr>
        <w:t>20%</w:t>
      </w:r>
      <w:r>
        <w:rPr>
          <w:rFonts w:hint="eastAsia" w:ascii="仿宋_GB2312" w:hAnsi="仿宋_GB2312" w:eastAsia="仿宋_GB2312" w:cs="仿宋_GB2312"/>
          <w:color w:val="000000"/>
          <w:sz w:val="32"/>
          <w:szCs w:val="32"/>
          <w:shd w:val="clear" w:fill="FFFFFF"/>
          <w:lang w:eastAsia="zh-CN"/>
        </w:rPr>
        <w:t>）；</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（三）被建设主管部门认定存在转包、挂靠或违法分包工程行为的；</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（四）无正当理由不履行合同的；</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（五）因拖欠工人工资或分包商工程款而发生纠纷逾期未整改或引发群体性（</w:t>
      </w:r>
      <w:r>
        <w:rPr>
          <w:rFonts w:hint="eastAsia" w:ascii="仿宋_GB2312" w:hAnsi="仿宋_GB2312" w:eastAsia="仿宋_GB2312" w:cs="仿宋_GB2312"/>
          <w:color w:val="000000"/>
          <w:sz w:val="32"/>
          <w:szCs w:val="32"/>
          <w:shd w:val="clear" w:fill="FFFFFF"/>
          <w:lang w:val="en-US"/>
        </w:rPr>
        <w:t>5</w:t>
      </w:r>
      <w:r>
        <w:rPr>
          <w:rFonts w:hint="eastAsia" w:ascii="仿宋_GB2312" w:hAnsi="仿宋_GB2312" w:eastAsia="仿宋_GB2312" w:cs="仿宋_GB2312"/>
          <w:color w:val="000000"/>
          <w:sz w:val="32"/>
          <w:szCs w:val="32"/>
          <w:shd w:val="clear" w:fill="FFFFFF"/>
          <w:lang w:eastAsia="zh-CN"/>
        </w:rPr>
        <w:t>人及</w:t>
      </w:r>
      <w:r>
        <w:rPr>
          <w:rFonts w:hint="eastAsia" w:ascii="仿宋_GB2312" w:hAnsi="仿宋_GB2312" w:eastAsia="仿宋_GB2312" w:cs="仿宋_GB2312"/>
          <w:color w:val="000000"/>
          <w:sz w:val="32"/>
          <w:szCs w:val="32"/>
          <w:shd w:val="clear" w:fill="FFFFFF"/>
          <w:lang w:val="en-US"/>
        </w:rPr>
        <w:t>5</w:t>
      </w:r>
      <w:r>
        <w:rPr>
          <w:rFonts w:hint="eastAsia" w:ascii="仿宋_GB2312" w:hAnsi="仿宋_GB2312" w:eastAsia="仿宋_GB2312" w:cs="仿宋_GB2312"/>
          <w:color w:val="000000"/>
          <w:sz w:val="32"/>
          <w:szCs w:val="32"/>
          <w:shd w:val="clear" w:fill="FFFFFF"/>
          <w:lang w:eastAsia="zh-CN"/>
        </w:rPr>
        <w:t>人以上）上访事件造成重大社会影响的；</w:t>
      </w:r>
    </w:p>
    <w:p>
      <w:pPr>
        <w:keepNext w:val="0"/>
        <w:keepLines w:val="0"/>
        <w:widowControl w:val="0"/>
        <w:suppressLineNumbers w:val="0"/>
        <w:snapToGrid w:val="0"/>
        <w:spacing w:before="0" w:beforeAutospacing="0" w:after="0" w:afterAutospacing="0" w:line="560" w:lineRule="exact"/>
        <w:ind w:left="0" w:right="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 xml:space="preserve">    （六）被认定行贿政府部门公职人员的；</w:t>
      </w:r>
    </w:p>
    <w:p>
      <w:pPr>
        <w:keepNext w:val="0"/>
        <w:keepLines w:val="0"/>
        <w:widowControl w:val="0"/>
        <w:suppressLineNumbers w:val="0"/>
        <w:snapToGrid w:val="0"/>
        <w:spacing w:before="0" w:beforeAutospacing="0" w:after="0" w:afterAutospacing="0" w:line="560" w:lineRule="exact"/>
        <w:ind w:left="0" w:right="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    （七）项目实施工程量变更超过合同价10%的设计合同；</w:t>
      </w:r>
    </w:p>
    <w:p>
      <w:pPr>
        <w:keepNext w:val="0"/>
        <w:keepLines w:val="0"/>
        <w:widowControl w:val="0"/>
        <w:suppressLineNumbers w:val="0"/>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shd w:val="clear" w:fill="FFFFFF"/>
          <w:lang w:val="en-US" w:eastAsia="zh-CN" w:bidi="ar"/>
        </w:rPr>
        <w:t>（八）因自身原因与街道或社区产生法律纠纷的。</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第十条【奖励与惩罚】对所有参与评价的承包商，根据履约评价结果采取奖惩激励措施。</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（一）承包单项工程履约评价未出现“不合格”的承包商，将作为下年度签约的基本依据。</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（二）单项合同履约评价评价为“不合格”的承包商，可采取以下惩罚性措施：</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val="en-US"/>
        </w:rPr>
        <w:t>1</w:t>
      </w:r>
      <w:r>
        <w:rPr>
          <w:rFonts w:hint="eastAsia" w:ascii="仿宋_GB2312" w:hAnsi="仿宋_GB2312" w:eastAsia="仿宋_GB2312" w:cs="仿宋_GB2312"/>
          <w:color w:val="000000"/>
          <w:sz w:val="32"/>
          <w:szCs w:val="32"/>
          <w:shd w:val="clear" w:fill="FFFFFF"/>
          <w:lang w:eastAsia="zh-CN"/>
        </w:rPr>
        <w:t>、向承包商发函进行书面警告，暂停其承接项目资格</w:t>
      </w:r>
      <w:r>
        <w:rPr>
          <w:rFonts w:hint="eastAsia" w:ascii="仿宋_GB2312" w:hAnsi="仿宋_GB2312" w:eastAsia="仿宋_GB2312" w:cs="仿宋_GB2312"/>
          <w:color w:val="000000"/>
          <w:sz w:val="32"/>
          <w:szCs w:val="32"/>
          <w:shd w:val="clear" w:fill="FFFFFF"/>
          <w:lang w:val="en-US"/>
        </w:rPr>
        <w:t>6</w:t>
      </w:r>
      <w:r>
        <w:rPr>
          <w:rFonts w:hint="eastAsia" w:ascii="仿宋_GB2312" w:hAnsi="仿宋_GB2312" w:eastAsia="仿宋_GB2312" w:cs="仿宋_GB2312"/>
          <w:color w:val="000000"/>
          <w:sz w:val="32"/>
          <w:szCs w:val="32"/>
          <w:shd w:val="clear" w:fill="FFFFFF"/>
          <w:lang w:eastAsia="zh-CN"/>
        </w:rPr>
        <w:t>个月；</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val="en-US"/>
        </w:rPr>
        <w:t>2</w:t>
      </w:r>
      <w:r>
        <w:rPr>
          <w:rFonts w:hint="eastAsia" w:ascii="仿宋_GB2312" w:hAnsi="仿宋_GB2312" w:eastAsia="仿宋_GB2312" w:cs="仿宋_GB2312"/>
          <w:color w:val="000000"/>
          <w:sz w:val="32"/>
          <w:szCs w:val="32"/>
          <w:shd w:val="clear" w:fill="FFFFFF"/>
          <w:lang w:eastAsia="zh-CN"/>
        </w:rPr>
        <w:t>、将该项目列入重点监督检查名单，在下一年度加大监管力度；</w:t>
      </w:r>
    </w:p>
    <w:p>
      <w:pPr>
        <w:pStyle w:val="3"/>
        <w:widowControl/>
        <w:shd w:val="clear" w:fill="FFFFFF"/>
        <w:snapToGrid w:val="0"/>
        <w:spacing w:before="0" w:beforeAutospacing="0" w:after="0" w:afterAutospacing="0" w:line="560" w:lineRule="exact"/>
        <w:ind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val="en-US"/>
        </w:rPr>
        <w:t>3</w:t>
      </w:r>
      <w:r>
        <w:rPr>
          <w:rFonts w:hint="eastAsia" w:ascii="仿宋_GB2312" w:hAnsi="仿宋_GB2312" w:eastAsia="仿宋_GB2312" w:cs="仿宋_GB2312"/>
          <w:color w:val="000000"/>
          <w:sz w:val="32"/>
          <w:szCs w:val="32"/>
          <w:shd w:val="clear" w:fill="FFFFFF"/>
          <w:lang w:eastAsia="zh-CN"/>
        </w:rPr>
        <w:t>、对于违反合同条款的按照合同条款进行惩罚。</w:t>
      </w:r>
    </w:p>
    <w:p>
      <w:pPr>
        <w:pStyle w:val="3"/>
        <w:widowControl/>
        <w:shd w:val="clear" w:fill="FFFFFF"/>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第十一条【解释与归属】本实施细则由深圳市福田区园岭街道办事处负责解释。</w:t>
      </w:r>
    </w:p>
    <w:p>
      <w:pPr>
        <w:keepNext w:val="0"/>
        <w:keepLines w:val="0"/>
        <w:widowControl w:val="0"/>
        <w:suppressLineNumbers w:val="0"/>
        <w:wordWrap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shd w:val="clear" w:fill="FFFFFF"/>
          <w:lang w:val="en-US" w:eastAsia="zh-CN" w:bidi="ar"/>
        </w:rPr>
        <w:t>第十二条【实施日期】本实施细则自发布之日起实施</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wordWrap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附件：履约评价表</w:t>
      </w:r>
    </w:p>
    <w:p>
      <w:pPr>
        <w:keepNext w:val="0"/>
        <w:keepLines w:val="0"/>
        <w:widowControl w:val="0"/>
        <w:suppressLineNumbers w:val="0"/>
        <w:wordWrap w:val="0"/>
        <w:spacing w:before="0" w:beforeAutospacing="0" w:after="0" w:afterAutospacing="0" w:line="560" w:lineRule="exact"/>
        <w:ind w:left="0" w:right="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         </w:t>
      </w:r>
    </w:p>
    <w:p>
      <w:pPr>
        <w:keepNext w:val="0"/>
        <w:keepLines w:val="0"/>
        <w:widowControl w:val="0"/>
        <w:suppressLineNumbers w:val="0"/>
        <w:wordWrap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wordWrap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p>
    <w:p>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kern w:val="2"/>
          <w:sz w:val="32"/>
          <w:szCs w:val="32"/>
          <w:lang w:val="en-US" w:eastAsia="zh-CN" w:bidi="ar"/>
        </w:rPr>
        <w:t>履约评价表</w:t>
      </w:r>
    </w:p>
    <w:tbl>
      <w:tblPr>
        <w:tblStyle w:val="5"/>
        <w:tblW w:w="10120" w:type="dxa"/>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44"/>
        <w:gridCol w:w="1420"/>
        <w:gridCol w:w="2093"/>
        <w:gridCol w:w="1629"/>
        <w:gridCol w:w="673"/>
        <w:gridCol w:w="139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评价形式</w:t>
            </w:r>
          </w:p>
        </w:tc>
        <w:tc>
          <w:tcPr>
            <w:tcW w:w="8476"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单项工程阶段履约评价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工程名称</w:t>
            </w:r>
          </w:p>
        </w:tc>
        <w:tc>
          <w:tcPr>
            <w:tcW w:w="351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c>
          <w:tcPr>
            <w:tcW w:w="16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承包商</w:t>
            </w:r>
          </w:p>
        </w:tc>
        <w:tc>
          <w:tcPr>
            <w:tcW w:w="33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最终评价等级</w:t>
            </w:r>
          </w:p>
        </w:tc>
        <w:tc>
          <w:tcPr>
            <w:tcW w:w="3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优秀□ 良好□ 合格□ 不合格□</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评价时间</w:t>
            </w:r>
          </w:p>
        </w:tc>
        <w:tc>
          <w:tcPr>
            <w:tcW w:w="33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评价内容</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评价指标</w:t>
            </w:r>
          </w:p>
        </w:tc>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满分</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量化分值</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项目经理</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与投标承诺或合同是否一致</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8</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是否有常驻现场</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是否称职</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是否有未经批准擅自更换项目经理</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其他管理人员</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是否规定到位</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人员专业、数量是否满足工程要求</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工程作业人员</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是否有进行教育培训考核</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6</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特殊工种是否有持证上岗</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技术实力</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是否有相应的技术实力履行合同</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施工重点、难点问题是否能有效解决</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应急处置</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是否有建立应急预案</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6</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施工质量</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是否有使用不合格材料设备或偷工减料</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15</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是否对工程材料进行质量检查检验</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是否将隐蔽工程及时报监理单位验收</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发生质量问题时是否能及时按要求整改</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7</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施工安全</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是否对工程机械设备进行定期维护检查</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15</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施工安全防护设施是否到位</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是否有存在施工安全隐患</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8</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文明施工</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施工现场是否有主动采取环境保护措施（包括噪音、扬尘等）</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9</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竣工移交</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竣工资料是否齐全、规范</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6</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是否能够认真主动地按合同要求办理工程竣工验收及移交手续</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竣工结算资料是否按合同要求及时提交</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工资支付</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是否及时发放农民工工资</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6</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6</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11</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工程款支付</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是否有发生过因拖欠分包商工程款引发投诉上访</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21"/>
                <w:szCs w:val="21"/>
                <w:lang w:val="en-US" w:eastAsia="zh-CN" w:bidi="ar"/>
              </w:rPr>
              <w:t>12</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工期控制</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是否有主动控制工程的各阶段工期</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24</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总体及阶段性工期计划以及控制措施是否科学合理</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发现工程进度有落后时是否及时采取补救措施</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是否有施工单位原因导致实际工期超过合同工期</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kern w:val="2"/>
                <w:sz w:val="18"/>
                <w:szCs w:val="18"/>
                <w:lang w:val="en-US" w:eastAsia="zh-CN" w:bidi="ar"/>
              </w:rPr>
              <w:t>10</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60" w:lineRule="exact"/>
              <w:ind w:left="0" w:right="0"/>
              <w:jc w:val="center"/>
              <w:rPr>
                <w:rFonts w:hint="eastAsia" w:ascii="仿宋_GB2312" w:hAnsi="仿宋_GB2312" w:eastAsia="仿宋_GB2312" w:cs="仿宋_GB231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autoSpaceDE w:val="0"/>
              <w:autoSpaceDN w:val="0"/>
              <w:adjustRightInd w:val="0"/>
              <w:spacing w:before="0" w:beforeAutospacing="0" w:after="0" w:afterAutospacing="0" w:line="260" w:lineRule="exact"/>
              <w:ind w:left="0" w:right="0" w:firstLine="4860" w:firstLineChars="2700"/>
              <w:jc w:val="both"/>
              <w:rPr>
                <w:rFonts w:hint="eastAsia" w:ascii="仿宋_GB2312" w:hAnsi="仿宋_GB2312" w:eastAsia="仿宋_GB2312" w:cs="仿宋_GB2312"/>
                <w:kern w:val="0"/>
                <w:sz w:val="18"/>
                <w:szCs w:val="18"/>
                <w:lang w:val="en-US"/>
              </w:rPr>
            </w:pPr>
            <w:r>
              <w:rPr>
                <w:rFonts w:hint="eastAsia" w:ascii="仿宋_GB2312" w:hAnsi="仿宋_GB2312" w:eastAsia="仿宋_GB2312" w:cs="仿宋_GB2312"/>
                <w:kern w:val="0"/>
                <w:sz w:val="18"/>
                <w:szCs w:val="18"/>
                <w:lang w:val="en-US" w:eastAsia="zh-CN" w:bidi="ar"/>
              </w:rPr>
              <w:t xml:space="preserve">评价人签字：       </w:t>
            </w:r>
          </w:p>
          <w:p>
            <w:pPr>
              <w:keepNext w:val="0"/>
              <w:keepLines w:val="0"/>
              <w:widowControl w:val="0"/>
              <w:suppressLineNumbers w:val="0"/>
              <w:wordWrap w:val="0"/>
              <w:autoSpaceDE w:val="0"/>
              <w:autoSpaceDN w:val="0"/>
              <w:adjustRightInd w:val="0"/>
              <w:spacing w:before="0" w:beforeAutospacing="0" w:after="0" w:afterAutospacing="0" w:line="260" w:lineRule="exact"/>
              <w:ind w:left="0" w:right="0"/>
              <w:jc w:val="center"/>
              <w:rPr>
                <w:rFonts w:hint="eastAsia" w:ascii="仿宋_GB2312" w:hAnsi="仿宋_GB2312" w:eastAsia="仿宋_GB2312" w:cs="仿宋_GB2312"/>
                <w:kern w:val="0"/>
                <w:sz w:val="18"/>
                <w:szCs w:val="18"/>
                <w:lang w:val="en-US"/>
              </w:rPr>
            </w:pPr>
            <w:r>
              <w:rPr>
                <w:rFonts w:hint="eastAsia" w:ascii="仿宋_GB2312" w:hAnsi="仿宋_GB2312" w:eastAsia="仿宋_GB2312" w:cs="仿宋_GB2312"/>
                <w:kern w:val="0"/>
                <w:sz w:val="18"/>
                <w:szCs w:val="18"/>
                <w:lang w:val="en-US" w:eastAsia="zh-CN" w:bidi="ar"/>
              </w:rPr>
              <w:t xml:space="preserve">                                                年     月     日</w:t>
            </w:r>
          </w:p>
        </w:tc>
      </w:tr>
    </w:tbl>
    <w:p>
      <w:pPr>
        <w:keepNext w:val="0"/>
        <w:keepLines w:val="0"/>
        <w:widowControl w:val="0"/>
        <w:suppressLineNumbers w:val="0"/>
        <w:wordWrap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 w:hAnsi="仿宋" w:eastAsia="仿宋" w:cs="仿宋"/>
          <w:kern w:val="2"/>
          <w:sz w:val="21"/>
          <w:szCs w:val="21"/>
          <w:lang w:val="en-US" w:eastAsia="zh-CN" w:bidi="ar"/>
        </w:rPr>
        <w:t>注：优秀</w:t>
      </w:r>
      <w:r>
        <w:rPr>
          <w:rFonts w:hint="eastAsia" w:ascii="宋体" w:hAnsi="宋体" w:eastAsia="宋体" w:cs="宋体"/>
          <w:kern w:val="2"/>
          <w:sz w:val="21"/>
          <w:szCs w:val="21"/>
          <w:lang w:val="en-US" w:eastAsia="zh-CN" w:bidi="ar"/>
        </w:rPr>
        <w:t>：90-100分；</w:t>
      </w:r>
      <w:r>
        <w:rPr>
          <w:rFonts w:hint="eastAsia" w:ascii="仿宋" w:hAnsi="仿宋" w:eastAsia="仿宋" w:cs="仿宋"/>
          <w:kern w:val="2"/>
          <w:sz w:val="21"/>
          <w:szCs w:val="21"/>
          <w:lang w:val="en-US" w:eastAsia="zh-CN" w:bidi="ar"/>
        </w:rPr>
        <w:t xml:space="preserve"> 良好</w:t>
      </w:r>
      <w:r>
        <w:rPr>
          <w:rFonts w:hint="eastAsia" w:ascii="宋体" w:hAnsi="宋体" w:eastAsia="宋体" w:cs="宋体"/>
          <w:kern w:val="2"/>
          <w:sz w:val="21"/>
          <w:szCs w:val="21"/>
          <w:lang w:val="en-US" w:eastAsia="zh-CN" w:bidi="ar"/>
        </w:rPr>
        <w:t>：75-89分；</w:t>
      </w:r>
      <w:r>
        <w:rPr>
          <w:rFonts w:hint="eastAsia" w:ascii="仿宋" w:hAnsi="仿宋" w:eastAsia="仿宋" w:cs="仿宋"/>
          <w:kern w:val="2"/>
          <w:sz w:val="21"/>
          <w:szCs w:val="21"/>
          <w:lang w:val="en-US" w:eastAsia="zh-CN" w:bidi="ar"/>
        </w:rPr>
        <w:t>合格</w:t>
      </w:r>
      <w:r>
        <w:rPr>
          <w:rFonts w:hint="eastAsia" w:ascii="宋体" w:hAnsi="宋体" w:eastAsia="宋体" w:cs="宋体"/>
          <w:kern w:val="2"/>
          <w:sz w:val="21"/>
          <w:szCs w:val="21"/>
          <w:lang w:val="en-US" w:eastAsia="zh-CN" w:bidi="ar"/>
        </w:rPr>
        <w:t>：60-74分；</w:t>
      </w:r>
      <w:r>
        <w:rPr>
          <w:rFonts w:hint="eastAsia" w:ascii="仿宋" w:hAnsi="仿宋" w:eastAsia="仿宋" w:cs="仿宋"/>
          <w:kern w:val="2"/>
          <w:sz w:val="21"/>
          <w:szCs w:val="21"/>
          <w:lang w:val="en-US" w:eastAsia="zh-CN" w:bidi="ar"/>
        </w:rPr>
        <w:t>不合格：59分（含）以下。</w:t>
      </w:r>
    </w:p>
    <w:p>
      <w:pPr>
        <w:keepNext w:val="0"/>
        <w:keepLines w:val="0"/>
        <w:widowControl w:val="0"/>
        <w:suppressLineNumbers w:val="0"/>
        <w:wordWrap w:val="0"/>
        <w:spacing w:before="0" w:beforeAutospacing="0" w:after="0" w:afterAutospacing="0" w:line="560" w:lineRule="exact"/>
        <w:ind w:right="0"/>
        <w:jc w:val="both"/>
      </w:pPr>
    </w:p>
    <w:p/>
    <w:sectPr>
      <w:footerReference r:id="rId3" w:type="default"/>
      <w:pgSz w:w="11906" w:h="16838"/>
      <w:pgMar w:top="1440" w:right="1361" w:bottom="1440" w:left="136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45E9B"/>
    <w:rsid w:val="1F64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2019-05-28T06:53:00Z</dcterms:created>
  <dc:creator>Administrator</dc:creator>
  <cp:lastModifiedBy>Administrator</cp:lastModifiedBy>
  <dcterms:modified xsi:type="dcterms:W3CDTF">2019-05-28T06:54:31Z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