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EFD" w:rsidRPr="004B2EFD" w:rsidRDefault="004B2EFD" w:rsidP="004B2EFD">
      <w:pPr>
        <w:widowControl/>
        <w:shd w:val="clear" w:color="auto" w:fill="F5F5F5"/>
        <w:spacing w:line="450" w:lineRule="atLeast"/>
        <w:jc w:val="center"/>
        <w:outlineLvl w:val="1"/>
        <w:rPr>
          <w:rFonts w:ascii="微软雅黑" w:eastAsia="微软雅黑" w:hAnsi="微软雅黑" w:cs="宋体"/>
          <w:color w:val="1185D1"/>
          <w:kern w:val="0"/>
          <w:sz w:val="36"/>
          <w:szCs w:val="36"/>
        </w:rPr>
      </w:pPr>
      <w:r w:rsidRPr="004B2EFD">
        <w:rPr>
          <w:rFonts w:ascii="微软雅黑" w:eastAsia="微软雅黑" w:hAnsi="微软雅黑" w:cs="宋体" w:hint="eastAsia"/>
          <w:color w:val="1185D1"/>
          <w:kern w:val="0"/>
          <w:sz w:val="36"/>
          <w:szCs w:val="36"/>
        </w:rPr>
        <w:t>民政部关于贯彻落实《国务院关于进一步健全特困人员救助供养制度的意见》的通知</w:t>
      </w:r>
    </w:p>
    <w:p w:rsidR="004B2EFD" w:rsidRPr="004B2EFD" w:rsidRDefault="004B2EFD" w:rsidP="004B2EFD">
      <w:pPr>
        <w:widowControl/>
        <w:shd w:val="clear" w:color="auto" w:fill="F5F5F5"/>
        <w:spacing w:line="390" w:lineRule="atLeast"/>
        <w:jc w:val="center"/>
        <w:rPr>
          <w:rFonts w:ascii="微软雅黑" w:eastAsia="微软雅黑" w:hAnsi="微软雅黑" w:cs="宋体" w:hint="eastAsia"/>
          <w:color w:val="777777"/>
          <w:kern w:val="0"/>
          <w:sz w:val="18"/>
          <w:szCs w:val="18"/>
        </w:rPr>
      </w:pPr>
      <w:bookmarkStart w:id="0" w:name="_GoBack"/>
      <w:bookmarkEnd w:id="0"/>
    </w:p>
    <w:p w:rsidR="004B2EFD" w:rsidRPr="004B2EFD" w:rsidRDefault="004B2EFD" w:rsidP="004B2EFD">
      <w:pPr>
        <w:widowControl/>
        <w:shd w:val="clear" w:color="auto" w:fill="F5F5F5"/>
        <w:spacing w:after="150" w:line="360" w:lineRule="atLeast"/>
        <w:jc w:val="center"/>
        <w:rPr>
          <w:rFonts w:ascii="微软雅黑" w:eastAsia="微软雅黑" w:hAnsi="微软雅黑" w:cs="宋体" w:hint="eastAsia"/>
          <w:color w:val="444444"/>
          <w:kern w:val="0"/>
          <w:szCs w:val="21"/>
        </w:rPr>
      </w:pPr>
      <w:r w:rsidRPr="004B2EFD">
        <w:rPr>
          <w:rFonts w:ascii="微软雅黑" w:eastAsia="微软雅黑" w:hAnsi="微软雅黑" w:cs="宋体" w:hint="eastAsia"/>
          <w:b/>
          <w:bCs/>
          <w:color w:val="444444"/>
          <w:kern w:val="0"/>
          <w:szCs w:val="21"/>
        </w:rPr>
        <w:t>民发〔2016〕115号</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各省、自治区、直辖市民政厅（局），各计划单列市民政局，新疆生产建设兵团民政局：</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国务院印发《关于进一步健全特困人员救助供养制度的意见》（国发〔2016〕14号，以下简称《意见》），对做好新形势下的特困人员救助供养工作做出了系统安排，为深入贯彻落实《意见》精神，现就有关事项通知如下:</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w:t>
      </w:r>
      <w:r w:rsidRPr="004B2EFD">
        <w:rPr>
          <w:rFonts w:ascii="微软雅黑" w:eastAsia="微软雅黑" w:hAnsi="微软雅黑" w:cs="宋体" w:hint="eastAsia"/>
          <w:b/>
          <w:bCs/>
          <w:color w:val="444444"/>
          <w:kern w:val="0"/>
          <w:szCs w:val="21"/>
        </w:rPr>
        <w:t>一、充分认识贯彻落实《意见》的重大意义</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特困人员没有劳动能力，没有生活来源，也没有法定赡养抚养扶养义务人或者其法定义务人无履行义务能力，是我国现阶段最困难、最脆弱的人群。为城乡特困人员提供制度化的基本生活保障和照料护理服务，是落实《社会救助暂行办法》的具体举措，是完善社会救助体系、编密织</w:t>
      </w:r>
      <w:proofErr w:type="gramStart"/>
      <w:r w:rsidRPr="004B2EFD">
        <w:rPr>
          <w:rFonts w:ascii="微软雅黑" w:eastAsia="微软雅黑" w:hAnsi="微软雅黑" w:cs="宋体" w:hint="eastAsia"/>
          <w:color w:val="444444"/>
          <w:kern w:val="0"/>
          <w:szCs w:val="21"/>
        </w:rPr>
        <w:t>牢</w:t>
      </w:r>
      <w:proofErr w:type="gramEnd"/>
      <w:r w:rsidRPr="004B2EFD">
        <w:rPr>
          <w:rFonts w:ascii="微软雅黑" w:eastAsia="微软雅黑" w:hAnsi="微软雅黑" w:cs="宋体" w:hint="eastAsia"/>
          <w:color w:val="444444"/>
          <w:kern w:val="0"/>
          <w:szCs w:val="21"/>
        </w:rPr>
        <w:t>基本民生安全网的重要内容，对于坚持共享发展理念、保障和改善民生、如期实现全面建成小康社会奋斗目标具有十分重要的意义。</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各级民政部门要结合贯彻落实党的十八届三中、四中、五中全会精神和习近平总书记系列重要讲话精神，站在保持党和人民群众血肉联系、发挥中国特色社会主义制度优势的高度，充分认识贯彻落实《意见》的重大意义，切实增强责任感、使命感和紧迫感。要全面理解、准确把握《意见》的基本精神和主要内容，将贯彻落实好《意见》精神作为打赢脱贫攻坚战的重要任务和举措抓紧抓好，坚持城乡统筹，强化托底保障，优化服务供给，落实精准救助，切实维护好城乡特困人员的基本生活权益。</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w:t>
      </w:r>
      <w:r w:rsidRPr="004B2EFD">
        <w:rPr>
          <w:rFonts w:ascii="微软雅黑" w:eastAsia="微软雅黑" w:hAnsi="微软雅黑" w:cs="宋体" w:hint="eastAsia"/>
          <w:b/>
          <w:bCs/>
          <w:color w:val="444444"/>
          <w:kern w:val="0"/>
          <w:szCs w:val="21"/>
        </w:rPr>
        <w:t>二、全面把握贯彻落实《意见》的重点任务</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lastRenderedPageBreak/>
        <w:t xml:space="preserve">　　各地要根据《意见》要求，结合实际，突出重点，抓紧完善相关配套政策，确保《意见》的有关规定落到实处。特困人员救助供养已经实现城乡统筹的地方，要按照《意见》要求，重点在标准制定、供养服务供给等方面进一步调整完善现有政策；尚未实现城乡统筹的地方，要抓紧健全制度、完善政策、理顺体制、建立机制，尽快部署实施城乡统一的特困人员救助供养制度。</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一）健全完善对象认定条件。各地要进一步细化特困人员“三无”认定条件，可根据申请人的年龄、残疾等级和罹患重病等情况，确定其有无劳动能力；根据申请人的收入是否足以维持其基本生活、财产状况及使用情况等，确定其有无生活来源；根据申请人的法定赡养抚养扶养义务人身体状况、家庭经济状况以及与申请人生活关联情况等，确定其是否具备赡养、抚养或扶养能力。客观评估特困人员生活自理能力。可按照直观、简便、易操作的原则，参照国际通行标准和《劳动能力鉴定 职工工伤与职业病致残等级》(GB/T 16180－2014)、《老年人能力评估》（MZ/T 039—2013）等有关标准，运用是否具备自主吃饭、穿衣、上下床、如厕、室内行走、洗澡能力等6项指标评估特困人员生活自理能力。6项都能自主完成的，可认定为具备生活自理能力；有1-3项不能自主完成的，可认定为部分丧失生活自理能力；有4项以上（含4项）不能自主完成的，可认定为完全丧失生活自理能力。各地要积极探索委托医疗卫生机构、第三</w:t>
      </w:r>
      <w:proofErr w:type="gramStart"/>
      <w:r w:rsidRPr="004B2EFD">
        <w:rPr>
          <w:rFonts w:ascii="微软雅黑" w:eastAsia="微软雅黑" w:hAnsi="微软雅黑" w:cs="宋体" w:hint="eastAsia"/>
          <w:color w:val="444444"/>
          <w:kern w:val="0"/>
          <w:szCs w:val="21"/>
        </w:rPr>
        <w:t>方专业</w:t>
      </w:r>
      <w:proofErr w:type="gramEnd"/>
      <w:r w:rsidRPr="004B2EFD">
        <w:rPr>
          <w:rFonts w:ascii="微软雅黑" w:eastAsia="微软雅黑" w:hAnsi="微软雅黑" w:cs="宋体" w:hint="eastAsia"/>
          <w:color w:val="444444"/>
          <w:kern w:val="0"/>
          <w:szCs w:val="21"/>
        </w:rPr>
        <w:t>机构等开展特困人员生活自理能力评估。尊重基层首创精神，坚持从实际出发，认真总结以往工作实践中切实可行的特困人员认定做法，并及时上升为政策规定。民政部将在总结地方经验、做法的基础上，适时出台特困人员认定办法。</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二）科学制定救助供养标准。按照《意见》要求，特困人员救助供养标准包括基本生活标准和照料护理标准两部分。各地要按照“分类定标、差异服务”的思路，根据特困人员基本生活需求和照料护理需求，合理确定救助供养标准。基本生活标准应当满足特困人员基</w:t>
      </w:r>
      <w:r w:rsidRPr="004B2EFD">
        <w:rPr>
          <w:rFonts w:ascii="微软雅黑" w:eastAsia="微软雅黑" w:hAnsi="微软雅黑" w:cs="宋体" w:hint="eastAsia"/>
          <w:color w:val="444444"/>
          <w:kern w:val="0"/>
          <w:szCs w:val="21"/>
        </w:rPr>
        <w:lastRenderedPageBreak/>
        <w:t>本生活所需，一般可参照上年度当地居民人均消费支出、人均可支配收入或</w:t>
      </w:r>
      <w:proofErr w:type="gramStart"/>
      <w:r w:rsidRPr="004B2EFD">
        <w:rPr>
          <w:rFonts w:ascii="微软雅黑" w:eastAsia="微软雅黑" w:hAnsi="微软雅黑" w:cs="宋体" w:hint="eastAsia"/>
          <w:color w:val="444444"/>
          <w:kern w:val="0"/>
          <w:szCs w:val="21"/>
        </w:rPr>
        <w:t>低保标准</w:t>
      </w:r>
      <w:proofErr w:type="gramEnd"/>
      <w:r w:rsidRPr="004B2EFD">
        <w:rPr>
          <w:rFonts w:ascii="微软雅黑" w:eastAsia="微软雅黑" w:hAnsi="微软雅黑" w:cs="宋体" w:hint="eastAsia"/>
          <w:color w:val="444444"/>
          <w:kern w:val="0"/>
          <w:szCs w:val="21"/>
        </w:rPr>
        <w:t>的一定比例确定，原则上应不低于当地</w:t>
      </w:r>
      <w:proofErr w:type="gramStart"/>
      <w:r w:rsidRPr="004B2EFD">
        <w:rPr>
          <w:rFonts w:ascii="微软雅黑" w:eastAsia="微软雅黑" w:hAnsi="微软雅黑" w:cs="宋体" w:hint="eastAsia"/>
          <w:color w:val="444444"/>
          <w:kern w:val="0"/>
          <w:szCs w:val="21"/>
        </w:rPr>
        <w:t>低保标准</w:t>
      </w:r>
      <w:proofErr w:type="gramEnd"/>
      <w:r w:rsidRPr="004B2EFD">
        <w:rPr>
          <w:rFonts w:ascii="微软雅黑" w:eastAsia="微软雅黑" w:hAnsi="微软雅黑" w:cs="宋体" w:hint="eastAsia"/>
          <w:color w:val="444444"/>
          <w:kern w:val="0"/>
          <w:szCs w:val="21"/>
        </w:rPr>
        <w:t>的1.3倍。照料护理标准应当按照差异化服务原则，依据特困人员生活自理能力和服务需求分档制定，一般可分为三档，参照当地日常生活照料、养老机构护理费用或当地最低工资标准的一定比例确定。救助供养标准要与当地经济社会发展相适应，遵循托底、适度原则，适时调整。省级民政部门要加强对标准制定的统筹和指导，鼓励有条件的省份研究制定全省统一的救助供养标准或指导标准，逐步推进城乡统筹、区域统筹。</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三）落实审核审批主体责任。各地要进一步规范特困人员认定程序，强化审核、审批等关键环节的主体责任。县级人民政府民政部门要指导乡镇人民政府（街道办事处）做好特困人员救助供养申请的受理及调查核实工作，及时提出审核意见；指导乡镇人民政府（街道办事处）以及村（居）民委员会根据</w:t>
      </w:r>
      <w:proofErr w:type="gramStart"/>
      <w:r w:rsidRPr="004B2EFD">
        <w:rPr>
          <w:rFonts w:ascii="微软雅黑" w:eastAsia="微软雅黑" w:hAnsi="微软雅黑" w:cs="宋体" w:hint="eastAsia"/>
          <w:color w:val="444444"/>
          <w:kern w:val="0"/>
          <w:szCs w:val="21"/>
        </w:rPr>
        <w:t>日常了解</w:t>
      </w:r>
      <w:proofErr w:type="gramEnd"/>
      <w:r w:rsidRPr="004B2EFD">
        <w:rPr>
          <w:rFonts w:ascii="微软雅黑" w:eastAsia="微软雅黑" w:hAnsi="微软雅黑" w:cs="宋体" w:hint="eastAsia"/>
          <w:color w:val="444444"/>
          <w:kern w:val="0"/>
          <w:szCs w:val="21"/>
        </w:rPr>
        <w:t>掌握的辖区内居民生活情况，对符合条件的居民做好政策宣讲，对无民事行为能力等无法自主申请的，主动帮助其提出申请。县级人民政府民政部门要全面审查调查材料及审核意见，随机抽查核实，及时</w:t>
      </w:r>
      <w:proofErr w:type="gramStart"/>
      <w:r w:rsidRPr="004B2EFD">
        <w:rPr>
          <w:rFonts w:ascii="微软雅黑" w:eastAsia="微软雅黑" w:hAnsi="微软雅黑" w:cs="宋体" w:hint="eastAsia"/>
          <w:color w:val="444444"/>
          <w:kern w:val="0"/>
          <w:szCs w:val="21"/>
        </w:rPr>
        <w:t>作出</w:t>
      </w:r>
      <w:proofErr w:type="gramEnd"/>
      <w:r w:rsidRPr="004B2EFD">
        <w:rPr>
          <w:rFonts w:ascii="微软雅黑" w:eastAsia="微软雅黑" w:hAnsi="微软雅黑" w:cs="宋体" w:hint="eastAsia"/>
          <w:color w:val="444444"/>
          <w:kern w:val="0"/>
          <w:szCs w:val="21"/>
        </w:rPr>
        <w:t>审批决定，并建立特困人员救助供养档案。规范救助供养终止程序，对不再符合救助供养条件的特困人员，村（居）民委员会或供养服务机构应及时告知乡镇人民政府（街道办事处），按规定启动终止程序，经乡镇人民政府（街道办事处）审核、县级人民政府民政部门审批后，终止救助供养并予以公示。终止救助供养后，符合最低生活保障或其他社会救助条件的，要及时纳入相应救助范围，确保其基本生活有保障。</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四）优化救助供养形式。各地要结合本地区特困人员集中供养工作现状，按照《民政事业发展第十三个五年规划》关于特困人员集中供养的总体要求和目标任务，制定年度实施计划，分解有关量化指标，明确具体工作措施，确保完全或部分丧失生活自理能力的特困人员优先到供养服务机构集中供养，获得稳定的生活照料。鼓励和支持具备生活自理能力的特</w:t>
      </w:r>
      <w:r w:rsidRPr="004B2EFD">
        <w:rPr>
          <w:rFonts w:ascii="微软雅黑" w:eastAsia="微软雅黑" w:hAnsi="微软雅黑" w:cs="宋体" w:hint="eastAsia"/>
          <w:color w:val="444444"/>
          <w:kern w:val="0"/>
          <w:szCs w:val="21"/>
        </w:rPr>
        <w:lastRenderedPageBreak/>
        <w:t>困人员在家分散供养，可委托其亲友或村（居）民委员会、供养服务机构、社会组织等提供日常看护、生活照料、住院陪护等服务，继续探索推进家庭托养、寄养和社会助养，确保其“平日有人照应、生病有人看护”。有条件的地方，可为分散供养的特困人员提供无偿或低偿的社区日间照料服务。特困人员救助供养金中的照料护理费用，可由县级人民政府民政部门统筹用于购买特困人员照料护理服务。集中供养的，统一用于供养服务机构照料护理开支；分散供养的，由乡镇人民政府（街道办事处）按照委托照料服务协议，用于支付服务费用。县级人民政府民政部门要规范委托服务行为，明确协议中服务项目、费用标准、责任追究等内容；要指导乡镇人民政府（街道办事处）与受托方签订照料服务协议，并加强对协议履行情况的监督，督促约定服务事项落实到位。支持、引导社会工作服务机构和专业社会工作者为特困人员提供困难帮扶、社会融入、心理疏导、资源链接、社会康复、权益维护等专业服务，积极构建物质资金帮扶与心理社会支持相结合、基本照料服务与专业化个性化服务相配套的供养模式。</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五）提升机构管理服务能力。各地要进一步明确政府设立的敬老院、福利院等供养服务机构的功能定位，强化为特困人员服务、满足特困人员集中供养需求的职责和义务，积极推动农村供养服务机构依法办理法人登记，充分发挥</w:t>
      </w:r>
      <w:proofErr w:type="gramStart"/>
      <w:r w:rsidRPr="004B2EFD">
        <w:rPr>
          <w:rFonts w:ascii="微软雅黑" w:eastAsia="微软雅黑" w:hAnsi="微软雅黑" w:cs="宋体" w:hint="eastAsia"/>
          <w:color w:val="444444"/>
          <w:kern w:val="0"/>
          <w:szCs w:val="21"/>
        </w:rPr>
        <w:t>托底保障</w:t>
      </w:r>
      <w:proofErr w:type="gramEnd"/>
      <w:r w:rsidRPr="004B2EFD">
        <w:rPr>
          <w:rFonts w:ascii="微软雅黑" w:eastAsia="微软雅黑" w:hAnsi="微软雅黑" w:cs="宋体" w:hint="eastAsia"/>
          <w:color w:val="444444"/>
          <w:kern w:val="0"/>
          <w:szCs w:val="21"/>
        </w:rPr>
        <w:t>作用。要通过将供养服务机构建设纳入本地区“十三五”经济社会发展规划和社会养老服务体系建设等专项规划，加快推进农村特困人员供养服务机构建设改造和设施达标，重点加强对现有机构的改建、扩建和设施改造，使单张床位面积、无障碍设施改造、应急呼叫系统设置以及消防设备、安全监控系统等符合生活不能自理特困人员照料护理要求，不断提高机构</w:t>
      </w:r>
      <w:proofErr w:type="gramStart"/>
      <w:r w:rsidRPr="004B2EFD">
        <w:rPr>
          <w:rFonts w:ascii="微软雅黑" w:eastAsia="微软雅黑" w:hAnsi="微软雅黑" w:cs="宋体" w:hint="eastAsia"/>
          <w:color w:val="444444"/>
          <w:kern w:val="0"/>
          <w:szCs w:val="21"/>
        </w:rPr>
        <w:t>托底保障</w:t>
      </w:r>
      <w:proofErr w:type="gramEnd"/>
      <w:r w:rsidRPr="004B2EFD">
        <w:rPr>
          <w:rFonts w:ascii="微软雅黑" w:eastAsia="微软雅黑" w:hAnsi="微软雅黑" w:cs="宋体" w:hint="eastAsia"/>
          <w:color w:val="444444"/>
          <w:kern w:val="0"/>
          <w:szCs w:val="21"/>
        </w:rPr>
        <w:t>能力。认真落实《意见》关于“根据服务对象人数和照料护理需求，按照一定比例配备工作人员”的要求，不断充实工作人员队伍，加强护理型服务人员配备，合理配备使用专业社会工作者。通过“引进来”、“送出去”、加强岗位培训等方式，吸引更多的专业人才投身特困人员供养服务，多</w:t>
      </w:r>
      <w:r w:rsidRPr="004B2EFD">
        <w:rPr>
          <w:rFonts w:ascii="微软雅黑" w:eastAsia="微软雅黑" w:hAnsi="微软雅黑" w:cs="宋体" w:hint="eastAsia"/>
          <w:color w:val="444444"/>
          <w:kern w:val="0"/>
          <w:szCs w:val="21"/>
        </w:rPr>
        <w:lastRenderedPageBreak/>
        <w:t>渠道提升供养服务机构工作人员业务能力。建立健全供养服务机构建设和管理服务标准体系，以标准化建设促进供养服务机构服务能力和服务水平的提升。各省级民政部门要统筹规划本地区农村特困人员供养服务机构建设，增强其在老年人照料、护理方面的区域辐射功能，在满足特困人员集中供养需求的前提下，积极为农村其他低收入、高龄、独居和失能老年人提供养老服务。健全机构内部管理制度，研究制定特困人员照料服务标准，不断提高供养服务机构管理服务的规范化、标准化、专业化水平。鼓励采取公建民营、民办公助等方式，支持社会力量参与供养服务机构建设和运营。积极探索通过政府购买服务等方式向民办机构购买供养服务，满足特困人员多样化、个性化服务需求，统筹各方资源提高供养能力。</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六）加强资金保障和管理。各级民政部门要积极配合财政部门，按照属地管理原则，认真落实《意见》关于“县级以上地方人民政府要将政府设立的供养服务机构运转费用、特困人员救助供养所需资金列入财政预算”的要求，强化资金保障，根据特困人员救助供养标准做好资金需求测算，确保资金安排满足为特困人员提供基本生活保障和照料护理服务的需要。同时，积极拓宽资金筹集渠道，确保敬老院、福利院等供养服务机构正常运行。在分配中央下达的社会养老服务体系建设资金和各级彩票公益金时，要加大对农村特困人员供养服务机构投入力度，确保投入占比逐年提高。规范资金筹集、使用和管理，确保特困人员供养资金及时足额发放、机构运转费用落实到位。</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w:t>
      </w:r>
      <w:r w:rsidRPr="004B2EFD">
        <w:rPr>
          <w:rFonts w:ascii="微软雅黑" w:eastAsia="微软雅黑" w:hAnsi="微软雅黑" w:cs="宋体" w:hint="eastAsia"/>
          <w:b/>
          <w:bCs/>
          <w:color w:val="444444"/>
          <w:kern w:val="0"/>
          <w:szCs w:val="21"/>
        </w:rPr>
        <w:t>三、认真做好贯彻落实《意见》的相关工作</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一）健全工作机制。各地要将特困人员救助供养工作列入政府重要议事日程,纳入本地区“十三五”经济社会发展规划，建立健全政府领导、民政牵头、部门配合、社会参与的工作机制。各级民政部门要切实履行主管部门职责，发挥好统筹协调作用，加强与财政、发展改革、卫生计生、教育、住房城乡建设、人力资源社会保障等部门的协调配合，形成工作</w:t>
      </w:r>
      <w:r w:rsidRPr="004B2EFD">
        <w:rPr>
          <w:rFonts w:ascii="微软雅黑" w:eastAsia="微软雅黑" w:hAnsi="微软雅黑" w:cs="宋体" w:hint="eastAsia"/>
          <w:color w:val="444444"/>
          <w:kern w:val="0"/>
          <w:szCs w:val="21"/>
        </w:rPr>
        <w:lastRenderedPageBreak/>
        <w:t>合力。各级民政部门要加快健全和理顺特困人员救助供养工作管理体制，根据业务职能统一由内设社会救助部门归口管理，确保上下对口、高效联动。</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二）加强督促检查。各地要加强对《意见》落实和特困人员救助供养工作的督促检查，总结推广好的经验做法，及时研究解决存在的突出问题。加快建立特困人员救助供养工作绩效评价机制，加强目标考核，合理运用评价结果，推动工作落实。民政部将会同有关部门适时开展绩效评价和专项检查，并按要求将结果报送中央组织部，作为对省级政府领导班子和有关领导干部综合考核评价的重要参考。</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三）加强宣传培训。各地要结合学习贯彻《社会救助暂行办法》，组织开展业务培训，使各级社会救助工作人员、供养服务机构管理人员全面准确掌握政策、吃透精神、领会要求，切实将特困人员救助供养政策落到实处。要利用城乡社区公共服务综合信息平台、信息宣传栏、宣传册等群众喜闻乐见的途径和形式，加强特困人员救助供养政策宣传，不断提高政策知晓度，使群众了解政策、求助有门。坚持正确的舆论导向，充分发挥供养服务机构“窗口”作用，大力宣传社会救助工作成效和在救助供养工作中涌现的先进人物、感动故事，凝聚人心，汇聚力量，营造全社会关爱特困人员、支持社会救助的良好氛围。</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四）开展摸底排查。各地要抓紧对现有农村五保对象、城市“三无”人员，以及其他符合救助供养条件的困难群众开展一次全面摸底排查，将符合条件的全部纳入救助供养范围，综合评估其生活自理能力，详细了解其集中供养意愿，对完全或者部分丧失生活自理能力的，优先为其提供集中供养服务，做到应救尽救、应养尽养。要按照“一人</w:t>
      </w:r>
      <w:proofErr w:type="gramStart"/>
      <w:r w:rsidRPr="004B2EFD">
        <w:rPr>
          <w:rFonts w:ascii="微软雅黑" w:eastAsia="微软雅黑" w:hAnsi="微软雅黑" w:cs="宋体" w:hint="eastAsia"/>
          <w:color w:val="444444"/>
          <w:kern w:val="0"/>
          <w:szCs w:val="21"/>
        </w:rPr>
        <w:t>一</w:t>
      </w:r>
      <w:proofErr w:type="gramEnd"/>
      <w:r w:rsidRPr="004B2EFD">
        <w:rPr>
          <w:rFonts w:ascii="微软雅黑" w:eastAsia="微软雅黑" w:hAnsi="微软雅黑" w:cs="宋体" w:hint="eastAsia"/>
          <w:color w:val="444444"/>
          <w:kern w:val="0"/>
          <w:szCs w:val="21"/>
        </w:rPr>
        <w:t>档案”的要求，全面建立特困人员分类管理档案。</w:t>
      </w:r>
    </w:p>
    <w:p w:rsidR="004B2EFD" w:rsidRPr="004B2EFD" w:rsidRDefault="004B2EFD" w:rsidP="004B2EFD">
      <w:pPr>
        <w:widowControl/>
        <w:shd w:val="clear" w:color="auto" w:fill="F5F5F5"/>
        <w:spacing w:after="150" w:line="360" w:lineRule="atLeast"/>
        <w:jc w:val="left"/>
        <w:rPr>
          <w:rFonts w:ascii="微软雅黑" w:eastAsia="微软雅黑" w:hAnsi="微软雅黑" w:cs="宋体" w:hint="eastAsia"/>
          <w:color w:val="444444"/>
          <w:kern w:val="0"/>
          <w:szCs w:val="21"/>
        </w:rPr>
      </w:pPr>
      <w:r w:rsidRPr="004B2EFD">
        <w:rPr>
          <w:rFonts w:ascii="微软雅黑" w:eastAsia="微软雅黑" w:hAnsi="微软雅黑" w:cs="宋体" w:hint="eastAsia"/>
          <w:color w:val="444444"/>
          <w:kern w:val="0"/>
          <w:szCs w:val="21"/>
        </w:rPr>
        <w:t xml:space="preserve">　　各地贯彻落实《意见》的有关情况和出台的政策文件、重要工作信息等，请及时报民政部。</w:t>
      </w:r>
    </w:p>
    <w:p w:rsidR="00B61660" w:rsidRPr="004B2EFD" w:rsidRDefault="00B61660"/>
    <w:sectPr w:rsidR="00B61660" w:rsidRPr="004B2E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F49" w:rsidRDefault="00AD1F49" w:rsidP="004B2EFD">
      <w:r>
        <w:separator/>
      </w:r>
    </w:p>
  </w:endnote>
  <w:endnote w:type="continuationSeparator" w:id="0">
    <w:p w:rsidR="00AD1F49" w:rsidRDefault="00AD1F49" w:rsidP="004B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F49" w:rsidRDefault="00AD1F49" w:rsidP="004B2EFD">
      <w:r>
        <w:separator/>
      </w:r>
    </w:p>
  </w:footnote>
  <w:footnote w:type="continuationSeparator" w:id="0">
    <w:p w:rsidR="00AD1F49" w:rsidRDefault="00AD1F49" w:rsidP="004B2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20"/>
    <w:rsid w:val="004B2EFD"/>
    <w:rsid w:val="00AD1F49"/>
    <w:rsid w:val="00B61660"/>
    <w:rsid w:val="00CF6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B2E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2EFD"/>
    <w:rPr>
      <w:sz w:val="18"/>
      <w:szCs w:val="18"/>
    </w:rPr>
  </w:style>
  <w:style w:type="paragraph" w:styleId="a4">
    <w:name w:val="footer"/>
    <w:basedOn w:val="a"/>
    <w:link w:val="Char0"/>
    <w:uiPriority w:val="99"/>
    <w:unhideWhenUsed/>
    <w:rsid w:val="004B2EFD"/>
    <w:pPr>
      <w:tabs>
        <w:tab w:val="center" w:pos="4153"/>
        <w:tab w:val="right" w:pos="8306"/>
      </w:tabs>
      <w:snapToGrid w:val="0"/>
      <w:jc w:val="left"/>
    </w:pPr>
    <w:rPr>
      <w:sz w:val="18"/>
      <w:szCs w:val="18"/>
    </w:rPr>
  </w:style>
  <w:style w:type="character" w:customStyle="1" w:styleId="Char0">
    <w:name w:val="页脚 Char"/>
    <w:basedOn w:val="a0"/>
    <w:link w:val="a4"/>
    <w:uiPriority w:val="99"/>
    <w:rsid w:val="004B2EFD"/>
    <w:rPr>
      <w:sz w:val="18"/>
      <w:szCs w:val="18"/>
    </w:rPr>
  </w:style>
  <w:style w:type="character" w:customStyle="1" w:styleId="2Char">
    <w:name w:val="标题 2 Char"/>
    <w:basedOn w:val="a0"/>
    <w:link w:val="2"/>
    <w:uiPriority w:val="9"/>
    <w:rsid w:val="004B2EFD"/>
    <w:rPr>
      <w:rFonts w:ascii="宋体" w:eastAsia="宋体" w:hAnsi="宋体" w:cs="宋体"/>
      <w:b/>
      <w:bCs/>
      <w:kern w:val="0"/>
      <w:sz w:val="36"/>
      <w:szCs w:val="36"/>
    </w:rPr>
  </w:style>
  <w:style w:type="paragraph" w:styleId="a5">
    <w:name w:val="Normal (Web)"/>
    <w:basedOn w:val="a"/>
    <w:uiPriority w:val="99"/>
    <w:semiHidden/>
    <w:unhideWhenUsed/>
    <w:rsid w:val="004B2EFD"/>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4B2EFD"/>
    <w:rPr>
      <w:i/>
      <w:iCs/>
    </w:rPr>
  </w:style>
  <w:style w:type="character" w:customStyle="1" w:styleId="apple-converted-space">
    <w:name w:val="apple-converted-space"/>
    <w:basedOn w:val="a0"/>
    <w:rsid w:val="004B2EFD"/>
  </w:style>
  <w:style w:type="character" w:styleId="a7">
    <w:name w:val="Hyperlink"/>
    <w:basedOn w:val="a0"/>
    <w:uiPriority w:val="99"/>
    <w:semiHidden/>
    <w:unhideWhenUsed/>
    <w:rsid w:val="004B2EFD"/>
    <w:rPr>
      <w:color w:val="0000FF"/>
      <w:u w:val="single"/>
    </w:rPr>
  </w:style>
  <w:style w:type="character" w:styleId="a8">
    <w:name w:val="Strong"/>
    <w:basedOn w:val="a0"/>
    <w:uiPriority w:val="22"/>
    <w:qFormat/>
    <w:rsid w:val="004B2E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B2EF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2EFD"/>
    <w:rPr>
      <w:sz w:val="18"/>
      <w:szCs w:val="18"/>
    </w:rPr>
  </w:style>
  <w:style w:type="paragraph" w:styleId="a4">
    <w:name w:val="footer"/>
    <w:basedOn w:val="a"/>
    <w:link w:val="Char0"/>
    <w:uiPriority w:val="99"/>
    <w:unhideWhenUsed/>
    <w:rsid w:val="004B2EFD"/>
    <w:pPr>
      <w:tabs>
        <w:tab w:val="center" w:pos="4153"/>
        <w:tab w:val="right" w:pos="8306"/>
      </w:tabs>
      <w:snapToGrid w:val="0"/>
      <w:jc w:val="left"/>
    </w:pPr>
    <w:rPr>
      <w:sz w:val="18"/>
      <w:szCs w:val="18"/>
    </w:rPr>
  </w:style>
  <w:style w:type="character" w:customStyle="1" w:styleId="Char0">
    <w:name w:val="页脚 Char"/>
    <w:basedOn w:val="a0"/>
    <w:link w:val="a4"/>
    <w:uiPriority w:val="99"/>
    <w:rsid w:val="004B2EFD"/>
    <w:rPr>
      <w:sz w:val="18"/>
      <w:szCs w:val="18"/>
    </w:rPr>
  </w:style>
  <w:style w:type="character" w:customStyle="1" w:styleId="2Char">
    <w:name w:val="标题 2 Char"/>
    <w:basedOn w:val="a0"/>
    <w:link w:val="2"/>
    <w:uiPriority w:val="9"/>
    <w:rsid w:val="004B2EFD"/>
    <w:rPr>
      <w:rFonts w:ascii="宋体" w:eastAsia="宋体" w:hAnsi="宋体" w:cs="宋体"/>
      <w:b/>
      <w:bCs/>
      <w:kern w:val="0"/>
      <w:sz w:val="36"/>
      <w:szCs w:val="36"/>
    </w:rPr>
  </w:style>
  <w:style w:type="paragraph" w:styleId="a5">
    <w:name w:val="Normal (Web)"/>
    <w:basedOn w:val="a"/>
    <w:uiPriority w:val="99"/>
    <w:semiHidden/>
    <w:unhideWhenUsed/>
    <w:rsid w:val="004B2EFD"/>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4B2EFD"/>
    <w:rPr>
      <w:i/>
      <w:iCs/>
    </w:rPr>
  </w:style>
  <w:style w:type="character" w:customStyle="1" w:styleId="apple-converted-space">
    <w:name w:val="apple-converted-space"/>
    <w:basedOn w:val="a0"/>
    <w:rsid w:val="004B2EFD"/>
  </w:style>
  <w:style w:type="character" w:styleId="a7">
    <w:name w:val="Hyperlink"/>
    <w:basedOn w:val="a0"/>
    <w:uiPriority w:val="99"/>
    <w:semiHidden/>
    <w:unhideWhenUsed/>
    <w:rsid w:val="004B2EFD"/>
    <w:rPr>
      <w:color w:val="0000FF"/>
      <w:u w:val="single"/>
    </w:rPr>
  </w:style>
  <w:style w:type="character" w:styleId="a8">
    <w:name w:val="Strong"/>
    <w:basedOn w:val="a0"/>
    <w:uiPriority w:val="22"/>
    <w:qFormat/>
    <w:rsid w:val="004B2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485982">
      <w:bodyDiv w:val="1"/>
      <w:marLeft w:val="0"/>
      <w:marRight w:val="0"/>
      <w:marTop w:val="0"/>
      <w:marBottom w:val="0"/>
      <w:divBdr>
        <w:top w:val="none" w:sz="0" w:space="0" w:color="auto"/>
        <w:left w:val="none" w:sz="0" w:space="0" w:color="auto"/>
        <w:bottom w:val="none" w:sz="0" w:space="0" w:color="auto"/>
        <w:right w:val="none" w:sz="0" w:space="0" w:color="auto"/>
      </w:divBdr>
      <w:divsChild>
        <w:div w:id="1685859329">
          <w:marLeft w:val="0"/>
          <w:marRight w:val="0"/>
          <w:marTop w:val="0"/>
          <w:marBottom w:val="300"/>
          <w:divBdr>
            <w:top w:val="none" w:sz="0" w:space="0" w:color="auto"/>
            <w:left w:val="none" w:sz="0" w:space="0" w:color="auto"/>
            <w:bottom w:val="none" w:sz="0" w:space="0" w:color="auto"/>
            <w:right w:val="none" w:sz="0" w:space="0" w:color="auto"/>
          </w:divBdr>
        </w:div>
        <w:div w:id="714697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700</Words>
  <Characters>3990</Characters>
  <Application>Microsoft Office Word</Application>
  <DocSecurity>0</DocSecurity>
  <Lines>33</Lines>
  <Paragraphs>9</Paragraphs>
  <ScaleCrop>false</ScaleCrop>
  <Company>Microsoft</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张恒</dc:creator>
  <cp:keywords/>
  <dc:description/>
  <cp:lastModifiedBy>张恒</cp:lastModifiedBy>
  <cp:revision>2</cp:revision>
  <dcterms:created xsi:type="dcterms:W3CDTF">2019-08-23T01:01:00Z</dcterms:created>
  <dcterms:modified xsi:type="dcterms:W3CDTF">2019-08-23T01:02:00Z</dcterms:modified>
</cp:coreProperties>
</file>