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jc w:val="center"/>
        <w:textAlignment w:val="auto"/>
        <w:rPr>
          <w:rStyle w:val="12"/>
          <w:rFonts w:ascii="仿宋" w:hAnsi="仿宋" w:eastAsia="仿宋"/>
          <w:color w:val="333333"/>
        </w:rPr>
      </w:pPr>
      <w:r>
        <w:rPr>
          <w:rFonts w:hint="eastAsia" w:ascii="方正小标宋_GBK" w:hAnsi="方正小标宋_GBK" w:eastAsia="方正小标宋_GBK" w:cs="方正小标宋_GBK"/>
          <w:b w:val="0"/>
          <w:bCs/>
          <w:sz w:val="44"/>
          <w:szCs w:val="44"/>
        </w:rPr>
        <w:t>深圳市福田区区属企业外部董事管理规定</w:t>
      </w:r>
    </w:p>
    <w:p>
      <w:pPr>
        <w:pStyle w:val="8"/>
        <w:adjustRightInd w:val="0"/>
        <w:snapToGrid w:val="0"/>
        <w:spacing w:before="0" w:beforeAutospacing="0" w:after="0" w:afterAutospacing="0"/>
        <w:jc w:val="center"/>
        <w:rPr>
          <w:rStyle w:val="12"/>
          <w:rFonts w:hint="eastAsia" w:ascii="仿宋_GB2312" w:hAnsi="仿宋_GB2312" w:eastAsia="仿宋_GB2312" w:cs="仿宋_GB2312"/>
          <w:color w:val="333333"/>
          <w:sz w:val="28"/>
          <w:szCs w:val="28"/>
        </w:rPr>
      </w:pPr>
      <w:r>
        <w:rPr>
          <w:rStyle w:val="12"/>
          <w:rFonts w:hint="eastAsia" w:ascii="仿宋_GB2312" w:hAnsi="仿宋_GB2312" w:eastAsia="仿宋_GB2312" w:cs="仿宋_GB2312"/>
          <w:color w:val="333333"/>
          <w:sz w:val="28"/>
          <w:szCs w:val="28"/>
        </w:rPr>
        <w:t>（</w:t>
      </w:r>
      <w:r>
        <w:rPr>
          <w:rStyle w:val="12"/>
          <w:rFonts w:hint="eastAsia" w:ascii="仿宋_GB2312" w:hAnsi="仿宋_GB2312" w:eastAsia="仿宋_GB2312" w:cs="仿宋_GB2312"/>
          <w:color w:val="333333"/>
          <w:sz w:val="28"/>
          <w:szCs w:val="28"/>
          <w:lang w:eastAsia="zh-CN"/>
        </w:rPr>
        <w:t>第二次征求意见稿</w:t>
      </w:r>
      <w:r>
        <w:rPr>
          <w:rStyle w:val="12"/>
          <w:rFonts w:hint="eastAsia" w:ascii="仿宋_GB2312" w:hAnsi="仿宋_GB2312" w:eastAsia="仿宋_GB2312" w:cs="仿宋_GB2312"/>
          <w:color w:val="333333"/>
          <w:sz w:val="28"/>
          <w:szCs w:val="28"/>
        </w:rPr>
        <w:t>）</w:t>
      </w:r>
    </w:p>
    <w:p>
      <w:pPr>
        <w:pStyle w:val="8"/>
        <w:adjustRightInd w:val="0"/>
        <w:snapToGrid w:val="0"/>
        <w:spacing w:before="0" w:beforeAutospacing="0" w:after="0" w:afterAutospacing="0" w:line="360" w:lineRule="auto"/>
        <w:jc w:val="center"/>
        <w:rPr>
          <w:rStyle w:val="12"/>
          <w:rFonts w:hint="eastAsia" w:ascii="仿宋_GB2312" w:hAnsi="仿宋_GB2312" w:eastAsia="仿宋_GB2312" w:cs="仿宋_GB2312"/>
          <w:color w:val="333333"/>
          <w:sz w:val="28"/>
          <w:szCs w:val="28"/>
        </w:rPr>
      </w:pPr>
    </w:p>
    <w:p>
      <w:pPr>
        <w:pStyle w:val="8"/>
        <w:adjustRightInd w:val="0"/>
        <w:snapToGrid w:val="0"/>
        <w:spacing w:before="0" w:beforeAutospacing="0" w:after="0" w:afterAutospacing="0" w:line="360" w:lineRule="auto"/>
        <w:jc w:val="center"/>
        <w:rPr>
          <w:rStyle w:val="12"/>
          <w:rFonts w:hint="eastAsia" w:ascii="仿宋_GB2312" w:hAnsi="仿宋_GB2312" w:eastAsia="仿宋_GB2312" w:cs="仿宋_GB2312"/>
          <w:color w:val="333333"/>
          <w:sz w:val="28"/>
          <w:szCs w:val="28"/>
        </w:rPr>
      </w:pPr>
      <w:r>
        <w:rPr>
          <w:rStyle w:val="12"/>
          <w:rFonts w:hint="eastAsia" w:ascii="仿宋_GB2312" w:hAnsi="仿宋_GB2312" w:eastAsia="仿宋_GB2312" w:cs="仿宋_GB2312"/>
          <w:color w:val="333333"/>
          <w:sz w:val="28"/>
          <w:szCs w:val="28"/>
        </w:rPr>
        <w:t>第一章 总则</w:t>
      </w:r>
    </w:p>
    <w:p>
      <w:pPr>
        <w:pStyle w:val="8"/>
        <w:adjustRightInd w:val="0"/>
        <w:snapToGrid w:val="0"/>
        <w:spacing w:before="0" w:beforeAutospacing="0" w:after="0" w:afterAutospacing="0" w:line="360" w:lineRule="auto"/>
        <w:jc w:val="center"/>
        <w:rPr>
          <w:rFonts w:hint="eastAsia" w:ascii="仿宋_GB2312" w:hAnsi="仿宋_GB2312" w:eastAsia="仿宋_GB2312" w:cs="仿宋_GB2312"/>
          <w:b/>
          <w:bCs/>
          <w:color w:val="333333"/>
          <w:sz w:val="28"/>
          <w:szCs w:val="28"/>
        </w:rPr>
      </w:pPr>
    </w:p>
    <w:p>
      <w:pPr>
        <w:pStyle w:val="8"/>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color w:val="333333"/>
          <w:sz w:val="28"/>
          <w:szCs w:val="28"/>
        </w:rPr>
      </w:pPr>
      <w:bookmarkStart w:id="0" w:name="_Hlk14872557"/>
      <w:r>
        <w:rPr>
          <w:rFonts w:hint="eastAsia" w:ascii="仿宋_GB2312" w:hAnsi="仿宋_GB2312" w:eastAsia="仿宋_GB2312" w:cs="仿宋_GB2312"/>
          <w:b/>
          <w:color w:val="333333"/>
          <w:sz w:val="28"/>
          <w:szCs w:val="28"/>
        </w:rPr>
        <w:t>第一条</w:t>
      </w:r>
      <w:r>
        <w:rPr>
          <w:rFonts w:hint="eastAsia" w:ascii="仿宋_GB2312" w:hAnsi="仿宋_GB2312" w:eastAsia="仿宋_GB2312" w:cs="仿宋_GB2312"/>
          <w:color w:val="333333"/>
          <w:sz w:val="28"/>
          <w:szCs w:val="28"/>
        </w:rPr>
        <w:t xml:space="preserve"> 为提升深圳市福田区区属国有企业的公司治理水平，加强区直企业董事会内部的制衡约束，规范外部董事管理，根据《中华人民共和国公司法》（以下简称“《公司法》”）、《企业国有资产监督管理暂行条例》和《深圳市福田区区属企业国有资产监督管理办法》等有关法律、法规、规章和规范性文件，制定本规定。</w:t>
      </w:r>
    </w:p>
    <w:bookmarkEnd w:id="0"/>
    <w:p>
      <w:pPr>
        <w:pStyle w:val="8"/>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b/>
          <w:color w:val="333333"/>
          <w:sz w:val="28"/>
          <w:szCs w:val="28"/>
        </w:rPr>
        <w:t>第二条</w:t>
      </w:r>
      <w:r>
        <w:rPr>
          <w:rFonts w:hint="eastAsia" w:ascii="仿宋_GB2312" w:hAnsi="仿宋_GB2312" w:eastAsia="仿宋_GB2312" w:cs="仿宋_GB2312"/>
          <w:color w:val="333333"/>
          <w:sz w:val="28"/>
          <w:szCs w:val="28"/>
        </w:rPr>
        <w:t xml:space="preserve"> 本规定适用于深圳市福田区人民政府授权深圳市福田区</w:t>
      </w:r>
      <w:bookmarkStart w:id="1" w:name="_Hlk14526162"/>
      <w:r>
        <w:rPr>
          <w:rFonts w:hint="eastAsia" w:ascii="仿宋_GB2312" w:hAnsi="仿宋_GB2312" w:eastAsia="仿宋_GB2312" w:cs="仿宋_GB2312"/>
          <w:color w:val="333333"/>
          <w:sz w:val="28"/>
          <w:szCs w:val="28"/>
        </w:rPr>
        <w:t>财政局（国有资产监督管理局）</w:t>
      </w:r>
      <w:bookmarkEnd w:id="1"/>
      <w:r>
        <w:rPr>
          <w:rFonts w:hint="eastAsia" w:ascii="仿宋_GB2312" w:hAnsi="仿宋_GB2312" w:eastAsia="仿宋_GB2312" w:cs="仿宋_GB2312"/>
          <w:color w:val="333333"/>
          <w:sz w:val="28"/>
          <w:szCs w:val="28"/>
        </w:rPr>
        <w:t>（以下简称“区财政局（国资局）”）直接出资的国有独资公司、国有资本控股公司（以下简称“区直企业”）。</w:t>
      </w:r>
    </w:p>
    <w:p>
      <w:pPr>
        <w:pStyle w:val="8"/>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b/>
          <w:color w:val="333333"/>
          <w:sz w:val="28"/>
          <w:szCs w:val="28"/>
        </w:rPr>
        <w:t>第三条</w:t>
      </w:r>
      <w:r>
        <w:rPr>
          <w:rFonts w:hint="eastAsia" w:ascii="仿宋_GB2312" w:hAnsi="仿宋_GB2312" w:eastAsia="仿宋_GB2312" w:cs="仿宋_GB2312"/>
          <w:color w:val="333333"/>
          <w:sz w:val="28"/>
          <w:szCs w:val="28"/>
        </w:rPr>
        <w:t xml:space="preserve"> 本规定所称外部董事，是指区财政局（国资局）推荐或委派到区直企业专门担任董事的人员。</w:t>
      </w:r>
    </w:p>
    <w:p>
      <w:pPr>
        <w:pStyle w:val="8"/>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sz w:val="28"/>
          <w:szCs w:val="28"/>
        </w:rPr>
        <w:t>外部董事不是区直企业的员工，不在区直企业领取任何薪酬，区直企业不得委派或者聘任外部董事担任其他职务。</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第四条</w:t>
      </w:r>
      <w:r>
        <w:rPr>
          <w:rFonts w:hint="eastAsia" w:ascii="仿宋_GB2312" w:hAnsi="仿宋_GB2312" w:eastAsia="仿宋_GB2312" w:cs="仿宋_GB2312"/>
          <w:color w:val="333333"/>
          <w:kern w:val="0"/>
          <w:sz w:val="28"/>
          <w:szCs w:val="28"/>
        </w:rPr>
        <w:t xml:space="preserve"> 区财政局（国资局）负责外部董事的选拔、聘用、委派、推荐、考核、薪酬和监督等管理工作。 </w:t>
      </w:r>
    </w:p>
    <w:p>
      <w:pPr>
        <w:pStyle w:val="8"/>
        <w:adjustRightInd w:val="0"/>
        <w:snapToGrid w:val="0"/>
        <w:spacing w:before="0" w:beforeAutospacing="0" w:after="0" w:afterAutospacing="0" w:line="360" w:lineRule="auto"/>
        <w:ind w:firstLine="480"/>
        <w:jc w:val="both"/>
        <w:rPr>
          <w:rFonts w:hint="eastAsia" w:ascii="仿宋_GB2312" w:hAnsi="仿宋_GB2312" w:eastAsia="仿宋_GB2312" w:cs="仿宋_GB2312"/>
          <w:color w:val="333333"/>
          <w:sz w:val="28"/>
          <w:szCs w:val="28"/>
        </w:rPr>
      </w:pPr>
    </w:p>
    <w:p>
      <w:pPr>
        <w:pStyle w:val="8"/>
        <w:adjustRightInd w:val="0"/>
        <w:snapToGrid w:val="0"/>
        <w:spacing w:before="0" w:beforeAutospacing="0" w:after="0" w:afterAutospacing="0" w:line="360" w:lineRule="auto"/>
        <w:ind w:firstLine="480"/>
        <w:jc w:val="center"/>
        <w:rPr>
          <w:rStyle w:val="12"/>
          <w:rFonts w:hint="eastAsia" w:ascii="仿宋_GB2312" w:hAnsi="仿宋_GB2312" w:eastAsia="仿宋_GB2312" w:cs="仿宋_GB2312"/>
          <w:color w:val="333333"/>
          <w:sz w:val="28"/>
          <w:szCs w:val="28"/>
          <w:lang w:eastAsia="zh-CN"/>
        </w:rPr>
      </w:pPr>
      <w:r>
        <w:rPr>
          <w:rStyle w:val="12"/>
          <w:rFonts w:hint="eastAsia" w:ascii="仿宋_GB2312" w:hAnsi="仿宋_GB2312" w:eastAsia="仿宋_GB2312" w:cs="仿宋_GB2312"/>
          <w:color w:val="333333"/>
          <w:sz w:val="28"/>
          <w:szCs w:val="28"/>
        </w:rPr>
        <w:t>第二章　外部董事的</w:t>
      </w:r>
      <w:r>
        <w:rPr>
          <w:rStyle w:val="12"/>
          <w:rFonts w:hint="eastAsia" w:ascii="仿宋_GB2312" w:hAnsi="仿宋_GB2312" w:eastAsia="仿宋_GB2312" w:cs="仿宋_GB2312"/>
          <w:color w:val="333333"/>
          <w:sz w:val="28"/>
          <w:szCs w:val="28"/>
          <w:highlight w:val="none"/>
          <w:lang w:val="en-US" w:eastAsia="zh-CN"/>
        </w:rPr>
        <w:t>任职资格</w:t>
      </w:r>
    </w:p>
    <w:p>
      <w:pPr>
        <w:pStyle w:val="8"/>
        <w:adjustRightInd w:val="0"/>
        <w:snapToGrid w:val="0"/>
        <w:spacing w:before="0" w:beforeAutospacing="0" w:after="0" w:afterAutospacing="0" w:line="360" w:lineRule="auto"/>
        <w:ind w:firstLine="480"/>
        <w:jc w:val="center"/>
        <w:rPr>
          <w:rStyle w:val="12"/>
          <w:rFonts w:hint="eastAsia" w:ascii="仿宋_GB2312" w:hAnsi="仿宋_GB2312" w:eastAsia="仿宋_GB2312" w:cs="仿宋_GB2312"/>
          <w:color w:val="333333"/>
          <w:sz w:val="28"/>
          <w:szCs w:val="28"/>
        </w:rPr>
      </w:pP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w:t>
      </w:r>
      <w:r>
        <w:rPr>
          <w:rFonts w:hint="eastAsia" w:ascii="仿宋_GB2312" w:hAnsi="仿宋_GB2312" w:eastAsia="仿宋_GB2312" w:cs="仿宋_GB2312"/>
          <w:b/>
          <w:color w:val="333333"/>
          <w:sz w:val="28"/>
          <w:szCs w:val="28"/>
        </w:rPr>
        <w:t>第五条</w:t>
      </w:r>
      <w:r>
        <w:rPr>
          <w:rFonts w:hint="eastAsia" w:ascii="仿宋_GB2312" w:hAnsi="仿宋_GB2312" w:eastAsia="仿宋_GB2312" w:cs="仿宋_GB2312"/>
          <w:color w:val="333333"/>
          <w:sz w:val="28"/>
          <w:szCs w:val="28"/>
        </w:rPr>
        <w:t xml:space="preserve"> 担任外部董事的人员，应当具备下列条件：</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（一）具有较高的政治素质和较强的产权代表意识，熟悉国家法律、法规和区属国有企业的监管规定；遵纪守法，诚信勤勉，能够忠实地维护出资人和所在企业的合法权益；</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（二）熟悉国家宏观经济政策和相关行业情况；</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（三）一般具有大学本科以上学历或中级以上职称；</w:t>
      </w:r>
    </w:p>
    <w:p>
      <w:pPr>
        <w:pStyle w:val="8"/>
        <w:adjustRightInd w:val="0"/>
        <w:snapToGrid w:val="0"/>
        <w:spacing w:before="0" w:beforeAutospacing="0" w:after="0" w:afterAutospacing="0" w:line="360" w:lineRule="auto"/>
        <w:ind w:firstLine="555"/>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（四）具有五年以上企业经营管理或相关工作经验，或具有战略管理、资本运营、风险防控、财务审计、人力资源管理、公司治理等某一方面的专长；</w:t>
      </w:r>
    </w:p>
    <w:p>
      <w:pPr>
        <w:pStyle w:val="8"/>
        <w:adjustRightInd w:val="0"/>
        <w:snapToGrid w:val="0"/>
        <w:spacing w:before="0" w:beforeAutospacing="0" w:after="0" w:afterAutospacing="0" w:line="360" w:lineRule="auto"/>
        <w:ind w:firstLine="555"/>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（五）具有较强的决策判断能力、风险管理能力和开拓创新能力；</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（六）有良好的履职记录和工作业绩；</w:t>
      </w:r>
    </w:p>
    <w:p>
      <w:pPr>
        <w:pStyle w:val="8"/>
        <w:adjustRightInd w:val="0"/>
        <w:snapToGrid w:val="0"/>
        <w:spacing w:before="0" w:beforeAutospacing="0" w:after="0" w:afterAutospacing="0" w:line="360" w:lineRule="auto"/>
        <w:ind w:firstLine="555"/>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（七）具有良好的心理素质，身体健康；</w:t>
      </w:r>
    </w:p>
    <w:p>
      <w:pPr>
        <w:pStyle w:val="8"/>
        <w:adjustRightInd w:val="0"/>
        <w:snapToGrid w:val="0"/>
        <w:spacing w:before="0" w:beforeAutospacing="0" w:after="0" w:afterAutospacing="0" w:line="360" w:lineRule="auto"/>
        <w:ind w:firstLine="555"/>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（八）《公司法》规定的其他条件。</w:t>
      </w:r>
    </w:p>
    <w:p>
      <w:pPr>
        <w:pStyle w:val="8"/>
        <w:adjustRightInd w:val="0"/>
        <w:snapToGrid w:val="0"/>
        <w:spacing w:before="0" w:beforeAutospacing="0" w:after="0" w:afterAutospacing="0" w:line="360" w:lineRule="auto"/>
        <w:ind w:firstLine="555"/>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（九）区财政局（国资局）认定的其他条件。 </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第六条</w:t>
      </w:r>
      <w:r>
        <w:rPr>
          <w:rFonts w:hint="eastAsia" w:ascii="仿宋_GB2312" w:hAnsi="仿宋_GB2312" w:eastAsia="仿宋_GB2312" w:cs="仿宋_GB2312"/>
          <w:color w:val="333333"/>
          <w:kern w:val="0"/>
          <w:sz w:val="28"/>
          <w:szCs w:val="28"/>
        </w:rPr>
        <w:t xml:space="preserve"> 有下列情形之一的，不得担任外部董事：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（一）无民事行为能力或限制民事行为能力的；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（二）因贪污、贿赂、侵占财产、挪用财产或者破坏社会主义市场经济秩序，被判处刑罚，执行期满未逾五年的，或者因犯罪被剥夺政治权利，执行期满未逾五年的；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（三）担任破产清算公司、企业的董事或者厂长、经理，对该公司、企业的破产负有个人责任的，自该公司、企业破产清算完结之日起未逾三年的；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（四）担任因违法被吊销营业执照、责令关闭的公司、企业的法定代表人，并负有个人责任的，自该公司、企业被吊销营业执照之日起未逾三年的；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（五）个人所负数额较大的债务到期未清偿的； </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（六）有其他严重违法、违规、违纪行为，不适合担任外部董事的。 </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b/>
          <w:color w:val="333333"/>
          <w:kern w:val="0"/>
          <w:sz w:val="28"/>
          <w:szCs w:val="28"/>
        </w:rPr>
      </w:pPr>
      <w:r>
        <w:rPr>
          <w:rFonts w:hint="eastAsia" w:ascii="仿宋_GB2312" w:hAnsi="仿宋_GB2312" w:eastAsia="仿宋_GB2312" w:cs="仿宋_GB2312"/>
          <w:b/>
          <w:color w:val="333333"/>
          <w:kern w:val="0"/>
          <w:sz w:val="28"/>
          <w:szCs w:val="28"/>
        </w:rPr>
        <w:t xml:space="preserve">第七条 </w:t>
      </w:r>
      <w:r>
        <w:rPr>
          <w:rFonts w:hint="eastAsia" w:ascii="仿宋_GB2312" w:hAnsi="仿宋_GB2312" w:eastAsia="仿宋_GB2312" w:cs="仿宋_GB2312"/>
          <w:color w:val="333333"/>
          <w:kern w:val="0"/>
          <w:sz w:val="28"/>
          <w:szCs w:val="28"/>
        </w:rPr>
        <w:t>外部董事与所在企业之间不得存在可能影响公正履行外部董事职责的关系。</w:t>
      </w:r>
    </w:p>
    <w:p>
      <w:pPr>
        <w:pStyle w:val="8"/>
        <w:adjustRightInd w:val="0"/>
        <w:snapToGrid w:val="0"/>
        <w:spacing w:before="0" w:beforeAutospacing="0" w:after="0" w:afterAutospacing="0" w:line="360" w:lineRule="auto"/>
        <w:ind w:firstLine="570"/>
        <w:jc w:val="both"/>
        <w:rPr>
          <w:rFonts w:hint="eastAsia" w:ascii="仿宋_GB2312" w:hAnsi="仿宋_GB2312" w:eastAsia="仿宋_GB2312" w:cs="仿宋_GB2312"/>
          <w:color w:val="333333"/>
          <w:sz w:val="28"/>
          <w:szCs w:val="28"/>
        </w:rPr>
      </w:pPr>
    </w:p>
    <w:p>
      <w:pPr>
        <w:pStyle w:val="8"/>
        <w:adjustRightInd w:val="0"/>
        <w:snapToGrid w:val="0"/>
        <w:spacing w:before="0" w:beforeAutospacing="0" w:after="0" w:afterAutospacing="0" w:line="360" w:lineRule="auto"/>
        <w:ind w:firstLine="480"/>
        <w:jc w:val="center"/>
        <w:rPr>
          <w:rStyle w:val="12"/>
          <w:rFonts w:hint="eastAsia" w:ascii="仿宋_GB2312" w:hAnsi="仿宋_GB2312" w:eastAsia="仿宋_GB2312" w:cs="仿宋_GB2312"/>
          <w:color w:val="333333"/>
          <w:sz w:val="28"/>
          <w:szCs w:val="28"/>
        </w:rPr>
      </w:pPr>
      <w:r>
        <w:rPr>
          <w:rStyle w:val="12"/>
          <w:rFonts w:hint="eastAsia" w:ascii="仿宋_GB2312" w:hAnsi="仿宋_GB2312" w:eastAsia="仿宋_GB2312" w:cs="仿宋_GB2312"/>
          <w:color w:val="333333"/>
          <w:sz w:val="28"/>
          <w:szCs w:val="28"/>
        </w:rPr>
        <w:t>第三章 外部董事的工作职责</w:t>
      </w:r>
    </w:p>
    <w:p>
      <w:pPr>
        <w:pStyle w:val="8"/>
        <w:adjustRightInd w:val="0"/>
        <w:snapToGrid w:val="0"/>
        <w:spacing w:before="0" w:beforeAutospacing="0" w:after="0" w:afterAutospacing="0" w:line="360" w:lineRule="auto"/>
        <w:ind w:firstLine="480"/>
        <w:jc w:val="center"/>
        <w:rPr>
          <w:rStyle w:val="12"/>
          <w:rFonts w:hint="eastAsia" w:ascii="仿宋_GB2312" w:hAnsi="仿宋_GB2312" w:eastAsia="仿宋_GB2312" w:cs="仿宋_GB2312"/>
          <w:color w:val="333333"/>
          <w:sz w:val="28"/>
          <w:szCs w:val="28"/>
        </w:rPr>
      </w:pP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w:t>
      </w:r>
      <w:r>
        <w:rPr>
          <w:rFonts w:hint="eastAsia" w:ascii="仿宋_GB2312" w:hAnsi="仿宋_GB2312" w:eastAsia="仿宋_GB2312" w:cs="仿宋_GB2312"/>
          <w:b/>
          <w:color w:val="333333"/>
          <w:sz w:val="28"/>
          <w:szCs w:val="28"/>
        </w:rPr>
        <w:t>第八条</w:t>
      </w:r>
      <w:r>
        <w:rPr>
          <w:rFonts w:hint="eastAsia" w:ascii="仿宋_GB2312" w:hAnsi="仿宋_GB2312" w:eastAsia="仿宋_GB2312" w:cs="仿宋_GB2312"/>
          <w:color w:val="333333"/>
          <w:sz w:val="28"/>
          <w:szCs w:val="28"/>
        </w:rPr>
        <w:t xml:space="preserve"> 外部董事对区财政局（国资局）负责，履行以下职责：</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（一）贯彻执行福田区人民政府和区财政局（国资局）关于企业改革发展的方针、政策规定、决议和指示；</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（二）忠实履行董事职责，积极维护出资人和所在企业的合法权益，确保国有资产保值增值；</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（三）及时了解和掌握足够的区直企业经营运营情况，出席区直企业董事会会议，在深入研究、分析的基础上就会议讨论决定事项独立发表意见、慎重地表决，使董事会能够作出独立于管理层的客观判断；</w:t>
      </w:r>
    </w:p>
    <w:p>
      <w:pPr>
        <w:pStyle w:val="8"/>
        <w:adjustRightInd w:val="0"/>
        <w:snapToGrid w:val="0"/>
        <w:spacing w:before="0" w:beforeAutospacing="0" w:after="0" w:afterAutospacing="0" w:line="360" w:lineRule="auto"/>
        <w:ind w:firstLine="480"/>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（四）对区直企业进行监督，每年上半年和下半年结束后一个月内向区财政局（国资局）报告一次工作（报告模板见附件），发现存在违法违规问题，应当建议纠正并及时向区财政局（国资局）报告；</w:t>
      </w:r>
    </w:p>
    <w:p>
      <w:pPr>
        <w:pStyle w:val="8"/>
        <w:adjustRightInd w:val="0"/>
        <w:snapToGrid w:val="0"/>
        <w:spacing w:before="0" w:beforeAutospacing="0" w:after="0" w:afterAutospacing="0" w:line="360" w:lineRule="auto"/>
        <w:ind w:firstLine="480"/>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（五）自觉接受区财政局（国资局）监督，接受区直企业监事会对其履行职责的合法监督和合理建议；</w:t>
      </w:r>
    </w:p>
    <w:p>
      <w:pPr>
        <w:pStyle w:val="8"/>
        <w:adjustRightInd w:val="0"/>
        <w:snapToGrid w:val="0"/>
        <w:spacing w:before="0" w:beforeAutospacing="0" w:after="0" w:afterAutospacing="0" w:line="360" w:lineRule="auto"/>
        <w:ind w:firstLine="480"/>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（六）《公司法》和区直企业公司章程规定的其他职责。</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w:t>
      </w:r>
      <w:r>
        <w:rPr>
          <w:rFonts w:hint="eastAsia" w:ascii="仿宋_GB2312" w:hAnsi="仿宋_GB2312" w:eastAsia="仿宋_GB2312" w:cs="仿宋_GB2312"/>
          <w:b/>
          <w:color w:val="333333"/>
          <w:sz w:val="28"/>
          <w:szCs w:val="28"/>
        </w:rPr>
        <w:t>第九条</w:t>
      </w:r>
      <w:r>
        <w:rPr>
          <w:rFonts w:hint="eastAsia" w:ascii="仿宋_GB2312" w:hAnsi="仿宋_GB2312" w:eastAsia="仿宋_GB2312" w:cs="仿宋_GB2312"/>
          <w:color w:val="333333"/>
          <w:sz w:val="28"/>
          <w:szCs w:val="28"/>
        </w:rPr>
        <w:t xml:space="preserve"> 外部董事可以以下列方式行使职权：</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（一）认为董事会会议议题未经必备程序、会议资料不充分时，提出缓开董事会会议或缓议董事会会议议题的建议；</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（二）为了履行职责之需要了解区直企业的各项业务情况，区直企业应予配合；</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（三）直接向区财政局（国资局）报告所发现的可能损害出资人或所在企业合法权益的情况。</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w:t>
      </w:r>
      <w:r>
        <w:rPr>
          <w:rFonts w:hint="eastAsia" w:ascii="仿宋_GB2312" w:hAnsi="仿宋_GB2312" w:eastAsia="仿宋_GB2312" w:cs="仿宋_GB2312"/>
          <w:b/>
          <w:color w:val="333333"/>
          <w:sz w:val="28"/>
          <w:szCs w:val="28"/>
        </w:rPr>
        <w:t>第十条</w:t>
      </w:r>
      <w:r>
        <w:rPr>
          <w:rFonts w:hint="eastAsia" w:ascii="仿宋_GB2312" w:hAnsi="仿宋_GB2312" w:eastAsia="仿宋_GB2312" w:cs="仿宋_GB2312"/>
          <w:color w:val="333333"/>
          <w:sz w:val="28"/>
          <w:szCs w:val="28"/>
        </w:rPr>
        <w:t xml:space="preserve"> 外部董事应遵守下列行为规范：</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xml:space="preserve">　　（一）诚信守法，遵守公司章程； </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（二）勤勉工作，投入足够的时间和精力履行职责；</w:t>
      </w:r>
    </w:p>
    <w:p>
      <w:pPr>
        <w:pStyle w:val="8"/>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xml:space="preserve">（三）履行保守商业秘密和竞业禁止义务； </w:t>
      </w:r>
    </w:p>
    <w:p>
      <w:pPr>
        <w:pStyle w:val="8"/>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（四）不得参加由所在企业安排、组织或者支付费用的与履行职责行为无关的消费活动， 不得接受所在企业现金或实物报酬、福利待遇、馈赠及在所在企业报销应由个人支付的费用，</w:t>
      </w:r>
      <w:r>
        <w:rPr>
          <w:rFonts w:hint="eastAsia" w:ascii="仿宋_GB2312" w:hAnsi="仿宋_GB2312" w:eastAsia="仿宋_GB2312" w:cs="仿宋_GB2312"/>
          <w:color w:val="333333"/>
          <w:sz w:val="28"/>
          <w:szCs w:val="28"/>
        </w:rPr>
        <w:t>不得有其他利用职权谋取私利的行为。</w:t>
      </w:r>
    </w:p>
    <w:p>
      <w:pPr>
        <w:pStyle w:val="8"/>
        <w:adjustRightInd w:val="0"/>
        <w:snapToGrid w:val="0"/>
        <w:spacing w:before="0" w:beforeAutospacing="0" w:after="0" w:afterAutospacing="0" w:line="360" w:lineRule="auto"/>
        <w:ind w:firstLine="555"/>
        <w:jc w:val="both"/>
        <w:rPr>
          <w:rFonts w:hint="eastAsia" w:ascii="仿宋_GB2312" w:hAnsi="仿宋_GB2312" w:eastAsia="仿宋_GB2312" w:cs="仿宋_GB2312"/>
          <w:color w:val="333333"/>
          <w:sz w:val="28"/>
          <w:szCs w:val="28"/>
        </w:rPr>
      </w:pPr>
    </w:p>
    <w:p>
      <w:pPr>
        <w:pStyle w:val="8"/>
        <w:adjustRightInd w:val="0"/>
        <w:snapToGrid w:val="0"/>
        <w:spacing w:before="0" w:beforeAutospacing="0" w:after="0" w:afterAutospacing="0" w:line="360" w:lineRule="auto"/>
        <w:jc w:val="center"/>
        <w:rPr>
          <w:rStyle w:val="12"/>
          <w:rFonts w:hint="eastAsia" w:ascii="仿宋_GB2312" w:hAnsi="仿宋_GB2312" w:eastAsia="仿宋_GB2312" w:cs="仿宋_GB2312"/>
          <w:color w:val="333333"/>
          <w:sz w:val="28"/>
          <w:szCs w:val="28"/>
        </w:rPr>
      </w:pPr>
      <w:r>
        <w:rPr>
          <w:rStyle w:val="12"/>
          <w:rFonts w:hint="eastAsia" w:ascii="仿宋_GB2312" w:hAnsi="仿宋_GB2312" w:eastAsia="仿宋_GB2312" w:cs="仿宋_GB2312"/>
          <w:color w:val="333333"/>
          <w:sz w:val="28"/>
          <w:szCs w:val="28"/>
        </w:rPr>
        <w:t>第四章 聘请管理</w:t>
      </w:r>
    </w:p>
    <w:p>
      <w:pPr>
        <w:pStyle w:val="8"/>
        <w:adjustRightInd w:val="0"/>
        <w:snapToGrid w:val="0"/>
        <w:spacing w:before="0" w:beforeAutospacing="0" w:after="0" w:afterAutospacing="0" w:line="360" w:lineRule="auto"/>
        <w:jc w:val="center"/>
        <w:rPr>
          <w:rFonts w:hint="eastAsia" w:ascii="仿宋_GB2312" w:hAnsi="仿宋_GB2312" w:eastAsia="仿宋_GB2312" w:cs="仿宋_GB2312"/>
          <w:b/>
          <w:bCs/>
          <w:color w:val="333333"/>
          <w:sz w:val="28"/>
          <w:szCs w:val="28"/>
        </w:rPr>
      </w:pPr>
    </w:p>
    <w:p>
      <w:pPr>
        <w:pStyle w:val="8"/>
        <w:adjustRightInd w:val="0"/>
        <w:snapToGrid w:val="0"/>
        <w:spacing w:before="0" w:beforeAutospacing="0" w:after="0" w:afterAutospacing="0" w:line="360" w:lineRule="auto"/>
        <w:ind w:firstLine="570"/>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b/>
          <w:color w:val="333333"/>
          <w:sz w:val="28"/>
          <w:szCs w:val="28"/>
          <w:highlight w:val="none"/>
        </w:rPr>
        <w:t>第十一条</w:t>
      </w:r>
      <w:r>
        <w:rPr>
          <w:rFonts w:hint="eastAsia" w:ascii="仿宋_GB2312" w:hAnsi="仿宋_GB2312" w:eastAsia="仿宋_GB2312" w:cs="仿宋_GB2312"/>
          <w:b/>
          <w:color w:val="333333"/>
          <w:sz w:val="28"/>
          <w:szCs w:val="28"/>
        </w:rPr>
        <w:t xml:space="preserve"> </w:t>
      </w:r>
      <w:r>
        <w:rPr>
          <w:rFonts w:hint="eastAsia" w:ascii="仿宋_GB2312" w:hAnsi="仿宋_GB2312" w:eastAsia="仿宋_GB2312" w:cs="仿宋_GB2312"/>
          <w:color w:val="333333"/>
          <w:sz w:val="28"/>
          <w:szCs w:val="28"/>
        </w:rPr>
        <w:t>区财政局（国资局）在征求</w:t>
      </w:r>
      <w:r>
        <w:rPr>
          <w:rFonts w:hint="eastAsia" w:ascii="仿宋_GB2312" w:hAnsi="仿宋_GB2312" w:eastAsia="仿宋_GB2312" w:cs="仿宋_GB2312"/>
          <w:color w:val="333333"/>
          <w:sz w:val="28"/>
          <w:szCs w:val="28"/>
          <w:lang w:val="en-US" w:eastAsia="zh-CN"/>
        </w:rPr>
        <w:t>区委组织部</w:t>
      </w:r>
      <w:r>
        <w:rPr>
          <w:rFonts w:hint="eastAsia" w:ascii="仿宋_GB2312" w:hAnsi="仿宋_GB2312" w:eastAsia="仿宋_GB2312" w:cs="仿宋_GB2312"/>
          <w:color w:val="333333"/>
          <w:sz w:val="28"/>
          <w:szCs w:val="28"/>
        </w:rPr>
        <w:t>意见后</w:t>
      </w:r>
      <w:r>
        <w:rPr>
          <w:rFonts w:hint="eastAsia" w:ascii="仿宋_GB2312" w:hAnsi="仿宋_GB2312" w:eastAsia="仿宋_GB2312" w:cs="仿宋_GB2312"/>
          <w:color w:val="333333"/>
          <w:sz w:val="28"/>
          <w:szCs w:val="28"/>
          <w:lang w:val="en-US" w:eastAsia="zh-CN"/>
        </w:rPr>
        <w:t>确定</w:t>
      </w:r>
      <w:r>
        <w:rPr>
          <w:rFonts w:hint="eastAsia" w:ascii="仿宋_GB2312" w:hAnsi="仿宋_GB2312" w:eastAsia="仿宋_GB2312" w:cs="仿宋_GB2312"/>
          <w:color w:val="333333"/>
          <w:sz w:val="28"/>
          <w:szCs w:val="28"/>
        </w:rPr>
        <w:t>外部董事人选，经局党组讨论通过后，区财政局（国资局）与外部董事签订聘请合同，办理委派手续。</w:t>
      </w:r>
    </w:p>
    <w:p>
      <w:pPr>
        <w:pStyle w:val="8"/>
        <w:adjustRightInd w:val="0"/>
        <w:snapToGrid w:val="0"/>
        <w:spacing w:before="0" w:beforeAutospacing="0" w:after="0" w:afterAutospacing="0" w:line="360" w:lineRule="auto"/>
        <w:ind w:firstLine="570"/>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b/>
          <w:color w:val="333333"/>
          <w:sz w:val="28"/>
          <w:szCs w:val="28"/>
        </w:rPr>
        <w:t>第十二条</w:t>
      </w:r>
      <w:r>
        <w:rPr>
          <w:rFonts w:hint="eastAsia" w:ascii="仿宋_GB2312" w:hAnsi="仿宋_GB2312" w:eastAsia="仿宋_GB2312" w:cs="仿宋_GB2312"/>
          <w:color w:val="333333"/>
          <w:sz w:val="28"/>
          <w:szCs w:val="28"/>
        </w:rPr>
        <w:t xml:space="preserve"> 外部董事实行任期制，外部董事每届任期三年。任期届满后，经区财政局（国资局）考核合格，可以连任。</w:t>
      </w:r>
    </w:p>
    <w:p>
      <w:pPr>
        <w:pStyle w:val="8"/>
        <w:adjustRightInd w:val="0"/>
        <w:snapToGrid w:val="0"/>
        <w:spacing w:before="0" w:beforeAutospacing="0" w:after="0" w:afterAutospacing="0" w:line="360" w:lineRule="auto"/>
        <w:ind w:firstLine="570"/>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b/>
          <w:color w:val="333333"/>
          <w:sz w:val="28"/>
          <w:szCs w:val="28"/>
        </w:rPr>
        <w:t>第十三条</w:t>
      </w:r>
      <w:r>
        <w:rPr>
          <w:rFonts w:hint="eastAsia" w:ascii="仿宋_GB2312" w:hAnsi="仿宋_GB2312" w:eastAsia="仿宋_GB2312" w:cs="仿宋_GB2312"/>
          <w:color w:val="333333"/>
          <w:sz w:val="28"/>
          <w:szCs w:val="28"/>
        </w:rPr>
        <w:t xml:space="preserve"> 年度结束后一个月内，外部董事应向区财政局（国资局）提交述职报告,总结上年度的</w:t>
      </w:r>
      <w:r>
        <w:rPr>
          <w:rFonts w:hint="eastAsia" w:ascii="仿宋_GB2312" w:hAnsi="仿宋_GB2312" w:eastAsia="仿宋_GB2312" w:cs="仿宋_GB2312"/>
          <w:color w:val="333333"/>
          <w:sz w:val="28"/>
          <w:szCs w:val="28"/>
        </w:rPr>
        <w:t>总体情况、工作亮点；自我评价所发挥的监督作用、</w:t>
      </w:r>
      <w:r>
        <w:rPr>
          <w:rFonts w:hint="eastAsia" w:ascii="仿宋_GB2312" w:hAnsi="仿宋_GB2312" w:eastAsia="仿宋_GB2312" w:cs="仿宋_GB2312"/>
          <w:color w:val="333333"/>
          <w:sz w:val="28"/>
          <w:szCs w:val="28"/>
        </w:rPr>
        <w:t>工作中存在的问题和不足；提出下一年度履职的工作思路和重点。</w:t>
      </w:r>
    </w:p>
    <w:p>
      <w:pPr>
        <w:pStyle w:val="8"/>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b/>
          <w:color w:val="333333"/>
          <w:sz w:val="28"/>
          <w:szCs w:val="28"/>
        </w:rPr>
        <w:t>第十四条</w:t>
      </w:r>
      <w:r>
        <w:rPr>
          <w:rFonts w:hint="eastAsia" w:ascii="仿宋_GB2312" w:hAnsi="仿宋_GB2312" w:eastAsia="仿宋_GB2312" w:cs="仿宋_GB2312"/>
          <w:color w:val="333333"/>
          <w:sz w:val="28"/>
          <w:szCs w:val="28"/>
        </w:rPr>
        <w:t xml:space="preserve"> 外部董事有下列情形之一的，予以解聘：</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（一）因交流任职等工作需要的；</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（二）达到任职年龄界限的；</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（三）因身体原因，不适合继续担任外部董事的；</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（四）履职过程中有违反外部董事行为规范或者对区财政局（国资局）或所在企业不诚信行为的；</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（五）因董事会决策失误导致公司利益受到重大损失，本人未提出保留意见或未投反对票的；</w:t>
      </w:r>
    </w:p>
    <w:p>
      <w:pPr>
        <w:pStyle w:val="8"/>
        <w:adjustRightInd w:val="0"/>
        <w:snapToGrid w:val="0"/>
        <w:spacing w:before="0" w:beforeAutospacing="0" w:after="0" w:afterAutospacing="0" w:line="360" w:lineRule="auto"/>
        <w:ind w:firstLine="555"/>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（六）其他原因需要解聘的。</w:t>
      </w:r>
    </w:p>
    <w:p>
      <w:pPr>
        <w:pStyle w:val="8"/>
        <w:adjustRightInd w:val="0"/>
        <w:snapToGrid w:val="0"/>
        <w:spacing w:before="0" w:beforeAutospacing="0" w:after="0" w:afterAutospacing="0" w:line="360" w:lineRule="auto"/>
        <w:ind w:firstLine="555"/>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b/>
          <w:color w:val="333333"/>
          <w:sz w:val="28"/>
          <w:szCs w:val="28"/>
        </w:rPr>
        <w:t>第十五条</w:t>
      </w:r>
      <w:r>
        <w:rPr>
          <w:rFonts w:hint="eastAsia" w:ascii="仿宋_GB2312" w:hAnsi="仿宋_GB2312" w:eastAsia="仿宋_GB2312" w:cs="仿宋_GB2312"/>
          <w:color w:val="333333"/>
          <w:sz w:val="28"/>
          <w:szCs w:val="28"/>
        </w:rPr>
        <w:t xml:space="preserve"> 外部董事提出辞职的，应同时向区财政局（国资局）和区直企业董事会递交辞职申请。区财政局（国资局）报告区财政局（国资局）党组</w:t>
      </w:r>
      <w:r>
        <w:rPr>
          <w:rFonts w:hint="eastAsia" w:ascii="仿宋_GB2312" w:hAnsi="仿宋_GB2312" w:eastAsia="仿宋_GB2312" w:cs="仿宋_GB2312"/>
          <w:color w:val="333333"/>
          <w:sz w:val="28"/>
          <w:szCs w:val="28"/>
        </w:rPr>
        <w:t>审议通过后，区财政局（国资局）给予办理解聘手续并通知区直企业。申请未获得批准之前，外部董事应当继续履行职责。未经批准擅自离职的，依</w:t>
      </w:r>
      <w:bookmarkStart w:id="2" w:name="_GoBack"/>
      <w:bookmarkEnd w:id="2"/>
      <w:r>
        <w:rPr>
          <w:rFonts w:hint="eastAsia" w:ascii="仿宋_GB2312" w:hAnsi="仿宋_GB2312" w:eastAsia="仿宋_GB2312" w:cs="仿宋_GB2312"/>
          <w:color w:val="333333"/>
          <w:sz w:val="28"/>
          <w:szCs w:val="28"/>
        </w:rPr>
        <w:t>法追究其相应责任。</w:t>
      </w:r>
    </w:p>
    <w:p>
      <w:pPr>
        <w:pStyle w:val="8"/>
        <w:adjustRightInd w:val="0"/>
        <w:snapToGrid w:val="0"/>
        <w:spacing w:before="0" w:beforeAutospacing="0" w:after="0" w:afterAutospacing="0" w:line="360" w:lineRule="auto"/>
        <w:ind w:firstLine="555"/>
        <w:jc w:val="both"/>
        <w:rPr>
          <w:rFonts w:hint="eastAsia" w:ascii="仿宋_GB2312" w:hAnsi="仿宋_GB2312" w:eastAsia="仿宋_GB2312" w:cs="仿宋_GB2312"/>
          <w:color w:val="333333"/>
          <w:sz w:val="28"/>
          <w:szCs w:val="28"/>
        </w:rPr>
      </w:pPr>
    </w:p>
    <w:p>
      <w:pPr>
        <w:pStyle w:val="8"/>
        <w:adjustRightInd w:val="0"/>
        <w:snapToGrid w:val="0"/>
        <w:spacing w:before="0" w:beforeAutospacing="0" w:after="0" w:afterAutospacing="0" w:line="360" w:lineRule="auto"/>
        <w:ind w:firstLine="480"/>
        <w:jc w:val="center"/>
        <w:rPr>
          <w:rStyle w:val="12"/>
          <w:rFonts w:hint="eastAsia" w:ascii="仿宋_GB2312" w:hAnsi="仿宋_GB2312" w:eastAsia="仿宋_GB2312" w:cs="仿宋_GB2312"/>
          <w:color w:val="333333"/>
          <w:sz w:val="28"/>
          <w:szCs w:val="28"/>
        </w:rPr>
      </w:pPr>
      <w:r>
        <w:rPr>
          <w:rStyle w:val="12"/>
          <w:rFonts w:hint="eastAsia" w:ascii="仿宋_GB2312" w:hAnsi="仿宋_GB2312" w:eastAsia="仿宋_GB2312" w:cs="仿宋_GB2312"/>
          <w:color w:val="333333"/>
          <w:sz w:val="28"/>
          <w:szCs w:val="28"/>
        </w:rPr>
        <w:t>第五章 区直企业的责任</w:t>
      </w:r>
    </w:p>
    <w:p>
      <w:pPr>
        <w:pStyle w:val="8"/>
        <w:adjustRightInd w:val="0"/>
        <w:snapToGrid w:val="0"/>
        <w:spacing w:before="0" w:beforeAutospacing="0" w:after="0" w:afterAutospacing="0" w:line="360" w:lineRule="auto"/>
        <w:ind w:firstLine="480"/>
        <w:jc w:val="center"/>
        <w:rPr>
          <w:rFonts w:hint="eastAsia" w:ascii="仿宋_GB2312" w:hAnsi="仿宋_GB2312" w:eastAsia="仿宋_GB2312" w:cs="仿宋_GB2312"/>
          <w:b/>
          <w:bCs/>
          <w:color w:val="333333"/>
          <w:sz w:val="28"/>
          <w:szCs w:val="28"/>
        </w:rPr>
      </w:pPr>
    </w:p>
    <w:p>
      <w:pPr>
        <w:pStyle w:val="8"/>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b/>
          <w:color w:val="333333"/>
          <w:sz w:val="28"/>
          <w:szCs w:val="28"/>
        </w:rPr>
        <w:t>第十六条</w:t>
      </w:r>
      <w:r>
        <w:rPr>
          <w:rFonts w:hint="eastAsia" w:ascii="仿宋_GB2312" w:hAnsi="仿宋_GB2312" w:eastAsia="仿宋_GB2312" w:cs="仿宋_GB2312"/>
          <w:color w:val="333333"/>
          <w:sz w:val="28"/>
          <w:szCs w:val="28"/>
        </w:rPr>
        <w:t xml:space="preserve"> 区直企业应当为外部董事依法履行职责提供必要的工作条件。外部董事在履行职务时的办公、出差等有关费用，由区直企业承担。</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w:t>
      </w:r>
      <w:r>
        <w:rPr>
          <w:rFonts w:hint="eastAsia" w:ascii="仿宋_GB2312" w:hAnsi="仿宋_GB2312" w:eastAsia="仿宋_GB2312" w:cs="仿宋_GB2312"/>
          <w:b/>
          <w:color w:val="333333"/>
          <w:sz w:val="28"/>
          <w:szCs w:val="28"/>
        </w:rPr>
        <w:t>第十七条</w:t>
      </w:r>
      <w:r>
        <w:rPr>
          <w:rFonts w:hint="eastAsia" w:ascii="仿宋_GB2312" w:hAnsi="仿宋_GB2312" w:eastAsia="仿宋_GB2312" w:cs="仿宋_GB2312"/>
          <w:color w:val="333333"/>
          <w:sz w:val="28"/>
          <w:szCs w:val="28"/>
        </w:rPr>
        <w:t xml:space="preserve"> 区直企业应当及时向外部董事报送履职所需的企业文件、资料和财务信息，并保证所提供资料的真实、完整、准确。</w:t>
      </w:r>
    </w:p>
    <w:p>
      <w:pPr>
        <w:pStyle w:val="8"/>
        <w:adjustRightInd w:val="0"/>
        <w:snapToGrid w:val="0"/>
        <w:spacing w:before="0" w:beforeAutospacing="0" w:after="0" w:afterAutospacing="0" w:line="360" w:lineRule="auto"/>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w:t>
      </w:r>
      <w:r>
        <w:rPr>
          <w:rFonts w:hint="eastAsia" w:ascii="仿宋_GB2312" w:hAnsi="仿宋_GB2312" w:eastAsia="仿宋_GB2312" w:cs="仿宋_GB2312"/>
          <w:b/>
          <w:color w:val="333333"/>
          <w:sz w:val="28"/>
          <w:szCs w:val="28"/>
        </w:rPr>
        <w:t>第十八条</w:t>
      </w:r>
      <w:r>
        <w:rPr>
          <w:rFonts w:hint="eastAsia" w:ascii="仿宋_GB2312" w:hAnsi="仿宋_GB2312" w:eastAsia="仿宋_GB2312" w:cs="仿宋_GB2312"/>
          <w:color w:val="333333"/>
          <w:sz w:val="28"/>
          <w:szCs w:val="28"/>
        </w:rPr>
        <w:t xml:space="preserve"> 区直企业应当提前通知外部董事出席区直企业董事会会议，并将会议材料提前送达外部董事。</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sz w:val="28"/>
          <w:szCs w:val="28"/>
          <w:highlight w:val="none"/>
        </w:rPr>
        <w:t>第十九条</w:t>
      </w:r>
      <w:r>
        <w:rPr>
          <w:rFonts w:hint="eastAsia" w:ascii="仿宋_GB2312" w:hAnsi="仿宋_GB2312" w:eastAsia="仿宋_GB2312" w:cs="仿宋_GB2312"/>
          <w:color w:val="333333"/>
          <w:sz w:val="28"/>
          <w:szCs w:val="28"/>
        </w:rPr>
        <w:t xml:space="preserve"> 区直企业有权向区财政局（国资局）报告外部董事的违法和违规行为。</w:t>
      </w:r>
    </w:p>
    <w:p>
      <w:pPr>
        <w:pStyle w:val="8"/>
        <w:adjustRightInd w:val="0"/>
        <w:snapToGrid w:val="0"/>
        <w:spacing w:before="0" w:beforeAutospacing="0" w:after="0" w:afterAutospacing="0" w:line="360" w:lineRule="auto"/>
        <w:ind w:firstLine="570"/>
        <w:jc w:val="both"/>
        <w:rPr>
          <w:rFonts w:hint="eastAsia" w:ascii="仿宋_GB2312" w:hAnsi="仿宋_GB2312" w:eastAsia="仿宋_GB2312" w:cs="仿宋_GB2312"/>
          <w:color w:val="333333"/>
          <w:sz w:val="28"/>
          <w:szCs w:val="28"/>
        </w:rPr>
      </w:pPr>
    </w:p>
    <w:p>
      <w:pPr>
        <w:pStyle w:val="8"/>
        <w:adjustRightInd w:val="0"/>
        <w:snapToGrid w:val="0"/>
        <w:spacing w:before="0" w:beforeAutospacing="0" w:after="0" w:afterAutospacing="0" w:line="360" w:lineRule="auto"/>
        <w:ind w:firstLine="555"/>
        <w:jc w:val="center"/>
        <w:rPr>
          <w:rStyle w:val="12"/>
          <w:rFonts w:hint="eastAsia" w:ascii="仿宋_GB2312" w:hAnsi="仿宋_GB2312" w:eastAsia="仿宋_GB2312" w:cs="仿宋_GB2312"/>
          <w:color w:val="333333"/>
          <w:sz w:val="28"/>
          <w:szCs w:val="28"/>
        </w:rPr>
      </w:pPr>
      <w:r>
        <w:rPr>
          <w:rStyle w:val="12"/>
          <w:rFonts w:hint="eastAsia" w:ascii="仿宋_GB2312" w:hAnsi="仿宋_GB2312" w:eastAsia="仿宋_GB2312" w:cs="仿宋_GB2312"/>
          <w:color w:val="333333"/>
          <w:sz w:val="28"/>
          <w:szCs w:val="28"/>
        </w:rPr>
        <w:t>第六章　附则</w:t>
      </w:r>
    </w:p>
    <w:p>
      <w:pPr>
        <w:pStyle w:val="8"/>
        <w:adjustRightInd w:val="0"/>
        <w:snapToGrid w:val="0"/>
        <w:spacing w:before="0" w:beforeAutospacing="0" w:after="0" w:afterAutospacing="0" w:line="360" w:lineRule="auto"/>
        <w:ind w:firstLine="555"/>
        <w:jc w:val="center"/>
        <w:rPr>
          <w:rFonts w:hint="eastAsia" w:ascii="仿宋_GB2312" w:hAnsi="仿宋_GB2312" w:eastAsia="仿宋_GB2312" w:cs="仿宋_GB2312"/>
          <w:b/>
          <w:bCs/>
          <w:color w:val="333333"/>
          <w:sz w:val="28"/>
          <w:szCs w:val="28"/>
        </w:rPr>
      </w:pPr>
    </w:p>
    <w:p>
      <w:pPr>
        <w:pStyle w:val="8"/>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b/>
          <w:color w:val="333333"/>
          <w:sz w:val="28"/>
          <w:szCs w:val="28"/>
        </w:rPr>
        <w:t>第二十条</w:t>
      </w:r>
      <w:r>
        <w:rPr>
          <w:rFonts w:hint="eastAsia" w:ascii="仿宋_GB2312" w:hAnsi="仿宋_GB2312" w:eastAsia="仿宋_GB2312" w:cs="仿宋_GB2312"/>
          <w:color w:val="333333"/>
          <w:sz w:val="28"/>
          <w:szCs w:val="28"/>
        </w:rPr>
        <w:t xml:space="preserve"> 区财政局（国资局）委派到区直企业的财务总监同时担任区直企业董事的，其任职资格、任免和考核等管理按照区财政局（国资局）关于财务总监的管理规定执行。</w:t>
      </w:r>
    </w:p>
    <w:p>
      <w:pPr>
        <w:pStyle w:val="8"/>
        <w:adjustRightInd w:val="0"/>
        <w:snapToGrid w:val="0"/>
        <w:spacing w:before="0" w:beforeAutospacing="0" w:after="0" w:afterAutospacing="0" w:line="360" w:lineRule="auto"/>
        <w:ind w:firstLine="480"/>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b/>
          <w:color w:val="333333"/>
          <w:sz w:val="28"/>
          <w:szCs w:val="28"/>
        </w:rPr>
        <w:t>第二十一条</w:t>
      </w:r>
      <w:r>
        <w:rPr>
          <w:rFonts w:hint="eastAsia" w:ascii="仿宋_GB2312" w:hAnsi="仿宋_GB2312" w:eastAsia="仿宋_GB2312" w:cs="仿宋_GB2312"/>
          <w:color w:val="333333"/>
          <w:sz w:val="28"/>
          <w:szCs w:val="28"/>
        </w:rPr>
        <w:t xml:space="preserve"> 本规定附件：《深圳市福田区区属国有企业外部董事综合报告》（模板）。</w:t>
      </w:r>
    </w:p>
    <w:p>
      <w:pPr>
        <w:pStyle w:val="8"/>
        <w:adjustRightInd w:val="0"/>
        <w:snapToGrid w:val="0"/>
        <w:spacing w:before="0" w:beforeAutospacing="0" w:after="0" w:afterAutospacing="0" w:line="360" w:lineRule="auto"/>
        <w:ind w:firstLine="480"/>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b/>
          <w:bCs/>
          <w:color w:val="333333"/>
          <w:sz w:val="28"/>
          <w:szCs w:val="28"/>
        </w:rPr>
        <w:t>第二十二条</w:t>
      </w:r>
      <w:r>
        <w:rPr>
          <w:rFonts w:hint="eastAsia" w:ascii="仿宋_GB2312" w:hAnsi="仿宋_GB2312" w:eastAsia="仿宋_GB2312" w:cs="仿宋_GB2312"/>
          <w:color w:val="333333"/>
          <w:sz w:val="28"/>
          <w:szCs w:val="28"/>
        </w:rPr>
        <w:t xml:space="preserve"> 本规定由区财政局（国资局）负责解释。</w:t>
      </w:r>
    </w:p>
    <w:p>
      <w:pPr>
        <w:pStyle w:val="8"/>
        <w:adjustRightInd w:val="0"/>
        <w:snapToGrid w:val="0"/>
        <w:spacing w:before="0" w:beforeAutospacing="0" w:after="0" w:afterAutospacing="0" w:line="360" w:lineRule="auto"/>
        <w:ind w:firstLine="480"/>
        <w:jc w:val="both"/>
        <w:rPr>
          <w:rFonts w:hint="eastAsia" w:ascii="仿宋_GB2312" w:hAnsi="仿宋_GB2312" w:eastAsia="仿宋_GB2312" w:cs="仿宋_GB2312"/>
          <w:color w:val="333333"/>
          <w:sz w:val="28"/>
          <w:szCs w:val="28"/>
        </w:rPr>
      </w:pPr>
      <w:r>
        <w:rPr>
          <w:rFonts w:hint="eastAsia" w:ascii="仿宋_GB2312" w:hAnsi="仿宋_GB2312" w:eastAsia="仿宋_GB2312" w:cs="仿宋_GB2312"/>
          <w:b/>
          <w:color w:val="333333"/>
          <w:sz w:val="28"/>
          <w:szCs w:val="28"/>
        </w:rPr>
        <w:t>第二十三条</w:t>
      </w:r>
      <w:r>
        <w:rPr>
          <w:rFonts w:hint="eastAsia" w:ascii="仿宋_GB2312" w:hAnsi="仿宋_GB2312" w:eastAsia="仿宋_GB2312" w:cs="仿宋_GB2312"/>
          <w:color w:val="333333"/>
          <w:sz w:val="28"/>
          <w:szCs w:val="28"/>
        </w:rPr>
        <w:t xml:space="preserve"> 本规定自颁布之日起施行</w:t>
      </w:r>
      <w:r>
        <w:rPr>
          <w:rFonts w:hint="eastAsia" w:ascii="仿宋_GB2312" w:hAnsi="仿宋_GB2312" w:eastAsia="仿宋_GB2312" w:cs="仿宋_GB2312"/>
          <w:color w:val="333333"/>
          <w:sz w:val="28"/>
          <w:szCs w:val="28"/>
          <w:lang w:eastAsia="zh-CN"/>
        </w:rPr>
        <w:t>，有效期五年</w:t>
      </w:r>
      <w:r>
        <w:rPr>
          <w:rFonts w:hint="eastAsia" w:ascii="仿宋_GB2312" w:hAnsi="仿宋_GB2312" w:eastAsia="仿宋_GB2312" w:cs="仿宋_GB2312"/>
          <w:color w:val="333333"/>
          <w:sz w:val="28"/>
          <w:szCs w:val="28"/>
        </w:rPr>
        <w:t>。</w:t>
      </w:r>
    </w:p>
    <w:p>
      <w:pPr>
        <w:widowControl/>
        <w:jc w:val="left"/>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sz w:val="28"/>
          <w:szCs w:val="28"/>
        </w:rPr>
        <w:br w:type="page"/>
      </w:r>
    </w:p>
    <w:p>
      <w:pPr>
        <w:pStyle w:val="8"/>
        <w:adjustRightInd w:val="0"/>
        <w:snapToGrid w:val="0"/>
        <w:spacing w:line="360" w:lineRule="auto"/>
        <w:rPr>
          <w:rFonts w:hint="eastAsia" w:ascii="黑体" w:hAnsi="黑体" w:eastAsia="黑体" w:cs="黑体"/>
          <w:color w:val="333333"/>
          <w:sz w:val="28"/>
          <w:szCs w:val="28"/>
        </w:rPr>
      </w:pPr>
      <w:r>
        <w:rPr>
          <w:rFonts w:hint="eastAsia" w:ascii="黑体" w:hAnsi="黑体" w:eastAsia="黑体" w:cs="黑体"/>
          <w:color w:val="333333"/>
          <w:sz w:val="28"/>
          <w:szCs w:val="28"/>
        </w:rPr>
        <w:t>附件</w:t>
      </w:r>
    </w:p>
    <w:p>
      <w:pPr>
        <w:pStyle w:val="8"/>
        <w:adjustRightInd w:val="0"/>
        <w:snapToGrid w:val="0"/>
        <w:spacing w:line="276" w:lineRule="auto"/>
        <w:jc w:val="center"/>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深圳市福田区区属国有企业外部董事</w:t>
      </w:r>
    </w:p>
    <w:p>
      <w:pPr>
        <w:pStyle w:val="8"/>
        <w:adjustRightInd w:val="0"/>
        <w:snapToGrid w:val="0"/>
        <w:spacing w:line="276" w:lineRule="auto"/>
        <w:jc w:val="center"/>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综合报告（模板）</w:t>
      </w:r>
    </w:p>
    <w:p>
      <w:pPr>
        <w:pStyle w:val="8"/>
        <w:adjustRightInd w:val="0"/>
        <w:snapToGrid w:val="0"/>
        <w:spacing w:line="276" w:lineRule="auto"/>
        <w:jc w:val="center"/>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【】年（半年/年度）</w:t>
      </w:r>
    </w:p>
    <w:p>
      <w:pPr>
        <w:pStyle w:val="8"/>
        <w:adjustRightInd w:val="0"/>
        <w:snapToGrid w:val="0"/>
        <w:spacing w:line="276" w:lineRule="auto"/>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报告人：</w:t>
      </w:r>
    </w:p>
    <w:p>
      <w:pPr>
        <w:pStyle w:val="8"/>
        <w:adjustRightInd w:val="0"/>
        <w:snapToGrid w:val="0"/>
        <w:spacing w:line="276" w:lineRule="auto"/>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任职企业：</w:t>
      </w:r>
    </w:p>
    <w:p>
      <w:pPr>
        <w:pStyle w:val="8"/>
        <w:adjustRightInd w:val="0"/>
        <w:snapToGrid w:val="0"/>
        <w:spacing w:line="276" w:lineRule="auto"/>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xml:space="preserve">报告日期： </w:t>
      </w:r>
    </w:p>
    <w:p>
      <w:pPr>
        <w:pStyle w:val="8"/>
        <w:adjustRightInd w:val="0"/>
        <w:snapToGrid w:val="0"/>
        <w:spacing w:line="360" w:lineRule="auto"/>
        <w:rPr>
          <w:rFonts w:hint="eastAsia" w:ascii="仿宋_GB2312" w:hAnsi="仿宋_GB2312" w:eastAsia="仿宋_GB2312" w:cs="仿宋_GB2312"/>
          <w:color w:val="333333"/>
          <w:sz w:val="28"/>
          <w:szCs w:val="28"/>
        </w:rPr>
      </w:pPr>
    </w:p>
    <w:p>
      <w:pPr>
        <w:pStyle w:val="8"/>
        <w:adjustRightInd w:val="0"/>
        <w:snapToGrid w:val="0"/>
        <w:spacing w:line="360" w:lineRule="auto"/>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一、任职企业董事会日常运作情况、决策执行情况、存在问题及建议</w:t>
      </w:r>
    </w:p>
    <w:p>
      <w:pPr>
        <w:pStyle w:val="8"/>
        <w:adjustRightInd w:val="0"/>
        <w:snapToGrid w:val="0"/>
        <w:spacing w:line="360" w:lineRule="auto"/>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 xml:space="preserve">二、任职企业发展战略的制定、实施以及核心竞争力的培育情况 </w:t>
      </w:r>
    </w:p>
    <w:p>
      <w:pPr>
        <w:pStyle w:val="8"/>
        <w:adjustRightInd w:val="0"/>
        <w:snapToGrid w:val="0"/>
        <w:spacing w:line="360" w:lineRule="auto"/>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三、任职企业经营班子选拔任用、考核评价、激励约束等情况</w:t>
      </w:r>
    </w:p>
    <w:p>
      <w:pPr>
        <w:pStyle w:val="8"/>
        <w:adjustRightInd w:val="0"/>
        <w:snapToGrid w:val="0"/>
        <w:spacing w:line="360" w:lineRule="auto"/>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四、任职企业（半）年度经营目标完成情况及经营管理总体评价</w:t>
      </w:r>
    </w:p>
    <w:p>
      <w:pPr>
        <w:pStyle w:val="8"/>
        <w:adjustRightInd w:val="0"/>
        <w:snapToGrid w:val="0"/>
        <w:spacing w:line="360" w:lineRule="auto"/>
        <w:rPr>
          <w:rFonts w:hint="eastAsia" w:ascii="仿宋_GB2312" w:hAnsi="仿宋_GB2312" w:eastAsia="仿宋_GB2312" w:cs="仿宋_GB2312"/>
          <w:color w:val="333333"/>
          <w:sz w:val="28"/>
          <w:szCs w:val="28"/>
        </w:rPr>
      </w:pPr>
      <w:r>
        <w:rPr>
          <w:rFonts w:hint="eastAsia" w:ascii="仿宋_GB2312" w:hAnsi="仿宋_GB2312" w:eastAsia="仿宋_GB2312" w:cs="仿宋_GB2312"/>
          <w:color w:val="333333"/>
          <w:sz w:val="28"/>
          <w:szCs w:val="28"/>
        </w:rPr>
        <w:t>五、其他需要报告的情况（如有）</w:t>
      </w:r>
    </w:p>
    <w:sectPr>
      <w:footerReference r:id="rId3" w:type="default"/>
      <w:pgSz w:w="11900" w:h="16840"/>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w:altName w:val="宋体"/>
    <w:panose1 w:val="00000000000000000000"/>
    <w:charset w:val="86"/>
    <w:family w:val="auto"/>
    <w:pitch w:val="default"/>
    <w:sig w:usb0="00000000" w:usb1="00000000" w:usb2="00000000" w:usb3="00000000" w:csb0="00000000" w:csb1="00000000"/>
  </w:font>
  <w:font w:name="DengXian">
    <w:altName w:val="宋体"/>
    <w:panose1 w:val="00000000000000000000"/>
    <w:charset w:val="86"/>
    <w:family w:val="auto"/>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DengXian Light">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7AF"/>
    <w:rsid w:val="0000011E"/>
    <w:rsid w:val="00010D81"/>
    <w:rsid w:val="000120C9"/>
    <w:rsid w:val="00022CAE"/>
    <w:rsid w:val="00033CA6"/>
    <w:rsid w:val="00035B0E"/>
    <w:rsid w:val="00040704"/>
    <w:rsid w:val="00041CAA"/>
    <w:rsid w:val="00054B5D"/>
    <w:rsid w:val="0006108E"/>
    <w:rsid w:val="00091FFF"/>
    <w:rsid w:val="000A50A1"/>
    <w:rsid w:val="000A6EC0"/>
    <w:rsid w:val="000C3C23"/>
    <w:rsid w:val="000C6452"/>
    <w:rsid w:val="000D3C8E"/>
    <w:rsid w:val="000E2DE9"/>
    <w:rsid w:val="000F3EE6"/>
    <w:rsid w:val="001007B7"/>
    <w:rsid w:val="001015A0"/>
    <w:rsid w:val="00113112"/>
    <w:rsid w:val="00124AF9"/>
    <w:rsid w:val="0015213E"/>
    <w:rsid w:val="00155EF8"/>
    <w:rsid w:val="00160061"/>
    <w:rsid w:val="001672B6"/>
    <w:rsid w:val="00171CCC"/>
    <w:rsid w:val="00171CF2"/>
    <w:rsid w:val="00195CF4"/>
    <w:rsid w:val="001B32E7"/>
    <w:rsid w:val="001C2743"/>
    <w:rsid w:val="002002A4"/>
    <w:rsid w:val="00204149"/>
    <w:rsid w:val="00205418"/>
    <w:rsid w:val="002251FE"/>
    <w:rsid w:val="00246F42"/>
    <w:rsid w:val="00251686"/>
    <w:rsid w:val="0025429E"/>
    <w:rsid w:val="0025632B"/>
    <w:rsid w:val="0025728D"/>
    <w:rsid w:val="00260F0B"/>
    <w:rsid w:val="0026209F"/>
    <w:rsid w:val="00271995"/>
    <w:rsid w:val="00274A11"/>
    <w:rsid w:val="0028231B"/>
    <w:rsid w:val="00290793"/>
    <w:rsid w:val="00293102"/>
    <w:rsid w:val="002A737D"/>
    <w:rsid w:val="002C0D17"/>
    <w:rsid w:val="002E055E"/>
    <w:rsid w:val="002F284D"/>
    <w:rsid w:val="0031253C"/>
    <w:rsid w:val="003206C2"/>
    <w:rsid w:val="00322101"/>
    <w:rsid w:val="0033265A"/>
    <w:rsid w:val="0033524F"/>
    <w:rsid w:val="00350F99"/>
    <w:rsid w:val="0036033A"/>
    <w:rsid w:val="003650B1"/>
    <w:rsid w:val="003662D0"/>
    <w:rsid w:val="00370D80"/>
    <w:rsid w:val="003816E6"/>
    <w:rsid w:val="003A5596"/>
    <w:rsid w:val="003A5F56"/>
    <w:rsid w:val="003B2761"/>
    <w:rsid w:val="003B6E1B"/>
    <w:rsid w:val="003C049B"/>
    <w:rsid w:val="003C12FA"/>
    <w:rsid w:val="003C1DE3"/>
    <w:rsid w:val="003C5E5B"/>
    <w:rsid w:val="003D4886"/>
    <w:rsid w:val="003D5DD3"/>
    <w:rsid w:val="003E0A0A"/>
    <w:rsid w:val="003F59FC"/>
    <w:rsid w:val="004018FE"/>
    <w:rsid w:val="00410A43"/>
    <w:rsid w:val="00420456"/>
    <w:rsid w:val="004262BF"/>
    <w:rsid w:val="00435C92"/>
    <w:rsid w:val="00437225"/>
    <w:rsid w:val="00445602"/>
    <w:rsid w:val="00453393"/>
    <w:rsid w:val="004654E5"/>
    <w:rsid w:val="004703DF"/>
    <w:rsid w:val="00471151"/>
    <w:rsid w:val="00471B18"/>
    <w:rsid w:val="004760FC"/>
    <w:rsid w:val="0048609C"/>
    <w:rsid w:val="00495D2A"/>
    <w:rsid w:val="004B251F"/>
    <w:rsid w:val="004B30BC"/>
    <w:rsid w:val="004B534D"/>
    <w:rsid w:val="004D42A4"/>
    <w:rsid w:val="004E08A6"/>
    <w:rsid w:val="004E3CC2"/>
    <w:rsid w:val="0050509B"/>
    <w:rsid w:val="005101C0"/>
    <w:rsid w:val="005121F7"/>
    <w:rsid w:val="005154FE"/>
    <w:rsid w:val="00516D3B"/>
    <w:rsid w:val="005235C6"/>
    <w:rsid w:val="00525241"/>
    <w:rsid w:val="0053001D"/>
    <w:rsid w:val="0053550F"/>
    <w:rsid w:val="00537FC8"/>
    <w:rsid w:val="00562C83"/>
    <w:rsid w:val="00563152"/>
    <w:rsid w:val="0057723A"/>
    <w:rsid w:val="0058297D"/>
    <w:rsid w:val="005873CE"/>
    <w:rsid w:val="005926A1"/>
    <w:rsid w:val="00592D34"/>
    <w:rsid w:val="00593CEB"/>
    <w:rsid w:val="005974B9"/>
    <w:rsid w:val="005A63E1"/>
    <w:rsid w:val="005B362C"/>
    <w:rsid w:val="005C25C5"/>
    <w:rsid w:val="005C3C62"/>
    <w:rsid w:val="005F0431"/>
    <w:rsid w:val="005F23B1"/>
    <w:rsid w:val="005F755B"/>
    <w:rsid w:val="006126DB"/>
    <w:rsid w:val="006234F7"/>
    <w:rsid w:val="006251D1"/>
    <w:rsid w:val="00636C19"/>
    <w:rsid w:val="0064392B"/>
    <w:rsid w:val="006460CE"/>
    <w:rsid w:val="00651F19"/>
    <w:rsid w:val="00671337"/>
    <w:rsid w:val="006864CC"/>
    <w:rsid w:val="006917AF"/>
    <w:rsid w:val="00692338"/>
    <w:rsid w:val="006A0175"/>
    <w:rsid w:val="006A2A97"/>
    <w:rsid w:val="006C4C7E"/>
    <w:rsid w:val="006D0BA2"/>
    <w:rsid w:val="006F6C60"/>
    <w:rsid w:val="00704D0D"/>
    <w:rsid w:val="007123EF"/>
    <w:rsid w:val="00714870"/>
    <w:rsid w:val="00715C0D"/>
    <w:rsid w:val="00731FC5"/>
    <w:rsid w:val="00742164"/>
    <w:rsid w:val="00746251"/>
    <w:rsid w:val="00746754"/>
    <w:rsid w:val="00756E2C"/>
    <w:rsid w:val="00764330"/>
    <w:rsid w:val="00766C5D"/>
    <w:rsid w:val="007754C5"/>
    <w:rsid w:val="00795E90"/>
    <w:rsid w:val="007A1EB2"/>
    <w:rsid w:val="007A1F9D"/>
    <w:rsid w:val="007B0BE9"/>
    <w:rsid w:val="007B30E8"/>
    <w:rsid w:val="007D75CD"/>
    <w:rsid w:val="007E74F8"/>
    <w:rsid w:val="007F4A10"/>
    <w:rsid w:val="007F4D0D"/>
    <w:rsid w:val="00824B8A"/>
    <w:rsid w:val="00831A97"/>
    <w:rsid w:val="0085635A"/>
    <w:rsid w:val="00870962"/>
    <w:rsid w:val="00872AD8"/>
    <w:rsid w:val="00887990"/>
    <w:rsid w:val="00891E18"/>
    <w:rsid w:val="00892D76"/>
    <w:rsid w:val="008B3643"/>
    <w:rsid w:val="008C511A"/>
    <w:rsid w:val="008D3409"/>
    <w:rsid w:val="008E3319"/>
    <w:rsid w:val="008F4EF3"/>
    <w:rsid w:val="008F515B"/>
    <w:rsid w:val="00907142"/>
    <w:rsid w:val="00927242"/>
    <w:rsid w:val="00933894"/>
    <w:rsid w:val="00945613"/>
    <w:rsid w:val="0095359D"/>
    <w:rsid w:val="00961AF5"/>
    <w:rsid w:val="0096568D"/>
    <w:rsid w:val="00965A5B"/>
    <w:rsid w:val="00967B51"/>
    <w:rsid w:val="00973DD0"/>
    <w:rsid w:val="009747DD"/>
    <w:rsid w:val="009769A5"/>
    <w:rsid w:val="00983953"/>
    <w:rsid w:val="009851E6"/>
    <w:rsid w:val="0099009D"/>
    <w:rsid w:val="009945DE"/>
    <w:rsid w:val="009972C0"/>
    <w:rsid w:val="009B0D53"/>
    <w:rsid w:val="009B7BD4"/>
    <w:rsid w:val="009C2A19"/>
    <w:rsid w:val="009C609A"/>
    <w:rsid w:val="009C6991"/>
    <w:rsid w:val="009D1709"/>
    <w:rsid w:val="009D49D4"/>
    <w:rsid w:val="009D4E03"/>
    <w:rsid w:val="009D5F79"/>
    <w:rsid w:val="009E1EEB"/>
    <w:rsid w:val="009E317C"/>
    <w:rsid w:val="009F0DE7"/>
    <w:rsid w:val="009F1E68"/>
    <w:rsid w:val="009F3A04"/>
    <w:rsid w:val="00A229D9"/>
    <w:rsid w:val="00A24183"/>
    <w:rsid w:val="00A30365"/>
    <w:rsid w:val="00A343AC"/>
    <w:rsid w:val="00A36899"/>
    <w:rsid w:val="00A373F6"/>
    <w:rsid w:val="00A54719"/>
    <w:rsid w:val="00A55E7F"/>
    <w:rsid w:val="00A57129"/>
    <w:rsid w:val="00A57D94"/>
    <w:rsid w:val="00A61EBF"/>
    <w:rsid w:val="00A66573"/>
    <w:rsid w:val="00A742C4"/>
    <w:rsid w:val="00A8110B"/>
    <w:rsid w:val="00A818A9"/>
    <w:rsid w:val="00A91F88"/>
    <w:rsid w:val="00A953D8"/>
    <w:rsid w:val="00AA77D3"/>
    <w:rsid w:val="00AB665C"/>
    <w:rsid w:val="00AD63A7"/>
    <w:rsid w:val="00AE084B"/>
    <w:rsid w:val="00AE6844"/>
    <w:rsid w:val="00B05AFF"/>
    <w:rsid w:val="00B361BE"/>
    <w:rsid w:val="00B37688"/>
    <w:rsid w:val="00B44B7A"/>
    <w:rsid w:val="00B56A54"/>
    <w:rsid w:val="00B57A1A"/>
    <w:rsid w:val="00B67534"/>
    <w:rsid w:val="00B70E21"/>
    <w:rsid w:val="00B74942"/>
    <w:rsid w:val="00B801B1"/>
    <w:rsid w:val="00B8026C"/>
    <w:rsid w:val="00B849BF"/>
    <w:rsid w:val="00B87A49"/>
    <w:rsid w:val="00BA48EF"/>
    <w:rsid w:val="00BB4774"/>
    <w:rsid w:val="00BB58F9"/>
    <w:rsid w:val="00BD57E1"/>
    <w:rsid w:val="00BF0FED"/>
    <w:rsid w:val="00BF7812"/>
    <w:rsid w:val="00C012F7"/>
    <w:rsid w:val="00C15D43"/>
    <w:rsid w:val="00C2480D"/>
    <w:rsid w:val="00C402A7"/>
    <w:rsid w:val="00C43B2D"/>
    <w:rsid w:val="00C526FC"/>
    <w:rsid w:val="00C72494"/>
    <w:rsid w:val="00C72CFC"/>
    <w:rsid w:val="00C75A57"/>
    <w:rsid w:val="00C83AAA"/>
    <w:rsid w:val="00C83DCA"/>
    <w:rsid w:val="00C90ACF"/>
    <w:rsid w:val="00C92A19"/>
    <w:rsid w:val="00C94421"/>
    <w:rsid w:val="00CA665F"/>
    <w:rsid w:val="00CB64A4"/>
    <w:rsid w:val="00CC0D2C"/>
    <w:rsid w:val="00CD0F3F"/>
    <w:rsid w:val="00CD29D7"/>
    <w:rsid w:val="00CD770A"/>
    <w:rsid w:val="00CE07C1"/>
    <w:rsid w:val="00CE76BD"/>
    <w:rsid w:val="00CF1866"/>
    <w:rsid w:val="00CF6CA5"/>
    <w:rsid w:val="00D0033D"/>
    <w:rsid w:val="00D01E62"/>
    <w:rsid w:val="00D14EAA"/>
    <w:rsid w:val="00D17D01"/>
    <w:rsid w:val="00D26607"/>
    <w:rsid w:val="00D3546A"/>
    <w:rsid w:val="00D6662E"/>
    <w:rsid w:val="00D6793B"/>
    <w:rsid w:val="00D751F6"/>
    <w:rsid w:val="00D75427"/>
    <w:rsid w:val="00D90C5D"/>
    <w:rsid w:val="00DA70DE"/>
    <w:rsid w:val="00DC15CD"/>
    <w:rsid w:val="00DC240B"/>
    <w:rsid w:val="00DE3958"/>
    <w:rsid w:val="00DE40A8"/>
    <w:rsid w:val="00DE50BF"/>
    <w:rsid w:val="00DE52C7"/>
    <w:rsid w:val="00DE73AF"/>
    <w:rsid w:val="00E0121C"/>
    <w:rsid w:val="00E04366"/>
    <w:rsid w:val="00E04E52"/>
    <w:rsid w:val="00E16EA5"/>
    <w:rsid w:val="00E200D3"/>
    <w:rsid w:val="00E32F91"/>
    <w:rsid w:val="00E35F00"/>
    <w:rsid w:val="00E36194"/>
    <w:rsid w:val="00E44F86"/>
    <w:rsid w:val="00E46E93"/>
    <w:rsid w:val="00E72BEE"/>
    <w:rsid w:val="00E8785F"/>
    <w:rsid w:val="00EA21AF"/>
    <w:rsid w:val="00EB3A76"/>
    <w:rsid w:val="00EB6B77"/>
    <w:rsid w:val="00EE29F2"/>
    <w:rsid w:val="00EE79A2"/>
    <w:rsid w:val="00EF757B"/>
    <w:rsid w:val="00F0239C"/>
    <w:rsid w:val="00F04504"/>
    <w:rsid w:val="00F065C1"/>
    <w:rsid w:val="00F1352D"/>
    <w:rsid w:val="00F34983"/>
    <w:rsid w:val="00F34B61"/>
    <w:rsid w:val="00F456F4"/>
    <w:rsid w:val="00F55825"/>
    <w:rsid w:val="00F71B16"/>
    <w:rsid w:val="00F748E6"/>
    <w:rsid w:val="00F82AF4"/>
    <w:rsid w:val="00F844AE"/>
    <w:rsid w:val="00F90D64"/>
    <w:rsid w:val="00F91D27"/>
    <w:rsid w:val="00F94F7C"/>
    <w:rsid w:val="00FB778F"/>
    <w:rsid w:val="00FC1EBB"/>
    <w:rsid w:val="00FC467C"/>
    <w:rsid w:val="00FD0FB2"/>
    <w:rsid w:val="228A0D27"/>
    <w:rsid w:val="2F6D7A32"/>
    <w:rsid w:val="38744FB5"/>
    <w:rsid w:val="49A2154E"/>
    <w:rsid w:val="4E762561"/>
    <w:rsid w:val="512D43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link w:val="2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1">
    <w:name w:val="Default Paragraph Font"/>
    <w:semiHidden/>
    <w:unhideWhenUsed/>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19"/>
    <w:semiHidden/>
    <w:unhideWhenUsed/>
    <w:uiPriority w:val="99"/>
    <w:pPr>
      <w:jc w:val="left"/>
    </w:pPr>
  </w:style>
  <w:style w:type="paragraph" w:styleId="4">
    <w:name w:val="Balloon Text"/>
    <w:basedOn w:val="1"/>
    <w:link w:val="18"/>
    <w:semiHidden/>
    <w:unhideWhenUsed/>
    <w:uiPriority w:val="99"/>
    <w:rPr>
      <w:rFonts w:ascii="宋体" w:eastAsia="宋体"/>
      <w:sz w:val="18"/>
      <w:szCs w:val="18"/>
    </w:rPr>
  </w:style>
  <w:style w:type="paragraph" w:styleId="5">
    <w:name w:val="footer"/>
    <w:basedOn w:val="1"/>
    <w:link w:val="17"/>
    <w:unhideWhenUsed/>
    <w:qFormat/>
    <w:uiPriority w:val="99"/>
    <w:pPr>
      <w:tabs>
        <w:tab w:val="center" w:pos="4153"/>
        <w:tab w:val="right" w:pos="8306"/>
      </w:tabs>
      <w:snapToGrid w:val="0"/>
      <w:jc w:val="left"/>
    </w:pPr>
    <w:rPr>
      <w:sz w:val="18"/>
      <w:szCs w:val="18"/>
    </w:rPr>
  </w:style>
  <w:style w:type="paragraph" w:styleId="6">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semiHidden/>
    <w:unhideWhenUsed/>
    <w:qFormat/>
    <w:uiPriority w:val="99"/>
    <w:pPr>
      <w:snapToGrid w:val="0"/>
      <w:jc w:val="left"/>
    </w:pPr>
    <w:rPr>
      <w:sz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rPr>
  </w:style>
  <w:style w:type="paragraph" w:styleId="9">
    <w:name w:val="annotation subject"/>
    <w:basedOn w:val="3"/>
    <w:next w:val="3"/>
    <w:link w:val="20"/>
    <w:semiHidden/>
    <w:unhideWhenUsed/>
    <w:qFormat/>
    <w:uiPriority w:val="99"/>
    <w:rPr>
      <w:b/>
      <w:bCs/>
    </w:rPr>
  </w:style>
  <w:style w:type="character" w:styleId="12">
    <w:name w:val="Strong"/>
    <w:basedOn w:val="11"/>
    <w:qFormat/>
    <w:uiPriority w:val="22"/>
    <w:rPr>
      <w:b/>
      <w:bCs/>
    </w:rPr>
  </w:style>
  <w:style w:type="character" w:styleId="13">
    <w:name w:val="Hyperlink"/>
    <w:basedOn w:val="11"/>
    <w:unhideWhenUsed/>
    <w:qFormat/>
    <w:uiPriority w:val="99"/>
    <w:rPr>
      <w:color w:val="0563C1" w:themeColor="hyperlink"/>
      <w:u w:val="single"/>
      <w14:textFill>
        <w14:solidFill>
          <w14:schemeClr w14:val="hlink"/>
        </w14:solidFill>
      </w14:textFill>
    </w:rPr>
  </w:style>
  <w:style w:type="character" w:styleId="14">
    <w:name w:val="annotation reference"/>
    <w:basedOn w:val="11"/>
    <w:semiHidden/>
    <w:unhideWhenUsed/>
    <w:qFormat/>
    <w:uiPriority w:val="99"/>
    <w:rPr>
      <w:sz w:val="21"/>
      <w:szCs w:val="21"/>
    </w:rPr>
  </w:style>
  <w:style w:type="character" w:styleId="15">
    <w:name w:val="footnote reference"/>
    <w:basedOn w:val="11"/>
    <w:semiHidden/>
    <w:unhideWhenUsed/>
    <w:qFormat/>
    <w:uiPriority w:val="99"/>
    <w:rPr>
      <w:vertAlign w:val="superscript"/>
    </w:rPr>
  </w:style>
  <w:style w:type="character" w:customStyle="1" w:styleId="16">
    <w:name w:val="页眉 字符"/>
    <w:basedOn w:val="11"/>
    <w:link w:val="6"/>
    <w:qFormat/>
    <w:uiPriority w:val="99"/>
    <w:rPr>
      <w:sz w:val="18"/>
      <w:szCs w:val="18"/>
    </w:rPr>
  </w:style>
  <w:style w:type="character" w:customStyle="1" w:styleId="17">
    <w:name w:val="页脚 字符"/>
    <w:basedOn w:val="11"/>
    <w:link w:val="5"/>
    <w:qFormat/>
    <w:uiPriority w:val="99"/>
    <w:rPr>
      <w:sz w:val="18"/>
      <w:szCs w:val="18"/>
    </w:rPr>
  </w:style>
  <w:style w:type="character" w:customStyle="1" w:styleId="18">
    <w:name w:val="批注框文本 字符"/>
    <w:basedOn w:val="11"/>
    <w:link w:val="4"/>
    <w:semiHidden/>
    <w:uiPriority w:val="99"/>
    <w:rPr>
      <w:rFonts w:ascii="宋体" w:eastAsia="宋体"/>
      <w:sz w:val="18"/>
      <w:szCs w:val="18"/>
    </w:rPr>
  </w:style>
  <w:style w:type="character" w:customStyle="1" w:styleId="19">
    <w:name w:val="批注文字 字符"/>
    <w:basedOn w:val="11"/>
    <w:link w:val="3"/>
    <w:semiHidden/>
    <w:qFormat/>
    <w:uiPriority w:val="99"/>
  </w:style>
  <w:style w:type="character" w:customStyle="1" w:styleId="20">
    <w:name w:val="批注主题 字符"/>
    <w:basedOn w:val="19"/>
    <w:link w:val="9"/>
    <w:semiHidden/>
    <w:qFormat/>
    <w:uiPriority w:val="99"/>
    <w:rPr>
      <w:b/>
      <w:bCs/>
    </w:rPr>
  </w:style>
  <w:style w:type="character" w:customStyle="1" w:styleId="21">
    <w:name w:val="标题 2 字符"/>
    <w:basedOn w:val="11"/>
    <w:link w:val="2"/>
    <w:uiPriority w:val="9"/>
    <w:rPr>
      <w:rFonts w:asciiTheme="majorHAnsi" w:hAnsiTheme="majorHAnsi" w:eastAsiaTheme="majorEastAsia" w:cstheme="majorBidi"/>
      <w:b/>
      <w:bCs/>
      <w:sz w:val="32"/>
      <w:szCs w:val="3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453</Words>
  <Characters>2586</Characters>
  <Lines>21</Lines>
  <Paragraphs>6</Paragraphs>
  <TotalTime>424</TotalTime>
  <ScaleCrop>false</ScaleCrop>
  <LinksUpToDate>false</LinksUpToDate>
  <CharactersWithSpaces>3033</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2018-12-09T08:34:00Z</dcterms:created>
  <dc:creator>junfeng an</dc:creator>
  <cp:lastModifiedBy>张汇沣</cp:lastModifiedBy>
  <dcterms:modified xsi:type="dcterms:W3CDTF">2019-12-25T01:13:14Z</dcterms:modified>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