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Chars="71"/>
        <w:rPr>
          <w:rFonts w:ascii="仿宋" w:hAnsi="仿宋" w:eastAsia="仿宋" w:cs="宋体"/>
          <w:b/>
          <w:kern w:val="0"/>
          <w:sz w:val="28"/>
          <w:szCs w:val="28"/>
        </w:rPr>
      </w:pPr>
      <w:bookmarkStart w:id="0" w:name="_Hlk509270028"/>
      <w:r>
        <w:rPr>
          <w:rFonts w:hint="eastAsia" w:ascii="仿宋" w:hAnsi="仿宋" w:eastAsia="仿宋"/>
          <w:b/>
          <w:sz w:val="28"/>
          <w:szCs w:val="28"/>
        </w:rPr>
        <w:t>《</w:t>
      </w:r>
      <w:r>
        <w:rPr>
          <w:rFonts w:hint="eastAsia" w:ascii="仿宋" w:hAnsi="仿宋" w:eastAsia="仿宋" w:cs="宋体"/>
          <w:b/>
          <w:kern w:val="0"/>
          <w:sz w:val="28"/>
          <w:szCs w:val="28"/>
        </w:rPr>
        <w:t>关于加强深圳市福田区区属企业银行账户管理及资金风险防范综合监管的指导意见》</w:t>
      </w:r>
    </w:p>
    <w:p>
      <w:pPr>
        <w:adjustRightInd w:val="0"/>
        <w:snapToGrid w:val="0"/>
        <w:spacing w:line="300" w:lineRule="auto"/>
        <w:ind w:firstLineChars="71"/>
        <w:rPr>
          <w:rFonts w:ascii="仿宋" w:hAnsi="仿宋" w:eastAsia="仿宋" w:cs="宋体"/>
          <w:b/>
          <w:kern w:val="0"/>
          <w:sz w:val="28"/>
          <w:szCs w:val="28"/>
        </w:rPr>
      </w:pPr>
      <w:r>
        <w:rPr>
          <w:rFonts w:hint="eastAsia" w:ascii="仿宋" w:hAnsi="仿宋" w:eastAsia="仿宋" w:cs="宋体"/>
          <w:b/>
          <w:kern w:val="0"/>
          <w:sz w:val="28"/>
          <w:szCs w:val="28"/>
        </w:rPr>
        <w:t>起草说明</w:t>
      </w:r>
    </w:p>
    <w:p>
      <w:pPr>
        <w:adjustRightInd w:val="0"/>
        <w:snapToGrid w:val="0"/>
        <w:spacing w:line="300" w:lineRule="auto"/>
        <w:ind w:firstLine="562"/>
        <w:rPr>
          <w:rFonts w:ascii="仿宋" w:hAnsi="仿宋" w:eastAsia="仿宋" w:cs="宋体"/>
          <w:b/>
          <w:kern w:val="0"/>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”的国有资产管理体系，制定了配套制度《关于加强深圳市福田区区属国有企业银行账户管理及资金风险防范综合监管的指导意见》（以下简称“《指导意见》”），进一步加强区属国有企业的资金监督管理。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银行账户和资金管理属于企业自主经营管理的范畴。区国资局通过制定《指导意见》，从银行账户开设、资金存放、运营、安全管理、法律责任等多方面给予企业指导，加强深圳市福田区区属国有企业银行账户管理及资金风险防范，确保资金安全和提高资金使用效益。另外还对担保和提供资金融通、购买理财产品等资金活动提出监管要求。</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主要法律依据</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（1）《中华人民共和国企业国有资产法》。</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（2）《深圳市福田区属企业国有资产监督管理办法》</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（3）《企业国有资本与财务管理暂行办法》</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（4）财政部颁布的《企业财务通则》，《内部会计控制规范--基本规范(试行)》和《内部会计控制规范--货币资金(试行)》《企业内部控制应用指引第6号--资金活动》。</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参照深圳市国资委《关于加强市属国有企业银行账户管理及资金风险防范综合监管的指导意见》、《深圳市属国有企业贷款担保管理暂行规定</w:t>
      </w:r>
      <w:r>
        <w:rPr>
          <w:rFonts w:hint="eastAsia" w:ascii="Calibri" w:hAnsi="Calibri" w:eastAsia="仿宋" w:cs="Calibri"/>
          <w:sz w:val="28"/>
          <w:szCs w:val="28"/>
        </w:rPr>
        <w:t>》</w:t>
      </w:r>
      <w:r>
        <w:rPr>
          <w:rFonts w:hint="eastAsia" w:ascii="仿宋" w:hAnsi="仿宋" w:eastAsia="仿宋"/>
          <w:sz w:val="28"/>
          <w:szCs w:val="28"/>
        </w:rPr>
        <w:t>、《</w:t>
      </w:r>
      <w:r>
        <w:rPr>
          <w:rFonts w:ascii="仿宋" w:hAnsi="仿宋" w:eastAsia="仿宋"/>
          <w:sz w:val="28"/>
          <w:szCs w:val="28"/>
        </w:rPr>
        <w:t>深圳市国资委关于加强市属国企资金存放管理的通知</w:t>
      </w:r>
      <w:r>
        <w:rPr>
          <w:rFonts w:hint="eastAsia" w:ascii="仿宋" w:hAnsi="仿宋" w:eastAsia="仿宋"/>
          <w:sz w:val="28"/>
          <w:szCs w:val="28"/>
        </w:rPr>
        <w:t>》，结合区属企业情况适当做了调整和选择性借鉴。</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管理规定采用“指导意见”的体例，共七条，主要内容包括：</w:t>
      </w:r>
    </w:p>
    <w:p>
      <w:pPr>
        <w:adjustRightInd w:val="0"/>
        <w:snapToGrid w:val="0"/>
        <w:spacing w:line="300" w:lineRule="auto"/>
        <w:ind w:firstLine="560"/>
        <w:jc w:val="both"/>
        <w:rPr>
          <w:rFonts w:ascii="仿宋" w:hAnsi="仿宋" w:eastAsia="仿宋"/>
          <w:sz w:val="28"/>
          <w:szCs w:val="28"/>
        </w:rPr>
      </w:pPr>
    </w:p>
    <w:p>
      <w:pPr>
        <w:pStyle w:val="7"/>
        <w:adjustRightInd w:val="0"/>
        <w:snapToGrid w:val="0"/>
        <w:spacing w:beforeAutospacing="0" w:afterAutospacing="0" w:line="300" w:lineRule="auto"/>
        <w:ind w:firstLine="560"/>
        <w:jc w:val="both"/>
        <w:rPr>
          <w:rFonts w:ascii="仿宋" w:hAnsi="仿宋" w:eastAsia="仿宋"/>
          <w:kern w:val="2"/>
          <w:sz w:val="28"/>
          <w:szCs w:val="28"/>
        </w:rPr>
      </w:pPr>
      <w:r>
        <w:rPr>
          <w:rFonts w:hint="eastAsia" w:ascii="仿宋" w:hAnsi="仿宋" w:eastAsia="仿宋"/>
          <w:kern w:val="2"/>
          <w:sz w:val="28"/>
          <w:szCs w:val="28"/>
        </w:rPr>
        <w:t>1</w:t>
      </w:r>
      <w:r>
        <w:rPr>
          <w:rFonts w:hint="eastAsia" w:ascii="仿宋" w:hAnsi="仿宋" w:eastAsia="仿宋"/>
          <w:kern w:val="2"/>
          <w:sz w:val="28"/>
          <w:szCs w:val="28"/>
          <w:lang w:val="en-US" w:eastAsia="zh-CN"/>
        </w:rPr>
        <w:t>.</w:t>
      </w:r>
      <w:r>
        <w:rPr>
          <w:rFonts w:hint="eastAsia" w:ascii="仿宋" w:hAnsi="仿宋" w:eastAsia="仿宋"/>
          <w:kern w:val="2"/>
          <w:sz w:val="28"/>
          <w:szCs w:val="28"/>
        </w:rPr>
        <w:t>适用范围（第一条）。适用于福田区区直企业及辖属企业。</w:t>
      </w:r>
      <w:bookmarkEnd w:id="0"/>
      <w:r>
        <w:rPr>
          <w:rFonts w:hint="eastAsia" w:ascii="仿宋" w:hAnsi="仿宋" w:eastAsia="仿宋"/>
          <w:kern w:val="2"/>
          <w:sz w:val="28"/>
          <w:szCs w:val="28"/>
        </w:rPr>
        <w:t>要求区直企业应当根据本指导意见完善自身的规章制度，通过作出股东决定或股东会决议、制定和修改辖属企业章程等方式保证辖属企业遵守本指导意见和区直企业的相关规章制度。</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基本原则（第二条）。明确国有资金监管以合规性、安全性为主要原则。</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规范银行账户管理（第三条）。一是规范银行账户开设的集体决策程序；要求谨慎开设银行账户和定期清理银行账户，整改银行账户过滥、闲置等问题。二是加强对银行账户的日常监管，严禁设立“小金库”等，杜绝资金体外循环。建议企业加强对合作银行的综合评价，择优选择合作银行。</w:t>
      </w:r>
    </w:p>
    <w:p>
      <w:pPr>
        <w:adjustRightInd w:val="0"/>
        <w:snapToGrid w:val="0"/>
        <w:spacing w:line="300" w:lineRule="auto"/>
        <w:ind w:firstLine="0" w:firstLineChars="0"/>
        <w:jc w:val="both"/>
        <w:rPr>
          <w:rFonts w:ascii="仿宋" w:hAnsi="仿宋" w:eastAsia="仿宋"/>
          <w:sz w:val="28"/>
          <w:szCs w:val="28"/>
        </w:rPr>
      </w:pPr>
    </w:p>
    <w:p>
      <w:pPr>
        <w:adjustRightInd w:val="0"/>
        <w:snapToGrid w:val="0"/>
        <w:spacing w:line="300" w:lineRule="auto"/>
        <w:ind w:firstLine="280" w:firstLineChars="100"/>
        <w:jc w:val="both"/>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加强资金风险防范（第四条）。</w:t>
      </w:r>
      <w:r>
        <w:rPr>
          <w:rFonts w:hint="eastAsia" w:ascii="仿宋" w:hAnsi="仿宋" w:eastAsia="仿宋"/>
        </w:rPr>
        <w:t>区直企</w:t>
      </w:r>
      <w:r>
        <w:rPr>
          <w:rFonts w:hint="eastAsia" w:ascii="仿宋" w:hAnsi="仿宋" w:eastAsia="仿宋"/>
          <w:sz w:val="28"/>
          <w:szCs w:val="28"/>
        </w:rPr>
        <w:t xml:space="preserve">业应当建立岗位制衡机制，对关键环节实行重点防范，加强网银安全管理，建立资金安全预警机制。 </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为了落实《深圳市福田区属企业国有资产监督管理办法》第五章对担保和对外资金融通的管理要求，参照《深圳市属国有企业贷款担保管理暂定规定》，对与资金管理有关的担保和对外提供资金融通提出了监管要求，区分类型规定了不同力度的禁止（无产权关系）、严格管理（参股企业）、适当管理（区属企业之间）和担保总额管理。为没有产权关系的单位和参股企业提供担保和资金融通的，须经区国资局批准</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在谨慎理财部分，重申了区监管办法第十七条第二款的内容并增加了监管要求。</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在资金存放银行的选择方面，要求区直</w:t>
      </w:r>
      <w:r>
        <w:rPr>
          <w:rFonts w:ascii="仿宋" w:hAnsi="仿宋" w:eastAsia="仿宋"/>
          <w:sz w:val="28"/>
          <w:szCs w:val="28"/>
        </w:rPr>
        <w:t>企业应当将资金存放纳入“三重一大”决策事项</w:t>
      </w:r>
      <w:r>
        <w:rPr>
          <w:rFonts w:hint="eastAsia" w:ascii="仿宋" w:hAnsi="仿宋" w:eastAsia="仿宋"/>
          <w:sz w:val="28"/>
          <w:szCs w:val="28"/>
        </w:rPr>
        <w:t>范围，原则上应当采取竞争性方式选择资金存放银行。</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加强资金统筹管理（第五条）。加强存贷资金管理，合理调配资金，提高资金使用效率。</w:t>
      </w:r>
    </w:p>
    <w:p>
      <w:pPr>
        <w:adjustRightInd w:val="0"/>
        <w:snapToGrid w:val="0"/>
        <w:spacing w:line="300" w:lineRule="auto"/>
        <w:ind w:firstLine="560"/>
        <w:jc w:val="both"/>
        <w:rPr>
          <w:rFonts w:ascii="仿宋" w:hAnsi="仿宋" w:eastAsia="仿宋"/>
          <w:sz w:val="28"/>
          <w:szCs w:val="28"/>
        </w:rPr>
      </w:pPr>
      <w:bookmarkStart w:id="1" w:name="_GoBack"/>
      <w:bookmarkEnd w:id="1"/>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val="en-US" w:eastAsia="zh-CN"/>
        </w:rPr>
        <w:t>.</w:t>
      </w:r>
      <w:r>
        <w:rPr>
          <w:rFonts w:hint="eastAsia" w:ascii="仿宋" w:hAnsi="仿宋" w:eastAsia="仿宋"/>
          <w:sz w:val="28"/>
          <w:szCs w:val="28"/>
        </w:rPr>
        <w:t>加强监督检查及责任追究（第六条）。明确区国资局的监管与指导职责，明确企业自身责任，明确追责应参照的国务院和深圳市国资委的规定。</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7</w:t>
      </w:r>
      <w:r>
        <w:rPr>
          <w:rFonts w:hint="eastAsia" w:ascii="仿宋" w:hAnsi="仿宋" w:eastAsia="仿宋"/>
          <w:sz w:val="28"/>
          <w:szCs w:val="28"/>
          <w:lang w:val="en-US" w:eastAsia="zh-CN"/>
        </w:rPr>
        <w:t>.</w:t>
      </w:r>
      <w:r>
        <w:rPr>
          <w:rFonts w:hint="eastAsia" w:ascii="仿宋" w:hAnsi="仿宋" w:eastAsia="仿宋"/>
          <w:sz w:val="28"/>
          <w:szCs w:val="28"/>
        </w:rPr>
        <w:t>其他条款（第七条）。本指导意见的解释权及实施日期。</w:t>
      </w:r>
    </w:p>
    <w:p>
      <w:pPr>
        <w:adjustRightInd w:val="0"/>
        <w:snapToGrid w:val="0"/>
        <w:spacing w:line="300" w:lineRule="auto"/>
        <w:ind w:firstLine="560"/>
        <w:jc w:val="both"/>
        <w:rPr>
          <w:rFonts w:ascii="仿宋" w:hAnsi="仿宋" w:eastAsia="仿宋"/>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ind w:firstLine="0" w:firstLineChars="0"/>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6B"/>
    <w:rsid w:val="000043B8"/>
    <w:rsid w:val="000079C2"/>
    <w:rsid w:val="00010E42"/>
    <w:rsid w:val="0001222B"/>
    <w:rsid w:val="000122FB"/>
    <w:rsid w:val="000209B9"/>
    <w:rsid w:val="00022493"/>
    <w:rsid w:val="0002537C"/>
    <w:rsid w:val="000300DF"/>
    <w:rsid w:val="00030541"/>
    <w:rsid w:val="0003372F"/>
    <w:rsid w:val="0004159D"/>
    <w:rsid w:val="00043923"/>
    <w:rsid w:val="00044BF7"/>
    <w:rsid w:val="0004603E"/>
    <w:rsid w:val="00046E2A"/>
    <w:rsid w:val="00047CB3"/>
    <w:rsid w:val="00047F7F"/>
    <w:rsid w:val="0005039A"/>
    <w:rsid w:val="00055F04"/>
    <w:rsid w:val="00056B9B"/>
    <w:rsid w:val="000575D7"/>
    <w:rsid w:val="0006613C"/>
    <w:rsid w:val="00071784"/>
    <w:rsid w:val="000727A4"/>
    <w:rsid w:val="00082C08"/>
    <w:rsid w:val="00095F6D"/>
    <w:rsid w:val="000A17AC"/>
    <w:rsid w:val="000A2B6A"/>
    <w:rsid w:val="000A2EC5"/>
    <w:rsid w:val="000A4297"/>
    <w:rsid w:val="000B13EE"/>
    <w:rsid w:val="000C4700"/>
    <w:rsid w:val="000D4662"/>
    <w:rsid w:val="000D4D09"/>
    <w:rsid w:val="000D733C"/>
    <w:rsid w:val="000E65FE"/>
    <w:rsid w:val="000F3041"/>
    <w:rsid w:val="000F524B"/>
    <w:rsid w:val="00100A17"/>
    <w:rsid w:val="00101315"/>
    <w:rsid w:val="00102A1E"/>
    <w:rsid w:val="00102A53"/>
    <w:rsid w:val="00104D42"/>
    <w:rsid w:val="00104FAD"/>
    <w:rsid w:val="00114DB3"/>
    <w:rsid w:val="001217C1"/>
    <w:rsid w:val="001332BE"/>
    <w:rsid w:val="001360A1"/>
    <w:rsid w:val="00137DFD"/>
    <w:rsid w:val="00150742"/>
    <w:rsid w:val="001531D7"/>
    <w:rsid w:val="00155971"/>
    <w:rsid w:val="001602A1"/>
    <w:rsid w:val="00160DA3"/>
    <w:rsid w:val="00161D58"/>
    <w:rsid w:val="00166C0F"/>
    <w:rsid w:val="00171814"/>
    <w:rsid w:val="00175414"/>
    <w:rsid w:val="00180804"/>
    <w:rsid w:val="00182D2A"/>
    <w:rsid w:val="00190015"/>
    <w:rsid w:val="00193827"/>
    <w:rsid w:val="001A34F2"/>
    <w:rsid w:val="001A6A6C"/>
    <w:rsid w:val="001B0203"/>
    <w:rsid w:val="001B0B41"/>
    <w:rsid w:val="001B1C58"/>
    <w:rsid w:val="001B6F10"/>
    <w:rsid w:val="001C2071"/>
    <w:rsid w:val="001C4B01"/>
    <w:rsid w:val="001E2CE0"/>
    <w:rsid w:val="001E4479"/>
    <w:rsid w:val="001F5BB7"/>
    <w:rsid w:val="00221466"/>
    <w:rsid w:val="00232837"/>
    <w:rsid w:val="002337A7"/>
    <w:rsid w:val="00233B61"/>
    <w:rsid w:val="00234A37"/>
    <w:rsid w:val="00240D42"/>
    <w:rsid w:val="00241F14"/>
    <w:rsid w:val="00247295"/>
    <w:rsid w:val="00260CD4"/>
    <w:rsid w:val="0026139B"/>
    <w:rsid w:val="00271A7B"/>
    <w:rsid w:val="002747E1"/>
    <w:rsid w:val="00277692"/>
    <w:rsid w:val="00281DF3"/>
    <w:rsid w:val="00285D5E"/>
    <w:rsid w:val="00285DEA"/>
    <w:rsid w:val="00292B7C"/>
    <w:rsid w:val="002932AF"/>
    <w:rsid w:val="00295C70"/>
    <w:rsid w:val="002962FC"/>
    <w:rsid w:val="002A327C"/>
    <w:rsid w:val="002A445F"/>
    <w:rsid w:val="002A49C5"/>
    <w:rsid w:val="002A6DE0"/>
    <w:rsid w:val="002B08A2"/>
    <w:rsid w:val="002B0914"/>
    <w:rsid w:val="002D082B"/>
    <w:rsid w:val="002D108A"/>
    <w:rsid w:val="002F5B93"/>
    <w:rsid w:val="002F7720"/>
    <w:rsid w:val="0030559E"/>
    <w:rsid w:val="00316650"/>
    <w:rsid w:val="00316CD0"/>
    <w:rsid w:val="003262A7"/>
    <w:rsid w:val="00331E7F"/>
    <w:rsid w:val="00337D56"/>
    <w:rsid w:val="00352753"/>
    <w:rsid w:val="0035779E"/>
    <w:rsid w:val="003700DB"/>
    <w:rsid w:val="00371C69"/>
    <w:rsid w:val="00377790"/>
    <w:rsid w:val="00377A6B"/>
    <w:rsid w:val="00377FD0"/>
    <w:rsid w:val="00383883"/>
    <w:rsid w:val="00390C28"/>
    <w:rsid w:val="003A5EF1"/>
    <w:rsid w:val="003B276F"/>
    <w:rsid w:val="003B2842"/>
    <w:rsid w:val="003C31CB"/>
    <w:rsid w:val="003C3D97"/>
    <w:rsid w:val="003C6537"/>
    <w:rsid w:val="003C6BE5"/>
    <w:rsid w:val="003C7FDB"/>
    <w:rsid w:val="003E3F73"/>
    <w:rsid w:val="003E568B"/>
    <w:rsid w:val="003F0090"/>
    <w:rsid w:val="003F185A"/>
    <w:rsid w:val="003F2399"/>
    <w:rsid w:val="003F3A94"/>
    <w:rsid w:val="003F6540"/>
    <w:rsid w:val="004006BE"/>
    <w:rsid w:val="004021D3"/>
    <w:rsid w:val="00403B86"/>
    <w:rsid w:val="00412690"/>
    <w:rsid w:val="00412F61"/>
    <w:rsid w:val="00423F68"/>
    <w:rsid w:val="0043090D"/>
    <w:rsid w:val="00435993"/>
    <w:rsid w:val="00435E0C"/>
    <w:rsid w:val="0043611F"/>
    <w:rsid w:val="00437F7A"/>
    <w:rsid w:val="004518C1"/>
    <w:rsid w:val="00452CA2"/>
    <w:rsid w:val="00456819"/>
    <w:rsid w:val="00456C53"/>
    <w:rsid w:val="0045704C"/>
    <w:rsid w:val="004664BC"/>
    <w:rsid w:val="00477930"/>
    <w:rsid w:val="00482B0B"/>
    <w:rsid w:val="00482C38"/>
    <w:rsid w:val="00482FF4"/>
    <w:rsid w:val="00491768"/>
    <w:rsid w:val="004A40E4"/>
    <w:rsid w:val="004B33B0"/>
    <w:rsid w:val="004B491D"/>
    <w:rsid w:val="004C2E23"/>
    <w:rsid w:val="004C610E"/>
    <w:rsid w:val="004D5777"/>
    <w:rsid w:val="004D5838"/>
    <w:rsid w:val="004D65BF"/>
    <w:rsid w:val="004D7F74"/>
    <w:rsid w:val="004E10E1"/>
    <w:rsid w:val="004E3424"/>
    <w:rsid w:val="004E35B0"/>
    <w:rsid w:val="004F3FB4"/>
    <w:rsid w:val="004F5752"/>
    <w:rsid w:val="00500AD2"/>
    <w:rsid w:val="0050331C"/>
    <w:rsid w:val="0050344A"/>
    <w:rsid w:val="00504C8E"/>
    <w:rsid w:val="0050693B"/>
    <w:rsid w:val="00512678"/>
    <w:rsid w:val="00520B7B"/>
    <w:rsid w:val="00551004"/>
    <w:rsid w:val="0055232E"/>
    <w:rsid w:val="00554C14"/>
    <w:rsid w:val="005623EE"/>
    <w:rsid w:val="00564A7E"/>
    <w:rsid w:val="00577613"/>
    <w:rsid w:val="0058221E"/>
    <w:rsid w:val="005870DF"/>
    <w:rsid w:val="00587472"/>
    <w:rsid w:val="00590560"/>
    <w:rsid w:val="005927F2"/>
    <w:rsid w:val="00592BDB"/>
    <w:rsid w:val="0059396C"/>
    <w:rsid w:val="00597441"/>
    <w:rsid w:val="00597955"/>
    <w:rsid w:val="005B2D4B"/>
    <w:rsid w:val="005B535C"/>
    <w:rsid w:val="005B5BB9"/>
    <w:rsid w:val="005C24FF"/>
    <w:rsid w:val="005C32AB"/>
    <w:rsid w:val="005C47A7"/>
    <w:rsid w:val="005C4C67"/>
    <w:rsid w:val="005D7E62"/>
    <w:rsid w:val="005E533F"/>
    <w:rsid w:val="005F0923"/>
    <w:rsid w:val="005F12EB"/>
    <w:rsid w:val="006003D2"/>
    <w:rsid w:val="00600E03"/>
    <w:rsid w:val="00601FA1"/>
    <w:rsid w:val="00605FC6"/>
    <w:rsid w:val="006061DD"/>
    <w:rsid w:val="00606B11"/>
    <w:rsid w:val="0060752F"/>
    <w:rsid w:val="00607889"/>
    <w:rsid w:val="00614A77"/>
    <w:rsid w:val="006155EB"/>
    <w:rsid w:val="006228E6"/>
    <w:rsid w:val="006249EA"/>
    <w:rsid w:val="0063036C"/>
    <w:rsid w:val="00633588"/>
    <w:rsid w:val="00633D1C"/>
    <w:rsid w:val="006350A1"/>
    <w:rsid w:val="00645751"/>
    <w:rsid w:val="006518EB"/>
    <w:rsid w:val="00691914"/>
    <w:rsid w:val="00695672"/>
    <w:rsid w:val="006A1010"/>
    <w:rsid w:val="006A7749"/>
    <w:rsid w:val="006B2EA9"/>
    <w:rsid w:val="006B3332"/>
    <w:rsid w:val="006C0B94"/>
    <w:rsid w:val="006C3EA8"/>
    <w:rsid w:val="006D67AE"/>
    <w:rsid w:val="006E7639"/>
    <w:rsid w:val="006F572D"/>
    <w:rsid w:val="006F68E4"/>
    <w:rsid w:val="006F752B"/>
    <w:rsid w:val="006F7945"/>
    <w:rsid w:val="00702B6A"/>
    <w:rsid w:val="007042B2"/>
    <w:rsid w:val="00705AF8"/>
    <w:rsid w:val="00716739"/>
    <w:rsid w:val="00717BAB"/>
    <w:rsid w:val="00722C77"/>
    <w:rsid w:val="00722CF5"/>
    <w:rsid w:val="00727AD2"/>
    <w:rsid w:val="00727B4D"/>
    <w:rsid w:val="00733BA7"/>
    <w:rsid w:val="00734A18"/>
    <w:rsid w:val="00735D54"/>
    <w:rsid w:val="00736D67"/>
    <w:rsid w:val="0075172A"/>
    <w:rsid w:val="00760185"/>
    <w:rsid w:val="007608C5"/>
    <w:rsid w:val="00763018"/>
    <w:rsid w:val="0076305E"/>
    <w:rsid w:val="007673C5"/>
    <w:rsid w:val="007801B0"/>
    <w:rsid w:val="00782FE2"/>
    <w:rsid w:val="00787BB3"/>
    <w:rsid w:val="007906EC"/>
    <w:rsid w:val="00794F0B"/>
    <w:rsid w:val="007956D3"/>
    <w:rsid w:val="007A218B"/>
    <w:rsid w:val="007A7966"/>
    <w:rsid w:val="007B3050"/>
    <w:rsid w:val="007B3C7B"/>
    <w:rsid w:val="007B705F"/>
    <w:rsid w:val="007C395F"/>
    <w:rsid w:val="007C5AF6"/>
    <w:rsid w:val="007C6849"/>
    <w:rsid w:val="007C7ED8"/>
    <w:rsid w:val="007E1668"/>
    <w:rsid w:val="007E2EA9"/>
    <w:rsid w:val="007E5709"/>
    <w:rsid w:val="007F17D6"/>
    <w:rsid w:val="007F1FBC"/>
    <w:rsid w:val="00820A8B"/>
    <w:rsid w:val="00825EE0"/>
    <w:rsid w:val="00841CA4"/>
    <w:rsid w:val="008519F6"/>
    <w:rsid w:val="008549A3"/>
    <w:rsid w:val="00856880"/>
    <w:rsid w:val="00865908"/>
    <w:rsid w:val="008668BC"/>
    <w:rsid w:val="00876248"/>
    <w:rsid w:val="00880F5E"/>
    <w:rsid w:val="00884A0A"/>
    <w:rsid w:val="008859F5"/>
    <w:rsid w:val="00885DF9"/>
    <w:rsid w:val="0089030F"/>
    <w:rsid w:val="00893306"/>
    <w:rsid w:val="00895CE0"/>
    <w:rsid w:val="008961BC"/>
    <w:rsid w:val="008A0E0E"/>
    <w:rsid w:val="008A7E7C"/>
    <w:rsid w:val="008B03C5"/>
    <w:rsid w:val="008B29A6"/>
    <w:rsid w:val="008B38A4"/>
    <w:rsid w:val="008B6100"/>
    <w:rsid w:val="008C0499"/>
    <w:rsid w:val="008C1772"/>
    <w:rsid w:val="008C1A9D"/>
    <w:rsid w:val="008C1D85"/>
    <w:rsid w:val="008C1E9A"/>
    <w:rsid w:val="008C2C1E"/>
    <w:rsid w:val="008C5819"/>
    <w:rsid w:val="008C7064"/>
    <w:rsid w:val="008D0CA8"/>
    <w:rsid w:val="008D7281"/>
    <w:rsid w:val="008E0009"/>
    <w:rsid w:val="008F0442"/>
    <w:rsid w:val="008F10E3"/>
    <w:rsid w:val="008F7E0E"/>
    <w:rsid w:val="008F7F3B"/>
    <w:rsid w:val="0091234F"/>
    <w:rsid w:val="00914E13"/>
    <w:rsid w:val="009155BB"/>
    <w:rsid w:val="00920B8D"/>
    <w:rsid w:val="00921A8A"/>
    <w:rsid w:val="009225E1"/>
    <w:rsid w:val="00924613"/>
    <w:rsid w:val="00927859"/>
    <w:rsid w:val="0093038C"/>
    <w:rsid w:val="00950D0A"/>
    <w:rsid w:val="009529C6"/>
    <w:rsid w:val="00953FA1"/>
    <w:rsid w:val="00966900"/>
    <w:rsid w:val="00976A4F"/>
    <w:rsid w:val="00980917"/>
    <w:rsid w:val="0098362C"/>
    <w:rsid w:val="0098447B"/>
    <w:rsid w:val="009970F1"/>
    <w:rsid w:val="009A35E3"/>
    <w:rsid w:val="009B4C94"/>
    <w:rsid w:val="009C42A1"/>
    <w:rsid w:val="009C739E"/>
    <w:rsid w:val="009C7D53"/>
    <w:rsid w:val="009D2505"/>
    <w:rsid w:val="009E53BC"/>
    <w:rsid w:val="009F3244"/>
    <w:rsid w:val="00A00C0E"/>
    <w:rsid w:val="00A024AA"/>
    <w:rsid w:val="00A04578"/>
    <w:rsid w:val="00A073ED"/>
    <w:rsid w:val="00A1416B"/>
    <w:rsid w:val="00A2281B"/>
    <w:rsid w:val="00A238CB"/>
    <w:rsid w:val="00A33B27"/>
    <w:rsid w:val="00A3799C"/>
    <w:rsid w:val="00A37CE8"/>
    <w:rsid w:val="00A4764D"/>
    <w:rsid w:val="00A5165F"/>
    <w:rsid w:val="00A51E85"/>
    <w:rsid w:val="00A54EDA"/>
    <w:rsid w:val="00A60306"/>
    <w:rsid w:val="00A63B3A"/>
    <w:rsid w:val="00A709C3"/>
    <w:rsid w:val="00A74624"/>
    <w:rsid w:val="00A75CA8"/>
    <w:rsid w:val="00A87097"/>
    <w:rsid w:val="00A9406D"/>
    <w:rsid w:val="00A9789D"/>
    <w:rsid w:val="00AA76B6"/>
    <w:rsid w:val="00AC1BCF"/>
    <w:rsid w:val="00AE2744"/>
    <w:rsid w:val="00AE6868"/>
    <w:rsid w:val="00AF6F97"/>
    <w:rsid w:val="00B01116"/>
    <w:rsid w:val="00B02414"/>
    <w:rsid w:val="00B111DB"/>
    <w:rsid w:val="00B15422"/>
    <w:rsid w:val="00B16A09"/>
    <w:rsid w:val="00B17B2D"/>
    <w:rsid w:val="00B22031"/>
    <w:rsid w:val="00B26D9F"/>
    <w:rsid w:val="00B31684"/>
    <w:rsid w:val="00B34317"/>
    <w:rsid w:val="00B46078"/>
    <w:rsid w:val="00B4616C"/>
    <w:rsid w:val="00B47051"/>
    <w:rsid w:val="00B509FD"/>
    <w:rsid w:val="00B55FEB"/>
    <w:rsid w:val="00B56514"/>
    <w:rsid w:val="00B83EBF"/>
    <w:rsid w:val="00B86F0D"/>
    <w:rsid w:val="00B92560"/>
    <w:rsid w:val="00B957AF"/>
    <w:rsid w:val="00B96466"/>
    <w:rsid w:val="00BA0E50"/>
    <w:rsid w:val="00BA58BF"/>
    <w:rsid w:val="00BA6379"/>
    <w:rsid w:val="00BA70DA"/>
    <w:rsid w:val="00BA7950"/>
    <w:rsid w:val="00BB427E"/>
    <w:rsid w:val="00BC37E5"/>
    <w:rsid w:val="00BD0DF9"/>
    <w:rsid w:val="00BD0E6B"/>
    <w:rsid w:val="00BE088A"/>
    <w:rsid w:val="00BE16C9"/>
    <w:rsid w:val="00BE36B7"/>
    <w:rsid w:val="00BF2A85"/>
    <w:rsid w:val="00BF3176"/>
    <w:rsid w:val="00C00E0C"/>
    <w:rsid w:val="00C00FA1"/>
    <w:rsid w:val="00C07C6A"/>
    <w:rsid w:val="00C1076E"/>
    <w:rsid w:val="00C14575"/>
    <w:rsid w:val="00C15129"/>
    <w:rsid w:val="00C40F58"/>
    <w:rsid w:val="00C438D1"/>
    <w:rsid w:val="00C478EA"/>
    <w:rsid w:val="00C50ECB"/>
    <w:rsid w:val="00C53DEF"/>
    <w:rsid w:val="00C570FF"/>
    <w:rsid w:val="00C629EE"/>
    <w:rsid w:val="00C65957"/>
    <w:rsid w:val="00C73A6F"/>
    <w:rsid w:val="00C86DA3"/>
    <w:rsid w:val="00C909CD"/>
    <w:rsid w:val="00C913CD"/>
    <w:rsid w:val="00C9345A"/>
    <w:rsid w:val="00C93769"/>
    <w:rsid w:val="00CA23FE"/>
    <w:rsid w:val="00CA59CE"/>
    <w:rsid w:val="00CB3CCA"/>
    <w:rsid w:val="00CC08B5"/>
    <w:rsid w:val="00CC4151"/>
    <w:rsid w:val="00CC5249"/>
    <w:rsid w:val="00CC60EF"/>
    <w:rsid w:val="00CD2D3E"/>
    <w:rsid w:val="00CD3A1C"/>
    <w:rsid w:val="00CF653E"/>
    <w:rsid w:val="00CF7C08"/>
    <w:rsid w:val="00D030EB"/>
    <w:rsid w:val="00D03C44"/>
    <w:rsid w:val="00D04F7D"/>
    <w:rsid w:val="00D05E72"/>
    <w:rsid w:val="00D060C4"/>
    <w:rsid w:val="00D115C1"/>
    <w:rsid w:val="00D121C7"/>
    <w:rsid w:val="00D15AA1"/>
    <w:rsid w:val="00D21E2F"/>
    <w:rsid w:val="00D3086F"/>
    <w:rsid w:val="00D326BC"/>
    <w:rsid w:val="00D328B9"/>
    <w:rsid w:val="00D350AD"/>
    <w:rsid w:val="00D46D0B"/>
    <w:rsid w:val="00D47830"/>
    <w:rsid w:val="00D62005"/>
    <w:rsid w:val="00D621C6"/>
    <w:rsid w:val="00D6756C"/>
    <w:rsid w:val="00D820FB"/>
    <w:rsid w:val="00D85080"/>
    <w:rsid w:val="00D87B41"/>
    <w:rsid w:val="00D87E08"/>
    <w:rsid w:val="00D920E6"/>
    <w:rsid w:val="00D93DE7"/>
    <w:rsid w:val="00D949D3"/>
    <w:rsid w:val="00DA1142"/>
    <w:rsid w:val="00DA220A"/>
    <w:rsid w:val="00DA6931"/>
    <w:rsid w:val="00DB300A"/>
    <w:rsid w:val="00DB3927"/>
    <w:rsid w:val="00DB4573"/>
    <w:rsid w:val="00DC3C02"/>
    <w:rsid w:val="00DD10A2"/>
    <w:rsid w:val="00DD2121"/>
    <w:rsid w:val="00DE1348"/>
    <w:rsid w:val="00DE7415"/>
    <w:rsid w:val="00DF0EE7"/>
    <w:rsid w:val="00DF2603"/>
    <w:rsid w:val="00DF2EAF"/>
    <w:rsid w:val="00DF5F5A"/>
    <w:rsid w:val="00DF7E8A"/>
    <w:rsid w:val="00E01079"/>
    <w:rsid w:val="00E01169"/>
    <w:rsid w:val="00E063FE"/>
    <w:rsid w:val="00E105EF"/>
    <w:rsid w:val="00E15601"/>
    <w:rsid w:val="00E17FFE"/>
    <w:rsid w:val="00E348FF"/>
    <w:rsid w:val="00E3522E"/>
    <w:rsid w:val="00E377C9"/>
    <w:rsid w:val="00E43FB0"/>
    <w:rsid w:val="00E51B64"/>
    <w:rsid w:val="00E51C07"/>
    <w:rsid w:val="00E652F0"/>
    <w:rsid w:val="00E730B9"/>
    <w:rsid w:val="00E754B4"/>
    <w:rsid w:val="00E80EF4"/>
    <w:rsid w:val="00E85704"/>
    <w:rsid w:val="00E87F2F"/>
    <w:rsid w:val="00E91C2F"/>
    <w:rsid w:val="00E95511"/>
    <w:rsid w:val="00EA279D"/>
    <w:rsid w:val="00EA301D"/>
    <w:rsid w:val="00EA47C3"/>
    <w:rsid w:val="00EA5ED6"/>
    <w:rsid w:val="00EB3AB2"/>
    <w:rsid w:val="00EB732C"/>
    <w:rsid w:val="00EC24AA"/>
    <w:rsid w:val="00EC620D"/>
    <w:rsid w:val="00ED0852"/>
    <w:rsid w:val="00ED0AEC"/>
    <w:rsid w:val="00ED429B"/>
    <w:rsid w:val="00EE1279"/>
    <w:rsid w:val="00EE1ACF"/>
    <w:rsid w:val="00EE3605"/>
    <w:rsid w:val="00EE5EEA"/>
    <w:rsid w:val="00EE634F"/>
    <w:rsid w:val="00EF04A9"/>
    <w:rsid w:val="00EF099B"/>
    <w:rsid w:val="00EF1A0C"/>
    <w:rsid w:val="00F13851"/>
    <w:rsid w:val="00F15EEA"/>
    <w:rsid w:val="00F16F0C"/>
    <w:rsid w:val="00F172D5"/>
    <w:rsid w:val="00F21D74"/>
    <w:rsid w:val="00F26188"/>
    <w:rsid w:val="00F47455"/>
    <w:rsid w:val="00F53990"/>
    <w:rsid w:val="00F57BF8"/>
    <w:rsid w:val="00F64349"/>
    <w:rsid w:val="00F75B29"/>
    <w:rsid w:val="00F87F17"/>
    <w:rsid w:val="00F900EB"/>
    <w:rsid w:val="00F903B7"/>
    <w:rsid w:val="00F96806"/>
    <w:rsid w:val="00FB41D2"/>
    <w:rsid w:val="00FB491F"/>
    <w:rsid w:val="00FC205C"/>
    <w:rsid w:val="00FC402C"/>
    <w:rsid w:val="00FC4FAF"/>
    <w:rsid w:val="00FC50BD"/>
    <w:rsid w:val="00FE2173"/>
    <w:rsid w:val="00FE34E1"/>
    <w:rsid w:val="00FF164D"/>
    <w:rsid w:val="00FF4EC2"/>
    <w:rsid w:val="0E5229CF"/>
    <w:rsid w:val="11D948B6"/>
    <w:rsid w:val="180F66BE"/>
    <w:rsid w:val="1D0F65BE"/>
    <w:rsid w:val="1D2E1ECC"/>
    <w:rsid w:val="1DC563E4"/>
    <w:rsid w:val="346B3B2A"/>
    <w:rsid w:val="34DE5738"/>
    <w:rsid w:val="37D4616F"/>
    <w:rsid w:val="3CD75B7C"/>
    <w:rsid w:val="3F384F3C"/>
    <w:rsid w:val="45E024D2"/>
    <w:rsid w:val="4E3B3636"/>
    <w:rsid w:val="58BA3F62"/>
    <w:rsid w:val="75772F77"/>
    <w:rsid w:val="75C9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ind w:firstLine="200" w:firstLineChars="200"/>
      <w:jc w:val="center"/>
    </w:pPr>
    <w:rPr>
      <w:rFonts w:eastAsia="华文仿宋" w:asciiTheme="minorHAnsi" w:hAnsiTheme="minorHAnsi" w:cstheme="minorBidi"/>
      <w:kern w:val="2"/>
      <w:sz w:val="32"/>
      <w:szCs w:val="22"/>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character" w:default="1" w:styleId="9">
    <w:name w:val="Default Paragraph Font"/>
    <w:semiHidden/>
    <w:unhideWhenUsed/>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2"/>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99"/>
    <w:pPr>
      <w:pBdr>
        <w:bottom w:val="single" w:color="auto" w:sz="6" w:space="1"/>
      </w:pBdr>
      <w:tabs>
        <w:tab w:val="center" w:pos="4153"/>
        <w:tab w:val="right" w:pos="8306"/>
      </w:tabs>
      <w:snapToGrid w:val="0"/>
    </w:pPr>
    <w:rPr>
      <w:sz w:val="18"/>
      <w:szCs w:val="18"/>
    </w:rPr>
  </w:style>
  <w:style w:type="paragraph" w:styleId="7">
    <w:name w:val="Normal (Web)"/>
    <w:basedOn w:val="1"/>
    <w:unhideWhenUsed/>
    <w:qFormat/>
    <w:uiPriority w:val="99"/>
    <w:pPr>
      <w:spacing w:beforeAutospacing="1" w:afterAutospacing="1"/>
      <w:jc w:val="left"/>
    </w:pPr>
    <w:rPr>
      <w:kern w:val="0"/>
      <w:sz w:val="24"/>
    </w:rPr>
  </w:style>
  <w:style w:type="character" w:customStyle="1" w:styleId="10">
    <w:name w:val="页眉 字符"/>
    <w:basedOn w:val="9"/>
    <w:link w:val="6"/>
    <w:qFormat/>
    <w:uiPriority w:val="99"/>
    <w:rPr>
      <w:sz w:val="18"/>
      <w:szCs w:val="18"/>
    </w:rPr>
  </w:style>
  <w:style w:type="character" w:customStyle="1" w:styleId="11">
    <w:name w:val="页脚 字符"/>
    <w:basedOn w:val="9"/>
    <w:link w:val="5"/>
    <w:qFormat/>
    <w:uiPriority w:val="99"/>
    <w:rPr>
      <w:sz w:val="18"/>
      <w:szCs w:val="18"/>
    </w:rPr>
  </w:style>
  <w:style w:type="character" w:customStyle="1" w:styleId="12">
    <w:name w:val="批注框文本 字符"/>
    <w:basedOn w:val="9"/>
    <w:link w:val="4"/>
    <w:semiHidden/>
    <w:qFormat/>
    <w:uiPriority w:val="99"/>
    <w:rPr>
      <w:kern w:val="2"/>
      <w:sz w:val="18"/>
      <w:szCs w:val="18"/>
    </w:rPr>
  </w:style>
  <w:style w:type="paragraph" w:styleId="13">
    <w:name w:val="List Paragraph"/>
    <w:basedOn w:val="1"/>
    <w:qFormat/>
    <w:uiPriority w:val="99"/>
    <w:pPr>
      <w:ind w:firstLine="42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3BF6766-D7E5-4D01-8A7A-0E1FF2381C3D}">
  <ds:schemaRefs/>
</ds:datastoreItem>
</file>

<file path=docProps/app.xml><?xml version="1.0" encoding="utf-8"?>
<Properties xmlns="http://schemas.openxmlformats.org/officeDocument/2006/extended-properties" xmlns:vt="http://schemas.openxmlformats.org/officeDocument/2006/docPropsVTypes">
  <Template>Normal.dotm</Template>
  <Pages>3</Pages>
  <Words>234</Words>
  <Characters>1334</Characters>
  <Lines>11</Lines>
  <Paragraphs>3</Paragraphs>
  <TotalTime>61</TotalTime>
  <ScaleCrop>false</ScaleCrop>
  <LinksUpToDate>false</LinksUpToDate>
  <CharactersWithSpaces>1565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2018-09-29T05:57:00Z</dcterms:created>
  <dc:creator>翟刚学</dc:creator>
  <cp:lastModifiedBy>张汇沣</cp:lastModifiedBy>
  <cp:lastPrinted>2018-06-01T07:06:00Z</cp:lastPrinted>
  <dcterms:modified xsi:type="dcterms:W3CDTF">2019-12-25T02:28:00Z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