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jc w:val="center"/>
        <w:rPr>
          <w:rFonts w:hint="eastAsia" w:ascii="方正小标宋_GBK" w:eastAsia="方正小标宋_GBK" w:cs="宋体"/>
          <w:color w:val="000000"/>
          <w:kern w:val="0"/>
          <w:sz w:val="44"/>
          <w:szCs w:val="44"/>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jc w:val="center"/>
        <w:rPr>
          <w:rFonts w:ascii="方正小标宋_GBK" w:hAnsi="Times New Roman" w:eastAsia="方正小标宋_GBK"/>
          <w:b/>
          <w:bCs/>
          <w:color w:val="000000"/>
          <w:kern w:val="0"/>
          <w:sz w:val="44"/>
          <w:szCs w:val="44"/>
        </w:rPr>
      </w:pPr>
      <w:r>
        <w:rPr>
          <w:rFonts w:hint="eastAsia" w:ascii="方正小标宋_GBK" w:eastAsia="方正小标宋_GBK" w:cs="宋体"/>
          <w:color w:val="000000"/>
          <w:kern w:val="0"/>
          <w:sz w:val="44"/>
          <w:szCs w:val="44"/>
        </w:rPr>
        <w:t>深圳市扶持金融业发展</w:t>
      </w:r>
      <w:r>
        <w:rPr>
          <w:rFonts w:hint="eastAsia" w:ascii="方正小标宋_GBK" w:eastAsia="方正小标宋_GBK" w:cs="宋体"/>
          <w:color w:val="000000"/>
          <w:kern w:val="0"/>
          <w:sz w:val="44"/>
          <w:szCs w:val="44"/>
          <w:lang w:eastAsia="zh-CN"/>
        </w:rPr>
        <w:t>的</w:t>
      </w:r>
      <w:r>
        <w:rPr>
          <w:rFonts w:hint="eastAsia" w:ascii="方正小标宋_GBK" w:eastAsia="方正小标宋_GBK" w:cs="宋体"/>
          <w:color w:val="000000"/>
          <w:kern w:val="0"/>
          <w:sz w:val="44"/>
          <w:szCs w:val="44"/>
        </w:rPr>
        <w:t>若干措施</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320"/>
        <w:jc w:val="center"/>
        <w:rPr>
          <w:rFonts w:hint="eastAsia" w:ascii="楷体" w:hAnsi="Times New Roman" w:eastAsia="楷体" w:cs="楷体"/>
          <w:color w:val="000000"/>
          <w:kern w:val="0"/>
          <w:sz w:val="32"/>
          <w:szCs w:val="32"/>
          <w:lang w:eastAsia="zh-CN"/>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28" w:firstLineChars="200"/>
        <w:rPr>
          <w:rFonts w:ascii="仿宋_GB2312" w:hAnsi="仿宋" w:eastAsia="仿宋_GB2312" w:cs="∑¬ÀŒ"/>
          <w:color w:val="000000"/>
          <w:kern w:val="0"/>
          <w:sz w:val="32"/>
          <w:szCs w:val="32"/>
        </w:rPr>
      </w:pPr>
      <w:r>
        <w:rPr>
          <w:rFonts w:hint="eastAsia" w:ascii="仿宋_GB2312" w:hAnsi="仿宋" w:eastAsia="仿宋_GB2312" w:cs="∑¬ÀŒ"/>
          <w:color w:val="000000"/>
          <w:spacing w:val="-3"/>
          <w:kern w:val="1"/>
          <w:sz w:val="32"/>
          <w:szCs w:val="32"/>
        </w:rPr>
        <w:t>为</w:t>
      </w:r>
      <w:r>
        <w:rPr>
          <w:rFonts w:hint="eastAsia" w:ascii="仿宋_GB2312" w:hAnsi="仿宋" w:eastAsia="仿宋_GB2312" w:cs="∑¬ÀŒ"/>
          <w:color w:val="000000"/>
          <w:kern w:val="0"/>
          <w:sz w:val="32"/>
          <w:szCs w:val="32"/>
        </w:rPr>
        <w:t>进一步完善金融支持政策体系，吸引集聚优质金融资源，推动全市金融业可持续均衡发展，加快建设国际化金融创新中心，结合我市实际，制定如下措施。</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27"/>
        <w:rPr>
          <w:rFonts w:ascii="Times New Roman" w:hAnsi="Times New Roman" w:eastAsia="黑体"/>
          <w:color w:val="000000"/>
          <w:kern w:val="0"/>
          <w:sz w:val="32"/>
          <w:szCs w:val="32"/>
        </w:rPr>
      </w:pPr>
      <w:r>
        <w:rPr>
          <w:rFonts w:hint="eastAsia" w:ascii="黑体" w:hAnsi="Times New Roman" w:eastAsia="黑体" w:cs="黑体"/>
          <w:color w:val="000000"/>
          <w:kern w:val="0"/>
          <w:sz w:val="32"/>
          <w:szCs w:val="32"/>
        </w:rPr>
        <w:t>一、坚持服务导向，优化金融政策环境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s="∑¬ÀŒ"/>
          <w:color w:val="000000"/>
          <w:kern w:val="0"/>
          <w:sz w:val="32"/>
          <w:szCs w:val="32"/>
        </w:rPr>
      </w:pPr>
      <w:r>
        <w:rPr>
          <w:rFonts w:hint="eastAsia" w:ascii="仿宋_GB2312" w:hAnsi="仿宋_GB2312" w:eastAsia="仿宋_GB2312" w:cs="仿宋_GB2312"/>
          <w:color w:val="000000"/>
          <w:kern w:val="0"/>
          <w:sz w:val="32"/>
          <w:szCs w:val="32"/>
        </w:rPr>
        <w:t>（一）充分发挥政府引导和推动作用。</w:t>
      </w:r>
      <w:r>
        <w:rPr>
          <w:rFonts w:hint="eastAsia" w:ascii="仿宋_GB2312" w:hAnsi="仿宋" w:eastAsia="仿宋_GB2312" w:cs="∑¬ÀŒ"/>
          <w:color w:val="000000"/>
          <w:kern w:val="0"/>
          <w:sz w:val="32"/>
          <w:szCs w:val="32"/>
        </w:rPr>
        <w:t>坚持服务导向，不断优化金融政策环境，为金融机构和人才在深集聚发展创造良好条件。各区人民政府、有关部门要全力支持金融业改革创新发展，积极主动提供政策支持与服务。</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olor w:val="000000"/>
          <w:kern w:val="0"/>
          <w:sz w:val="32"/>
          <w:szCs w:val="32"/>
        </w:rPr>
      </w:pPr>
      <w:r>
        <w:rPr>
          <w:rFonts w:hint="eastAsia" w:ascii="仿宋_GB2312" w:hAnsi="仿宋_GB2312" w:eastAsia="仿宋_GB2312" w:cs="仿宋_GB2312"/>
          <w:color w:val="000000"/>
          <w:kern w:val="0"/>
          <w:sz w:val="32"/>
          <w:szCs w:val="32"/>
        </w:rPr>
        <w:t>（二）充分发挥深圳市金融发展咨询委员会的作用。</w:t>
      </w:r>
      <w:r>
        <w:rPr>
          <w:rFonts w:hint="eastAsia" w:ascii="仿宋_GB2312" w:hAnsi="仿宋" w:eastAsia="仿宋_GB2312" w:cs="∑¬ÀŒ"/>
          <w:color w:val="000000"/>
          <w:kern w:val="0"/>
          <w:sz w:val="32"/>
          <w:szCs w:val="32"/>
        </w:rPr>
        <w:t>深圳市金融发展咨询委员会作为向市政府金融决策提供咨询意见的非常设性议事机构，由有关专家、学者组成，每届任期3年。深圳市金融发展咨询委员会的日常工作由市金融办负责。</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27"/>
        <w:rPr>
          <w:rFonts w:hint="eastAsia" w:ascii="仿宋_GB2312" w:hAnsi="仿宋" w:eastAsia="仿宋_GB2312"/>
          <w:color w:val="000000"/>
          <w:kern w:val="0"/>
          <w:sz w:val="32"/>
          <w:szCs w:val="32"/>
        </w:rPr>
      </w:pPr>
      <w:r>
        <w:rPr>
          <w:rFonts w:hint="eastAsia" w:ascii="仿宋_GB2312" w:hAnsi="仿宋" w:eastAsia="仿宋_GB2312" w:cs="∑¬ÀŒ"/>
          <w:color w:val="000000"/>
          <w:kern w:val="0"/>
          <w:sz w:val="32"/>
          <w:szCs w:val="32"/>
        </w:rPr>
        <w:t>深圳市金融发展咨询委员会委员由市金融办在征求各驻深金融监管部门、各行业协会意见的基础上提名，报市政府审定后，以市政府名义聘任。</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27"/>
        <w:rPr>
          <w:rFonts w:ascii="仿宋_GB2312" w:hAnsi="仿宋" w:eastAsia="仿宋_GB2312"/>
          <w:color w:val="000000"/>
          <w:kern w:val="0"/>
          <w:sz w:val="32"/>
          <w:szCs w:val="32"/>
        </w:rPr>
      </w:pPr>
      <w:r>
        <w:rPr>
          <w:rFonts w:hint="eastAsia" w:ascii="仿宋_GB2312" w:hAnsi="仿宋_GB2312" w:eastAsia="仿宋_GB2312" w:cs="仿宋_GB2312"/>
          <w:color w:val="000000"/>
          <w:kern w:val="0"/>
          <w:sz w:val="32"/>
          <w:szCs w:val="32"/>
        </w:rPr>
        <w:t>（三）充分发挥深圳市金融发展专项资金的引导作用。</w:t>
      </w:r>
      <w:r>
        <w:rPr>
          <w:rFonts w:hint="eastAsia" w:ascii="仿宋_GB2312" w:hAnsi="仿宋" w:eastAsia="仿宋_GB2312" w:cs="∑¬ÀŒ"/>
          <w:color w:val="000000"/>
          <w:kern w:val="0"/>
          <w:sz w:val="32"/>
          <w:szCs w:val="32"/>
        </w:rPr>
        <w:t>深圳市金融发展专项资金用于吸引优秀金融人才、引进金融企业、鼓励和支持金融企业开展组织、产品、业务和模式创新等金融业发展事项。金融发展专项资金纳入预算管理，市有关部门应加强专项资金管理，提升专项资金辐射带动作用。</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olor w:val="000000"/>
          <w:kern w:val="0"/>
          <w:sz w:val="32"/>
          <w:szCs w:val="32"/>
        </w:rPr>
      </w:pPr>
      <w:r>
        <w:rPr>
          <w:rFonts w:hint="eastAsia" w:ascii="仿宋_GB2312" w:hAnsi="仿宋_GB2312" w:eastAsia="仿宋_GB2312" w:cs="仿宋_GB2312"/>
          <w:color w:val="000000"/>
          <w:kern w:val="0"/>
          <w:sz w:val="32"/>
          <w:szCs w:val="32"/>
        </w:rPr>
        <w:t>（四）充分发挥“金融创新奖和金融科技专项奖”的创新激励作用。</w:t>
      </w:r>
      <w:r>
        <w:rPr>
          <w:rFonts w:hint="eastAsia" w:ascii="仿宋_GB2312" w:hAnsi="仿宋" w:eastAsia="仿宋_GB2312" w:cs="∑¬ÀŒ"/>
          <w:color w:val="000000"/>
          <w:kern w:val="0"/>
          <w:sz w:val="32"/>
          <w:szCs w:val="32"/>
        </w:rPr>
        <w:t>金融创新奖每年对金融产品和服务创新活动成果显著的金融企业、金融监管机构及有关人员给予表彰和奖励。金融创新奖设一等奖5名，奖金各100万元；二等奖10名，奖金各50万元；三等奖15名，奖金各30万元；优秀奖20名，奖金各15万元；金融创新推进奖2名，奖金各100万元，奖励金融监管机构的监管创新</w:t>
      </w:r>
      <w:r>
        <w:rPr>
          <w:rFonts w:hint="eastAsia" w:ascii="仿宋_GB2312" w:hAnsi="仿宋" w:eastAsia="仿宋_GB2312" w:cs="∑¬ÀŒ"/>
          <w:b w:val="0"/>
          <w:bCs w:val="0"/>
          <w:color w:val="000000"/>
          <w:kern w:val="0"/>
          <w:sz w:val="32"/>
          <w:szCs w:val="32"/>
          <w:lang w:eastAsia="zh-CN"/>
        </w:rPr>
        <w:t>。</w:t>
      </w:r>
      <w:r>
        <w:rPr>
          <w:rFonts w:hint="eastAsia" w:ascii="仿宋_GB2312" w:hAnsi="仿宋" w:eastAsia="仿宋_GB2312" w:cs="∑¬ÀŒ"/>
          <w:b w:val="0"/>
          <w:bCs w:val="0"/>
          <w:color w:val="000000"/>
          <w:kern w:val="0"/>
          <w:sz w:val="32"/>
          <w:szCs w:val="32"/>
        </w:rPr>
        <w:t>金融创新奖</w:t>
      </w:r>
      <w:r>
        <w:rPr>
          <w:rFonts w:hint="eastAsia" w:ascii="仿宋_GB2312" w:hAnsi="仿宋" w:eastAsia="仿宋_GB2312" w:cs="∑¬ÀŒ"/>
          <w:b w:val="0"/>
          <w:bCs w:val="0"/>
          <w:kern w:val="0"/>
          <w:sz w:val="32"/>
          <w:szCs w:val="32"/>
        </w:rPr>
        <w:t>年度奖金总额</w:t>
      </w:r>
      <w:r>
        <w:rPr>
          <w:rFonts w:hint="eastAsia" w:ascii="仿宋_GB2312" w:hAnsi="仿宋" w:eastAsia="仿宋_GB2312" w:cs="∑¬ÀŒ"/>
          <w:color w:val="000000"/>
          <w:kern w:val="0"/>
          <w:sz w:val="32"/>
          <w:szCs w:val="32"/>
        </w:rPr>
        <w:t>控制在1950万元以内</w:t>
      </w:r>
      <w:r>
        <w:rPr>
          <w:rFonts w:hint="eastAsia" w:ascii="仿宋_GB2312" w:hAnsi="仿宋" w:eastAsia="仿宋_GB2312" w:cs="∑¬ÀŒ"/>
          <w:color w:val="000000"/>
          <w:kern w:val="0"/>
          <w:sz w:val="32"/>
          <w:szCs w:val="32"/>
          <w:lang w:eastAsia="zh-CN"/>
        </w:rPr>
        <w:t>。</w:t>
      </w:r>
      <w:r>
        <w:rPr>
          <w:rFonts w:hint="eastAsia" w:ascii="仿宋_GB2312" w:hAnsi="仿宋" w:eastAsia="仿宋_GB2312" w:cs="∑¬ÀŒ"/>
          <w:color w:val="000000"/>
          <w:kern w:val="0"/>
          <w:sz w:val="32"/>
          <w:szCs w:val="32"/>
        </w:rPr>
        <w:t>金融科技（Fintech）专项奖，重点奖励在区块链、数字货币、金融大数据运用等领域的优秀项目，年度奖励额度控制在600万元以内。</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27"/>
        <w:rPr>
          <w:rFonts w:ascii="仿宋_GB2312" w:hAnsi="仿宋" w:eastAsia="仿宋_GB2312"/>
          <w:color w:val="000000"/>
          <w:kern w:val="0"/>
          <w:sz w:val="32"/>
          <w:szCs w:val="32"/>
        </w:rPr>
      </w:pPr>
      <w:r>
        <w:rPr>
          <w:rFonts w:hint="eastAsia" w:ascii="仿宋_GB2312" w:hAnsi="仿宋" w:eastAsia="仿宋_GB2312" w:cs="∑¬ÀŒ"/>
          <w:color w:val="000000"/>
          <w:kern w:val="0"/>
          <w:sz w:val="32"/>
          <w:szCs w:val="32"/>
        </w:rPr>
        <w:t>经评选，以上各类奖项数量可以缺额，不得突破。由市金融办牵头另行拟定金融创新奖和金融科技专项奖评选办法，报市政府批准后实施。</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firstLineChars="200"/>
        <w:rPr>
          <w:rFonts w:ascii="仿宋_GB2312" w:hAnsi="仿宋" w:eastAsia="仿宋_GB2312" w:cs="∑¬ÀŒ"/>
          <w:color w:val="000000"/>
          <w:kern w:val="0"/>
          <w:sz w:val="32"/>
          <w:szCs w:val="32"/>
        </w:rPr>
      </w:pPr>
      <w:r>
        <w:rPr>
          <w:rFonts w:hint="eastAsia" w:ascii="仿宋_GB2312" w:hAnsi="仿宋_GB2312" w:eastAsia="仿宋_GB2312" w:cs="仿宋_GB2312"/>
          <w:color w:val="000000"/>
          <w:kern w:val="0"/>
          <w:sz w:val="32"/>
          <w:szCs w:val="32"/>
        </w:rPr>
        <w:t>（五）充分发挥人才对金融业发展的智力支撑作用。</w:t>
      </w:r>
      <w:r>
        <w:rPr>
          <w:rFonts w:hint="eastAsia" w:ascii="仿宋_GB2312" w:hAnsi="仿宋" w:eastAsia="仿宋_GB2312" w:cs="∑¬ÀŒ"/>
          <w:color w:val="000000"/>
          <w:kern w:val="0"/>
          <w:sz w:val="32"/>
          <w:szCs w:val="32"/>
        </w:rPr>
        <w:t>加大金融人才引进、培育和支持力度，进一步优化金融人才发展环境。由市金融办牵头另行拟定金融人才专项支持政策，报市政府批准后实施。</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firstLineChars="200"/>
        <w:rPr>
          <w:rFonts w:ascii="仿宋_GB2312" w:hAnsi="仿宋" w:eastAsia="仿宋_GB2312"/>
          <w:color w:val="000000"/>
          <w:kern w:val="0"/>
          <w:sz w:val="32"/>
          <w:szCs w:val="32"/>
        </w:rPr>
      </w:pPr>
      <w:r>
        <w:rPr>
          <w:rFonts w:hint="eastAsia" w:ascii="仿宋_GB2312" w:hAnsi="仿宋_GB2312" w:eastAsia="仿宋_GB2312" w:cs="仿宋_GB2312"/>
          <w:b w:val="0"/>
          <w:bCs w:val="0"/>
          <w:color w:val="000000"/>
          <w:kern w:val="0"/>
          <w:sz w:val="32"/>
          <w:szCs w:val="32"/>
        </w:rPr>
        <w:t>（六）充分发挥金融论坛凝聚共识、共商良策的平台作用。</w:t>
      </w:r>
      <w:r>
        <w:rPr>
          <w:rFonts w:hint="eastAsia" w:ascii="仿宋_GB2312" w:hAnsi="仿宋" w:eastAsia="仿宋_GB2312" w:cs="∑¬ÀŒ"/>
          <w:color w:val="000000"/>
          <w:kern w:val="0"/>
          <w:sz w:val="32"/>
          <w:szCs w:val="32"/>
        </w:rPr>
        <w:t>支持在深圳举办有影响力的专业高端金融论坛，促进境内外金融企业深化交流合作，推动完善深港金融合作长效机制，引导金融服务国家战略实施。</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firstLineChars="200"/>
        <w:rPr>
          <w:rFonts w:ascii="仿宋_GB2312" w:hAnsi="仿宋" w:eastAsia="仿宋_GB2312" w:cs="∑¬ÀŒ"/>
          <w:color w:val="000000"/>
          <w:kern w:val="0"/>
          <w:sz w:val="32"/>
          <w:szCs w:val="32"/>
        </w:rPr>
      </w:pPr>
      <w:r>
        <w:rPr>
          <w:rFonts w:hint="eastAsia" w:ascii="仿宋_GB2312" w:hAnsi="仿宋" w:eastAsia="仿宋_GB2312" w:cs="∑¬ÀŒ"/>
          <w:color w:val="000000"/>
          <w:kern w:val="0"/>
          <w:sz w:val="32"/>
          <w:szCs w:val="32"/>
        </w:rPr>
        <w:t>（七）充分发挥行业组织聚集行业资源、构建和维护市场秩序的作用。有关部门应加大对市各金融行业协会工作的支持力度，引导行业协会支持市各金融行业协会按规定参与政府职能转移和购买服务。</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27"/>
        <w:rPr>
          <w:rFonts w:ascii="仿宋_GB2312" w:hAnsi="仿宋" w:eastAsia="仿宋_GB2312" w:cs="∑¬ÀŒ"/>
          <w:color w:val="000000"/>
          <w:kern w:val="0"/>
          <w:sz w:val="32"/>
          <w:szCs w:val="32"/>
        </w:rPr>
      </w:pPr>
      <w:r>
        <w:rPr>
          <w:rFonts w:hint="eastAsia" w:ascii="仿宋_GB2312" w:hAnsi="仿宋" w:eastAsia="仿宋_GB2312" w:cs="∑¬ÀŒ"/>
          <w:color w:val="000000"/>
          <w:spacing w:val="-10"/>
          <w:kern w:val="1"/>
          <w:sz w:val="32"/>
          <w:szCs w:val="32"/>
        </w:rPr>
        <w:t>（八）市相关部门应当简化办事程序，为</w:t>
      </w:r>
      <w:r>
        <w:rPr>
          <w:rFonts w:hint="eastAsia" w:ascii="仿宋_GB2312" w:hAnsi="仿宋" w:eastAsia="仿宋_GB2312" w:cs="∑¬ÀŒ"/>
          <w:color w:val="000000"/>
          <w:spacing w:val="-10"/>
          <w:kern w:val="1"/>
          <w:sz w:val="32"/>
          <w:szCs w:val="32"/>
          <w:lang w:eastAsia="zh-CN"/>
        </w:rPr>
        <w:t>守法诚信的</w:t>
      </w:r>
      <w:r>
        <w:rPr>
          <w:rFonts w:hint="eastAsia" w:ascii="仿宋_GB2312" w:hAnsi="仿宋" w:eastAsia="仿宋_GB2312" w:cs="∑¬ÀŒ"/>
          <w:color w:val="000000"/>
          <w:spacing w:val="-10"/>
          <w:kern w:val="1"/>
          <w:sz w:val="32"/>
          <w:szCs w:val="32"/>
        </w:rPr>
        <w:t>金融企业提供优质高效的政府服务</w:t>
      </w:r>
      <w:r>
        <w:rPr>
          <w:rFonts w:hint="eastAsia" w:ascii="仿宋_GB2312" w:hAnsi="仿宋" w:eastAsia="仿宋_GB2312" w:cs="∑¬ÀŒ"/>
          <w:color w:val="000000"/>
          <w:spacing w:val="-10"/>
          <w:kern w:val="1"/>
          <w:sz w:val="32"/>
          <w:szCs w:val="32"/>
          <w:lang w:eastAsia="zh-CN"/>
        </w:rPr>
        <w:t>，开展守信联合激励</w:t>
      </w:r>
      <w:r>
        <w:rPr>
          <w:rFonts w:hint="eastAsia" w:ascii="仿宋_GB2312" w:hAnsi="仿宋" w:eastAsia="仿宋_GB2312" w:cs="∑¬ÀŒ"/>
          <w:color w:val="000000"/>
          <w:spacing w:val="-10"/>
          <w:kern w:val="1"/>
          <w:sz w:val="32"/>
          <w:szCs w:val="32"/>
        </w:rPr>
        <w:t>。</w:t>
      </w:r>
      <w:r>
        <w:rPr>
          <w:rFonts w:hint="eastAsia" w:ascii="仿宋_GB2312" w:hAnsi="仿宋" w:eastAsia="仿宋_GB2312" w:cs="∑¬ÀŒ"/>
          <w:color w:val="000000"/>
          <w:spacing w:val="-10"/>
          <w:kern w:val="1"/>
          <w:sz w:val="32"/>
          <w:szCs w:val="32"/>
          <w:lang w:eastAsia="zh-CN"/>
        </w:rPr>
        <w:t>经认定符合</w:t>
      </w:r>
      <w:r>
        <w:rPr>
          <w:rFonts w:hint="eastAsia" w:ascii="仿宋_GB2312" w:hAnsi="仿宋" w:eastAsia="仿宋_GB2312" w:cs="∑¬ÀŒ"/>
          <w:color w:val="000000"/>
          <w:spacing w:val="-10"/>
          <w:kern w:val="1"/>
          <w:sz w:val="32"/>
          <w:szCs w:val="32"/>
        </w:rPr>
        <w:t>条件的金融企业可享受大企业便利直通车和重大项目便利直通车服务。金融企业因业务需要，须出国及赴香港、澳门的，市公安、外事部门应为其提供便利</w:t>
      </w:r>
      <w:r>
        <w:rPr>
          <w:rFonts w:hint="eastAsia" w:ascii="仿宋_GB2312" w:hAnsi="仿宋" w:eastAsia="仿宋_GB2312" w:cs="∑¬ÀŒ"/>
          <w:color w:val="000000"/>
          <w:kern w:val="0"/>
          <w:sz w:val="32"/>
          <w:szCs w:val="32"/>
        </w:rPr>
        <w:t>；为金融企业向省公安厅申办两地车牌照提供支持和服务。</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27"/>
        <w:rPr>
          <w:rFonts w:hint="eastAsia" w:ascii="仿宋_GB2312" w:hAnsi="仿宋" w:eastAsia="仿宋_GB2312"/>
          <w:color w:val="000000"/>
          <w:kern w:val="0"/>
          <w:sz w:val="32"/>
          <w:szCs w:val="32"/>
        </w:rPr>
      </w:pPr>
      <w:r>
        <w:rPr>
          <w:rFonts w:hint="eastAsia" w:ascii="仿宋_GB2312" w:hAnsi="仿宋" w:eastAsia="仿宋_GB2312" w:cs="∑¬ÀŒ"/>
          <w:color w:val="000000"/>
          <w:kern w:val="0"/>
          <w:sz w:val="32"/>
          <w:szCs w:val="32"/>
        </w:rPr>
        <w:t>（九）各区（新区）要结合辖区金融发展实际，积极参与全市金融发展服务工作，在市金融办指导下，逐步建立健全市区联动工作机制和政策体系。</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27"/>
        <w:rPr>
          <w:rFonts w:hint="eastAsia" w:ascii="仿宋_GB2312" w:hAnsi="仿宋" w:eastAsia="仿宋_GB2312"/>
          <w:color w:val="000000"/>
          <w:kern w:val="0"/>
          <w:sz w:val="32"/>
          <w:szCs w:val="32"/>
        </w:rPr>
      </w:pPr>
      <w:r>
        <w:rPr>
          <w:rFonts w:hint="eastAsia" w:ascii="黑体" w:hAnsi="Times New Roman" w:eastAsia="黑体" w:cs="黑体"/>
          <w:color w:val="000000"/>
          <w:kern w:val="0"/>
          <w:sz w:val="32"/>
          <w:szCs w:val="32"/>
        </w:rPr>
        <w:t>二、发展金融总部经济，鼓励金融总部企业做大做强</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27"/>
        <w:rPr>
          <w:rFonts w:ascii="仿宋_GB2312" w:hAnsi="仿宋" w:eastAsia="仿宋_GB2312"/>
          <w:color w:val="000000"/>
          <w:kern w:val="0"/>
          <w:sz w:val="32"/>
          <w:szCs w:val="32"/>
        </w:rPr>
      </w:pPr>
      <w:r>
        <w:rPr>
          <w:rFonts w:hint="eastAsia" w:ascii="仿宋_GB2312" w:hAnsi="仿宋" w:eastAsia="仿宋_GB2312" w:cs="∑¬ÀŒ"/>
          <w:color w:val="000000"/>
          <w:kern w:val="0"/>
          <w:sz w:val="32"/>
          <w:szCs w:val="32"/>
        </w:rPr>
        <w:t>（十）大力发展金融总部经济，吸引金融机构在深设立法人总部，不断增强深圳金融业的集聚力和辐射力。</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s="∑¬ÀŒ"/>
          <w:color w:val="000000"/>
          <w:kern w:val="0"/>
          <w:sz w:val="32"/>
          <w:szCs w:val="32"/>
        </w:rPr>
      </w:pPr>
      <w:r>
        <w:rPr>
          <w:rFonts w:hint="eastAsia" w:ascii="仿宋_GB2312" w:hAnsi="仿宋" w:eastAsia="仿宋_GB2312" w:cs="∑¬ÀŒ"/>
          <w:color w:val="000000"/>
          <w:kern w:val="0"/>
          <w:sz w:val="32"/>
          <w:szCs w:val="32"/>
        </w:rPr>
        <w:t>在深圳新注册设立的金融企业总部，实收资本在2亿元以下的，给予500万元</w:t>
      </w:r>
      <w:r>
        <w:rPr>
          <w:rFonts w:hint="eastAsia" w:ascii="仿宋_GB2312" w:hAnsi="仿宋" w:eastAsia="仿宋_GB2312" w:cs="∑¬ÀŒ"/>
          <w:color w:val="000000"/>
          <w:kern w:val="0"/>
          <w:sz w:val="32"/>
          <w:szCs w:val="32"/>
          <w:lang w:eastAsia="zh-CN"/>
        </w:rPr>
        <w:t>一次性落户奖励</w:t>
      </w:r>
      <w:r>
        <w:rPr>
          <w:rFonts w:hint="eastAsia" w:ascii="仿宋_GB2312" w:hAnsi="仿宋" w:eastAsia="仿宋_GB2312" w:cs="∑¬ÀŒ"/>
          <w:color w:val="000000"/>
          <w:kern w:val="0"/>
          <w:sz w:val="32"/>
          <w:szCs w:val="32"/>
        </w:rPr>
        <w:t>；实收资本在5亿元以下、2亿元（含）以上的，给予800万元</w:t>
      </w:r>
      <w:r>
        <w:rPr>
          <w:rFonts w:hint="eastAsia" w:ascii="仿宋_GB2312" w:hAnsi="仿宋" w:eastAsia="仿宋_GB2312" w:cs="∑¬ÀŒ"/>
          <w:color w:val="000000"/>
          <w:kern w:val="0"/>
          <w:sz w:val="32"/>
          <w:szCs w:val="32"/>
          <w:lang w:eastAsia="zh-CN"/>
        </w:rPr>
        <w:t>一次性落户奖励</w:t>
      </w:r>
      <w:r>
        <w:rPr>
          <w:rFonts w:hint="eastAsia" w:ascii="仿宋_GB2312" w:hAnsi="仿宋" w:eastAsia="仿宋_GB2312" w:cs="∑¬ÀŒ"/>
          <w:color w:val="000000"/>
          <w:kern w:val="0"/>
          <w:sz w:val="32"/>
          <w:szCs w:val="32"/>
        </w:rPr>
        <w:t>；实收资本在10亿元以下、5亿元（含）以上的，给予1000万元</w:t>
      </w:r>
      <w:r>
        <w:rPr>
          <w:rFonts w:hint="eastAsia" w:ascii="仿宋_GB2312" w:hAnsi="仿宋" w:eastAsia="仿宋_GB2312" w:cs="∑¬ÀŒ"/>
          <w:color w:val="000000"/>
          <w:kern w:val="0"/>
          <w:sz w:val="32"/>
          <w:szCs w:val="32"/>
          <w:lang w:eastAsia="zh-CN"/>
        </w:rPr>
        <w:t>一次性落户奖励</w:t>
      </w:r>
      <w:r>
        <w:rPr>
          <w:rFonts w:hint="eastAsia" w:ascii="仿宋_GB2312" w:hAnsi="仿宋" w:eastAsia="仿宋_GB2312" w:cs="∑¬ÀŒ"/>
          <w:color w:val="000000"/>
          <w:kern w:val="0"/>
          <w:sz w:val="32"/>
          <w:szCs w:val="32"/>
        </w:rPr>
        <w:t>；实收资本达到10亿元（含）的，给予2000万元</w:t>
      </w:r>
      <w:r>
        <w:rPr>
          <w:rFonts w:hint="eastAsia" w:ascii="仿宋_GB2312" w:hAnsi="仿宋" w:eastAsia="仿宋_GB2312" w:cs="∑¬ÀŒ"/>
          <w:color w:val="000000"/>
          <w:kern w:val="0"/>
          <w:sz w:val="32"/>
          <w:szCs w:val="32"/>
          <w:lang w:eastAsia="zh-CN"/>
        </w:rPr>
        <w:t>一次性落户奖励</w:t>
      </w:r>
      <w:r>
        <w:rPr>
          <w:rFonts w:hint="eastAsia" w:ascii="仿宋_GB2312" w:hAnsi="仿宋" w:eastAsia="仿宋_GB2312" w:cs="∑¬ÀŒ"/>
          <w:color w:val="000000"/>
          <w:kern w:val="0"/>
          <w:sz w:val="32"/>
          <w:szCs w:val="32"/>
        </w:rPr>
        <w:t>。对实收资本超过10亿元以上的，超过部分每增加1亿元增加100万元的奖励，单个企业</w:t>
      </w:r>
      <w:r>
        <w:rPr>
          <w:rFonts w:hint="eastAsia" w:ascii="仿宋_GB2312" w:hAnsi="仿宋" w:eastAsia="仿宋_GB2312" w:cs="∑¬ÀŒ"/>
          <w:color w:val="000000"/>
          <w:kern w:val="0"/>
          <w:sz w:val="32"/>
          <w:szCs w:val="32"/>
          <w:lang w:eastAsia="zh-CN"/>
        </w:rPr>
        <w:t>一次性落户奖励最高</w:t>
      </w:r>
      <w:r>
        <w:rPr>
          <w:rFonts w:hint="eastAsia" w:ascii="仿宋_GB2312" w:hAnsi="仿宋" w:eastAsia="仿宋_GB2312" w:cs="∑¬ÀŒ"/>
          <w:color w:val="000000"/>
          <w:kern w:val="0"/>
          <w:sz w:val="32"/>
          <w:szCs w:val="32"/>
        </w:rPr>
        <w:t>金额不超过5000万元。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s="∑¬ÀŒ"/>
          <w:color w:val="000000"/>
          <w:kern w:val="0"/>
          <w:sz w:val="32"/>
          <w:szCs w:val="32"/>
        </w:rPr>
      </w:pPr>
      <w:r>
        <w:rPr>
          <w:rFonts w:hint="eastAsia" w:ascii="仿宋_GB2312" w:hAnsi="仿宋" w:eastAsia="仿宋_GB2312" w:cs="∑¬ÀŒ"/>
          <w:color w:val="000000"/>
          <w:kern w:val="0"/>
          <w:sz w:val="32"/>
          <w:szCs w:val="32"/>
        </w:rPr>
        <w:t>新迁入深圳</w:t>
      </w:r>
      <w:r>
        <w:rPr>
          <w:rFonts w:hint="eastAsia" w:ascii="仿宋_GB2312" w:hAnsi="仿宋" w:eastAsia="仿宋_GB2312" w:cs="∑¬ÀŒ"/>
          <w:color w:val="000000"/>
          <w:kern w:val="0"/>
          <w:sz w:val="32"/>
          <w:szCs w:val="32"/>
          <w:lang w:eastAsia="zh-CN"/>
        </w:rPr>
        <w:t>的</w:t>
      </w:r>
      <w:r>
        <w:rPr>
          <w:rFonts w:hint="eastAsia" w:ascii="仿宋_GB2312" w:hAnsi="仿宋" w:eastAsia="仿宋_GB2312" w:cs="∑¬ÀŒ"/>
          <w:color w:val="000000"/>
          <w:kern w:val="0"/>
          <w:sz w:val="32"/>
          <w:szCs w:val="32"/>
        </w:rPr>
        <w:t>金融企业总部，</w:t>
      </w:r>
      <w:r>
        <w:rPr>
          <w:rFonts w:hint="eastAsia" w:ascii="仿宋_GB2312" w:hAnsi="仿宋" w:eastAsia="仿宋_GB2312" w:cs="∑¬ÀŒ"/>
          <w:color w:val="000000"/>
          <w:kern w:val="0"/>
          <w:sz w:val="32"/>
          <w:szCs w:val="32"/>
          <w:lang w:eastAsia="zh-CN"/>
        </w:rPr>
        <w:t>除一次性落户奖励外，</w:t>
      </w:r>
      <w:r>
        <w:rPr>
          <w:rFonts w:hint="eastAsia" w:ascii="仿宋_GB2312" w:hAnsi="仿宋" w:eastAsia="仿宋_GB2312" w:cs="∑¬ÀŒ"/>
          <w:color w:val="000000"/>
          <w:kern w:val="0"/>
          <w:sz w:val="32"/>
          <w:szCs w:val="32"/>
        </w:rPr>
        <w:t>市政府参照其</w:t>
      </w:r>
      <w:r>
        <w:rPr>
          <w:rFonts w:hint="eastAsia" w:ascii="仿宋_GB2312" w:hAnsi="仿宋" w:eastAsia="仿宋_GB2312" w:cs="∑¬ÀŒ"/>
          <w:color w:val="000000"/>
          <w:kern w:val="0"/>
          <w:sz w:val="32"/>
          <w:szCs w:val="32"/>
          <w:lang w:eastAsia="zh-CN"/>
        </w:rPr>
        <w:t>一次性落户奖励</w:t>
      </w:r>
      <w:r>
        <w:rPr>
          <w:rFonts w:hint="eastAsia" w:ascii="仿宋_GB2312" w:hAnsi="仿宋" w:eastAsia="仿宋_GB2312" w:cs="∑¬ÀŒ"/>
          <w:color w:val="000000"/>
          <w:kern w:val="0"/>
          <w:sz w:val="32"/>
          <w:szCs w:val="32"/>
        </w:rPr>
        <w:t>标准，给予搬迁费用补贴，单个企业</w:t>
      </w:r>
      <w:r>
        <w:rPr>
          <w:rFonts w:hint="eastAsia" w:ascii="仿宋_GB2312" w:hAnsi="仿宋" w:eastAsia="仿宋_GB2312" w:cs="∑¬ÀŒ"/>
          <w:color w:val="000000"/>
          <w:kern w:val="0"/>
          <w:sz w:val="32"/>
          <w:szCs w:val="32"/>
          <w:lang w:eastAsia="zh-CN"/>
        </w:rPr>
        <w:t>一次性落户奖励</w:t>
      </w:r>
      <w:r>
        <w:rPr>
          <w:rFonts w:hint="eastAsia" w:ascii="仿宋_GB2312" w:hAnsi="仿宋" w:eastAsia="仿宋_GB2312" w:cs="∑¬ÀŒ"/>
          <w:color w:val="000000"/>
          <w:kern w:val="0"/>
          <w:sz w:val="32"/>
          <w:szCs w:val="32"/>
        </w:rPr>
        <w:t>与搬迁费用补贴合计不超过5000万元。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olor w:val="000000"/>
          <w:kern w:val="0"/>
          <w:sz w:val="32"/>
          <w:szCs w:val="32"/>
        </w:rPr>
      </w:pPr>
      <w:r>
        <w:rPr>
          <w:rFonts w:hint="eastAsia" w:ascii="仿宋_GB2312" w:hAnsi="仿宋" w:eastAsia="仿宋_GB2312" w:cs="∑¬ÀŒ"/>
          <w:color w:val="000000"/>
          <w:kern w:val="0"/>
          <w:sz w:val="32"/>
          <w:szCs w:val="32"/>
        </w:rPr>
        <w:t>（十一）鼓励有条件的大型企业集团成立财务公司，提高资金运用效率和水平；支持金融企业、民间资本在深发起设立村镇银行，为社区、中小微企业和个体工商户提供金融服务。</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olor w:val="000000"/>
          <w:kern w:val="0"/>
          <w:sz w:val="32"/>
          <w:szCs w:val="32"/>
        </w:rPr>
      </w:pPr>
      <w:r>
        <w:rPr>
          <w:rFonts w:hint="eastAsia" w:ascii="仿宋_GB2312" w:hAnsi="仿宋" w:eastAsia="仿宋_GB2312" w:cs="∑¬ÀŒ"/>
          <w:color w:val="000000"/>
          <w:kern w:val="0"/>
          <w:sz w:val="32"/>
          <w:szCs w:val="32"/>
        </w:rPr>
        <w:t>对在深圳新注册设立的财务公司、村镇银行，实收资本2亿元（含）以上、5亿元以下的，给予200万元</w:t>
      </w:r>
      <w:r>
        <w:rPr>
          <w:rFonts w:hint="eastAsia" w:ascii="仿宋_GB2312" w:hAnsi="仿宋" w:eastAsia="仿宋_GB2312" w:cs="∑¬ÀŒ"/>
          <w:color w:val="000000"/>
          <w:kern w:val="0"/>
          <w:sz w:val="32"/>
          <w:szCs w:val="32"/>
          <w:lang w:eastAsia="zh-CN"/>
        </w:rPr>
        <w:t>一次性落户奖励</w:t>
      </w:r>
      <w:r>
        <w:rPr>
          <w:rFonts w:hint="eastAsia" w:ascii="仿宋_GB2312" w:hAnsi="仿宋" w:eastAsia="仿宋_GB2312" w:cs="∑¬ÀŒ"/>
          <w:color w:val="000000"/>
          <w:kern w:val="0"/>
          <w:sz w:val="32"/>
          <w:szCs w:val="32"/>
        </w:rPr>
        <w:t>；实收资本达到5亿元（含）以上的，给予500万元</w:t>
      </w:r>
      <w:r>
        <w:rPr>
          <w:rFonts w:hint="eastAsia" w:ascii="仿宋_GB2312" w:hAnsi="仿宋" w:eastAsia="仿宋_GB2312" w:cs="∑¬ÀŒ"/>
          <w:color w:val="000000"/>
          <w:kern w:val="0"/>
          <w:sz w:val="32"/>
          <w:szCs w:val="32"/>
          <w:lang w:eastAsia="zh-CN"/>
        </w:rPr>
        <w:t>一次性落户奖励</w:t>
      </w:r>
      <w:r>
        <w:rPr>
          <w:rFonts w:hint="eastAsia" w:ascii="仿宋_GB2312" w:hAnsi="仿宋" w:eastAsia="仿宋_GB2312" w:cs="∑¬ÀŒ"/>
          <w:color w:val="000000"/>
          <w:kern w:val="0"/>
          <w:sz w:val="32"/>
          <w:szCs w:val="32"/>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hint="eastAsia" w:ascii="仿宋_GB2312" w:hAnsi="仿宋" w:eastAsia="仿宋_GB2312" w:cs="∑¬ÀŒ"/>
          <w:color w:val="auto"/>
          <w:kern w:val="0"/>
          <w:sz w:val="32"/>
          <w:szCs w:val="32"/>
          <w:highlight w:val="none"/>
        </w:rPr>
      </w:pPr>
      <w:r>
        <w:rPr>
          <w:rFonts w:hint="eastAsia" w:ascii="仿宋_GB2312" w:hAnsi="仿宋" w:eastAsia="仿宋_GB2312" w:cs="∑¬ÀŒ"/>
          <w:color w:val="auto"/>
          <w:kern w:val="0"/>
          <w:sz w:val="32"/>
          <w:szCs w:val="32"/>
          <w:highlight w:val="none"/>
        </w:rPr>
        <w:t>（十二）引导支持在深金融企业增强资本实力，提高市场竞争力、风险承担能力和综合经营水平。</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hint="eastAsia" w:ascii="仿宋_GB2312" w:hAnsi="仿宋" w:eastAsia="仿宋_GB2312" w:cs="∑¬ÀŒ"/>
          <w:color w:val="auto"/>
          <w:kern w:val="0"/>
          <w:sz w:val="32"/>
          <w:szCs w:val="32"/>
          <w:highlight w:val="none"/>
        </w:rPr>
      </w:pPr>
      <w:r>
        <w:rPr>
          <w:rFonts w:hint="eastAsia" w:ascii="仿宋_GB2312" w:hAnsi="仿宋" w:eastAsia="仿宋_GB2312" w:cs="∑¬ÀŒ"/>
          <w:color w:val="auto"/>
          <w:kern w:val="0"/>
          <w:sz w:val="32"/>
          <w:szCs w:val="32"/>
          <w:highlight w:val="none"/>
        </w:rPr>
        <w:t>在深圳注册设立的银行、信托公司、金融租赁公司、证券公司、保险公司等金融企业总部，已获得一次性落户奖励的，其增资后累计实收资本达到高一级实收资本规模的，补足奖励差额部分。</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hint="eastAsia" w:ascii="仿宋_GB2312" w:hAnsi="仿宋" w:eastAsia="仿宋_GB2312" w:cs="∑¬ÀŒ"/>
          <w:color w:val="000000"/>
          <w:kern w:val="0"/>
          <w:sz w:val="32"/>
          <w:szCs w:val="32"/>
        </w:rPr>
      </w:pPr>
      <w:r>
        <w:rPr>
          <w:rFonts w:hint="eastAsia" w:ascii="仿宋_GB2312" w:hAnsi="仿宋" w:eastAsia="仿宋_GB2312" w:cs="∑¬ÀŒ"/>
          <w:color w:val="auto"/>
          <w:kern w:val="0"/>
          <w:sz w:val="32"/>
          <w:szCs w:val="32"/>
          <w:highlight w:val="none"/>
        </w:rPr>
        <w:t>在深圳注册设立且增资后实收资本达到40亿元以上的银行、信托公司、金融租赁公司、证券公司、保险公司等金融企业总部，其实收资本满足金融监管规定的要求后，因业务发展需要增加的实收资本金部分，给予增资奖励：实收资本金增加30亿元（含）以上的，奖励1000万元；增加30亿元以下、20亿元（含）以上的，奖励500万元；增加20亿元以下，10亿元（含）以上的，奖励200万元；增加10亿元以下、5亿元（含）以上的，奖励100万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olor w:val="000000"/>
          <w:kern w:val="0"/>
          <w:sz w:val="32"/>
          <w:szCs w:val="32"/>
        </w:rPr>
      </w:pPr>
      <w:r>
        <w:rPr>
          <w:rFonts w:hint="eastAsia" w:ascii="仿宋_GB2312" w:hAnsi="仿宋" w:eastAsia="仿宋_GB2312" w:cs="∑¬ÀŒ"/>
          <w:color w:val="000000"/>
          <w:kern w:val="0"/>
          <w:sz w:val="32"/>
          <w:szCs w:val="32"/>
        </w:rPr>
        <w:t>（十三）支持有条件的金融企业跨地区并购和市场化重组，实现金融资源优化整合和外溢发展。</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hint="eastAsia" w:ascii="仿宋_GB2312" w:hAnsi="仿宋" w:eastAsia="仿宋_GB2312"/>
          <w:color w:val="000000"/>
          <w:kern w:val="0"/>
          <w:sz w:val="32"/>
          <w:szCs w:val="32"/>
          <w:lang w:eastAsia="zh-CN"/>
        </w:rPr>
      </w:pPr>
      <w:r>
        <w:rPr>
          <w:rFonts w:hint="eastAsia" w:ascii="仿宋_GB2312" w:hAnsi="仿宋" w:eastAsia="仿宋_GB2312" w:cs="∑¬ÀŒ"/>
          <w:color w:val="000000"/>
          <w:kern w:val="0"/>
          <w:sz w:val="32"/>
          <w:szCs w:val="32"/>
          <w:highlight w:val="none"/>
        </w:rPr>
        <w:t>银行、信托公司</w:t>
      </w:r>
      <w:r>
        <w:rPr>
          <w:rFonts w:hint="eastAsia" w:ascii="仿宋_GB2312" w:hAnsi="仿宋" w:eastAsia="仿宋_GB2312" w:cs="∑¬ÀŒ"/>
          <w:color w:val="000000"/>
          <w:kern w:val="0"/>
          <w:sz w:val="32"/>
          <w:szCs w:val="32"/>
        </w:rPr>
        <w:t>、金融租赁公司</w:t>
      </w:r>
      <w:r>
        <w:rPr>
          <w:rFonts w:hint="eastAsia" w:ascii="仿宋_GB2312" w:hAnsi="仿宋" w:eastAsia="仿宋_GB2312" w:cs="∑¬ÀŒ"/>
          <w:color w:val="000000"/>
          <w:kern w:val="0"/>
          <w:sz w:val="32"/>
          <w:szCs w:val="32"/>
          <w:lang w:eastAsia="zh-CN"/>
        </w:rPr>
        <w:t>、</w:t>
      </w:r>
      <w:r>
        <w:rPr>
          <w:rFonts w:hint="eastAsia" w:ascii="仿宋_GB2312" w:hAnsi="仿宋" w:eastAsia="仿宋_GB2312" w:cs="∑¬ÀŒ"/>
          <w:color w:val="000000"/>
          <w:kern w:val="0"/>
          <w:sz w:val="32"/>
          <w:szCs w:val="32"/>
          <w:highlight w:val="none"/>
          <w:lang w:eastAsia="zh-CN"/>
        </w:rPr>
        <w:t>银行资产管理公司、</w:t>
      </w:r>
      <w:r>
        <w:rPr>
          <w:rFonts w:hint="eastAsia" w:ascii="仿宋_GB2312" w:hAnsi="仿宋" w:eastAsia="仿宋_GB2312" w:cs="∑¬ÀŒ"/>
          <w:color w:val="000000"/>
          <w:kern w:val="0"/>
          <w:sz w:val="32"/>
          <w:szCs w:val="32"/>
          <w:highlight w:val="none"/>
        </w:rPr>
        <w:t>金融资产投资公司</w:t>
      </w:r>
      <w:r>
        <w:rPr>
          <w:rFonts w:hint="eastAsia" w:ascii="仿宋_GB2312" w:hAnsi="仿宋" w:eastAsia="仿宋_GB2312" w:cs="∑¬ÀŒ"/>
          <w:color w:val="000000"/>
          <w:kern w:val="0"/>
          <w:sz w:val="32"/>
          <w:szCs w:val="32"/>
        </w:rPr>
        <w:t>并购重组深圳市外金融企业，且重组后的企业注册地和主要经营活动地在深圳的，给予并购奖励：并购交易额达到50亿元（含）以上的，奖励1000万元；并购交易金额在50亿元以下、30亿元（含）以上的，奖励500万元；并购交易金额在30亿元以下、10亿元（含）以上的，奖励200万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olor w:val="000000"/>
          <w:kern w:val="0"/>
          <w:sz w:val="32"/>
          <w:szCs w:val="32"/>
        </w:rPr>
      </w:pPr>
      <w:r>
        <w:rPr>
          <w:rFonts w:hint="eastAsia" w:ascii="仿宋_GB2312" w:hAnsi="仿宋" w:eastAsia="仿宋_GB2312" w:cs="∑¬ÀŒ"/>
          <w:color w:val="000000"/>
          <w:kern w:val="0"/>
          <w:sz w:val="32"/>
          <w:szCs w:val="32"/>
        </w:rPr>
        <w:t>证券公司、保险公司总部并购重组深圳市外金融机构，且重组后的企业注册地和主要经营活动地在深圳的，给予并购奖励：并购交易额达到30亿元（含）以上的，奖励1000万元；并购交易额在30亿元以下、20亿元（含）以上的，奖励500万元；并购交易额在20亿元以下、10亿元（含）以上的，奖励200万元；并购交易额在10亿元以下、5亿元（含）以上的，奖励100万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hint="eastAsia" w:ascii="仿宋_GB2312" w:hAnsi="仿宋" w:eastAsia="仿宋_GB2312"/>
          <w:color w:val="000000"/>
          <w:kern w:val="0"/>
          <w:sz w:val="32"/>
          <w:szCs w:val="32"/>
          <w:lang w:eastAsia="zh-CN"/>
        </w:rPr>
      </w:pPr>
      <w:r>
        <w:rPr>
          <w:rFonts w:hint="eastAsia" w:ascii="仿宋_GB2312" w:hAnsi="仿宋" w:eastAsia="仿宋_GB2312" w:cs="∑¬ÀŒ"/>
          <w:color w:val="000000"/>
          <w:kern w:val="0"/>
          <w:sz w:val="32"/>
          <w:szCs w:val="32"/>
        </w:rPr>
        <w:t>基金管理公司、期货公司、保险资产管理公司总部并购重组深圳市外金融机构，且重组后的企业注册地和主要经营活动地在深圳的，给予并购奖励：并购交易额达到5亿元（含）以上的，奖励500万元；并购交易额在5亿元以下、2亿元（含）以上的，奖励200万元；并购交易额在2亿元以下、1亿元（含）以上的，奖励100万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s="∑¬ÀŒ"/>
          <w:color w:val="000000"/>
          <w:kern w:val="0"/>
          <w:sz w:val="32"/>
          <w:szCs w:val="32"/>
        </w:rPr>
      </w:pPr>
      <w:r>
        <w:rPr>
          <w:rFonts w:hint="eastAsia" w:ascii="仿宋_GB2312" w:hAnsi="仿宋" w:eastAsia="仿宋_GB2312" w:cs="∑¬ÀŒ"/>
          <w:color w:val="000000"/>
          <w:kern w:val="0"/>
          <w:sz w:val="32"/>
          <w:szCs w:val="32"/>
        </w:rPr>
        <w:t>（十四）促进金融发展空间的合理布局，支持有条件的金融企业按规定申请购地建设本部自用办公用房（含本部配套经营用房）。</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hint="eastAsia" w:ascii="仿宋_GB2312" w:hAnsi="仿宋" w:eastAsia="仿宋_GB2312" w:cs="∑¬ÀŒ"/>
          <w:color w:val="000000"/>
          <w:kern w:val="0"/>
          <w:sz w:val="32"/>
          <w:szCs w:val="32"/>
        </w:rPr>
      </w:pPr>
      <w:r>
        <w:rPr>
          <w:rFonts w:hint="eastAsia" w:ascii="仿宋_GB2312" w:hAnsi="仿宋" w:eastAsia="仿宋_GB2312" w:cs="∑¬ÀŒ"/>
          <w:color w:val="000000"/>
          <w:kern w:val="0"/>
          <w:sz w:val="32"/>
          <w:szCs w:val="32"/>
        </w:rPr>
        <w:t>申请购买金融</w:t>
      </w:r>
      <w:r>
        <w:rPr>
          <w:rFonts w:hint="eastAsia" w:ascii="仿宋_GB2312" w:hAnsi="仿宋" w:eastAsia="仿宋_GB2312" w:cs="∑¬ÀŒ"/>
          <w:color w:val="000000"/>
          <w:kern w:val="0"/>
          <w:sz w:val="32"/>
          <w:szCs w:val="32"/>
          <w:lang w:eastAsia="zh-CN"/>
        </w:rPr>
        <w:t>总部项目</w:t>
      </w:r>
      <w:r>
        <w:rPr>
          <w:rFonts w:hint="eastAsia" w:ascii="仿宋_GB2312" w:hAnsi="仿宋" w:eastAsia="仿宋_GB2312" w:cs="∑¬ÀŒ"/>
          <w:color w:val="000000"/>
          <w:kern w:val="0"/>
          <w:sz w:val="32"/>
          <w:szCs w:val="32"/>
        </w:rPr>
        <w:t>用地条件</w:t>
      </w:r>
      <w:r>
        <w:rPr>
          <w:rFonts w:hint="eastAsia" w:ascii="仿宋_GB2312" w:hAnsi="仿宋" w:eastAsia="仿宋_GB2312" w:cs="∑¬ÀŒ"/>
          <w:color w:val="000000"/>
          <w:kern w:val="0"/>
          <w:sz w:val="32"/>
          <w:szCs w:val="32"/>
          <w:lang w:eastAsia="zh-CN"/>
        </w:rPr>
        <w:t>按照</w:t>
      </w:r>
      <w:r>
        <w:rPr>
          <w:rFonts w:hint="eastAsia" w:ascii="仿宋_GB2312" w:hAnsi="仿宋" w:eastAsia="仿宋_GB2312" w:cs="∑¬ÀŒ"/>
          <w:color w:val="000000"/>
          <w:kern w:val="0"/>
          <w:sz w:val="32"/>
          <w:szCs w:val="32"/>
        </w:rPr>
        <w:t>市政府有关总部企业联合或独立建设总部大厦条件执行</w:t>
      </w:r>
      <w:r>
        <w:rPr>
          <w:rFonts w:hint="eastAsia" w:ascii="仿宋_GB2312" w:hAnsi="仿宋" w:eastAsia="仿宋_GB2312" w:cs="∑¬ÀŒ"/>
          <w:color w:val="000000"/>
          <w:kern w:val="0"/>
          <w:sz w:val="32"/>
          <w:szCs w:val="32"/>
          <w:lang w:eastAsia="zh-CN"/>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olor w:val="000000"/>
          <w:kern w:val="0"/>
          <w:sz w:val="32"/>
          <w:szCs w:val="32"/>
        </w:rPr>
      </w:pPr>
      <w:r>
        <w:rPr>
          <w:rFonts w:hint="eastAsia" w:ascii="仿宋_GB2312" w:hAnsi="仿宋" w:eastAsia="仿宋_GB2312" w:cs="∑¬ÀŒ"/>
          <w:color w:val="000000"/>
          <w:kern w:val="0"/>
          <w:sz w:val="32"/>
          <w:szCs w:val="32"/>
        </w:rPr>
        <w:t>（十五）在深圳注册设立的金融企业总部需要购置或租赁自用办公用房的，市政府给予必要的资助。</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olor w:val="000000"/>
          <w:kern w:val="0"/>
          <w:sz w:val="32"/>
          <w:szCs w:val="32"/>
          <w:highlight w:val="none"/>
        </w:rPr>
      </w:pPr>
      <w:r>
        <w:rPr>
          <w:rFonts w:hint="eastAsia" w:ascii="仿宋_GB2312" w:hAnsi="仿宋" w:eastAsia="仿宋_GB2312" w:cs="∑¬ÀŒ"/>
          <w:color w:val="000000"/>
          <w:kern w:val="0"/>
          <w:sz w:val="32"/>
          <w:szCs w:val="32"/>
        </w:rPr>
        <w:t>在本市无自有办公用房的金融企业总部</w:t>
      </w:r>
      <w:r>
        <w:rPr>
          <w:rFonts w:hint="eastAsia" w:ascii="仿宋_GB2312" w:hAnsi="仿宋" w:eastAsia="仿宋_GB2312" w:cs="∑¬ÀŒ"/>
          <w:color w:val="000000"/>
          <w:kern w:val="0"/>
          <w:sz w:val="32"/>
          <w:szCs w:val="32"/>
          <w:highlight w:val="none"/>
        </w:rPr>
        <w:t>，首次购置本部自用办公用房（含本部配套经营用房）的，按购房房价的10％给予一次性补贴，最高不超过5000万元。获得补贴的办公用房10年内不得对外租售。</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olor w:val="000000"/>
          <w:kern w:val="0"/>
          <w:sz w:val="32"/>
          <w:szCs w:val="32"/>
        </w:rPr>
      </w:pPr>
      <w:r>
        <w:rPr>
          <w:rFonts w:hint="eastAsia" w:ascii="仿宋_GB2312" w:hAnsi="仿宋" w:eastAsia="仿宋_GB2312" w:cs="∑¬ÀŒ"/>
          <w:color w:val="000000"/>
          <w:kern w:val="0"/>
          <w:sz w:val="32"/>
          <w:szCs w:val="32"/>
          <w:highlight w:val="none"/>
        </w:rPr>
        <w:t>在深圳注册设立的金融企业总部，其本部租赁自用办公用</w:t>
      </w:r>
      <w:r>
        <w:rPr>
          <w:rFonts w:hint="eastAsia" w:ascii="仿宋_GB2312" w:hAnsi="仿宋" w:eastAsia="仿宋_GB2312" w:cs="∑¬ÀŒ"/>
          <w:color w:val="000000"/>
          <w:kern w:val="0"/>
          <w:sz w:val="32"/>
          <w:szCs w:val="32"/>
        </w:rPr>
        <w:t>房（含本部配套经营用房）的，注册后5年内给予租房补贴，其中前3年内每年按房屋租金市场指导价的30%给予补贴，后2年按房屋租金市场指导价的15％给予补贴。对入驻经市政府认定的产业基地或金融重点楼宇的金融企业总部，注册后5年内给予租房补贴，其中前3年内每年按房屋租金市场指导价的50%给予补贴，后2年按房屋租金市场指导价的25％给予补贴。若新租赁自用办公用房的价格低于房屋租金市场指导价，则按其实际租价为基准给予租房补贴。</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olor w:val="000000"/>
          <w:kern w:val="0"/>
          <w:sz w:val="32"/>
          <w:szCs w:val="32"/>
        </w:rPr>
      </w:pPr>
      <w:r>
        <w:rPr>
          <w:rFonts w:hint="eastAsia" w:ascii="仿宋_GB2312" w:hAnsi="仿宋" w:eastAsia="仿宋_GB2312" w:cs="∑¬ÀŒ"/>
          <w:color w:val="000000"/>
          <w:kern w:val="0"/>
          <w:sz w:val="32"/>
          <w:szCs w:val="32"/>
        </w:rPr>
        <w:t>在深圳注册设立的中小金融企业总部办公用房纳入全市创新型产业用房的保障范畴，具体办法参照《深圳市创新型产业用房管理办法》（深府办〔2016〕3号）执行。</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s="∑¬ÀŒ"/>
          <w:color w:val="000000"/>
          <w:kern w:val="0"/>
          <w:sz w:val="32"/>
          <w:szCs w:val="32"/>
        </w:rPr>
      </w:pPr>
      <w:r>
        <w:rPr>
          <w:rFonts w:hint="eastAsia" w:ascii="仿宋_GB2312" w:hAnsi="仿宋" w:eastAsia="仿宋_GB2312" w:cs="∑¬ÀŒ"/>
          <w:color w:val="000000"/>
          <w:kern w:val="0"/>
          <w:sz w:val="32"/>
          <w:szCs w:val="32"/>
        </w:rPr>
        <w:t>（十六）鼓励金融企业开展综合化经营，支持金融类控股（或集团）公司集聚发展。</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s="∑¬ÀŒ"/>
          <w:color w:val="000000"/>
          <w:kern w:val="0"/>
          <w:sz w:val="32"/>
          <w:szCs w:val="32"/>
          <w:highlight w:val="none"/>
        </w:rPr>
      </w:pPr>
      <w:r>
        <w:rPr>
          <w:rFonts w:hint="eastAsia" w:ascii="仿宋_GB2312" w:hAnsi="仿宋" w:eastAsia="仿宋_GB2312" w:cs="∑¬ÀŒ"/>
          <w:color w:val="000000"/>
          <w:kern w:val="0"/>
          <w:sz w:val="32"/>
          <w:szCs w:val="32"/>
          <w:highlight w:val="none"/>
        </w:rPr>
        <w:t>已在深圳注册设立并相对控股2家以上不同类型，且经认定经营性金融企业总部，同时实收资本达到50亿元的金融类控股（或集团）公司，经市政府批准，给予1000万元一次性奖励。</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olor w:val="000000"/>
          <w:kern w:val="0"/>
          <w:sz w:val="32"/>
          <w:szCs w:val="32"/>
        </w:rPr>
      </w:pPr>
      <w:r>
        <w:rPr>
          <w:rFonts w:hint="eastAsia" w:ascii="仿宋_GB2312" w:hAnsi="仿宋" w:eastAsia="仿宋_GB2312" w:cs="∑¬ÀŒ"/>
          <w:color w:val="000000"/>
          <w:kern w:val="0"/>
          <w:sz w:val="32"/>
          <w:szCs w:val="32"/>
        </w:rPr>
        <w:t>已获得上述一次性奖励的金融类控股（或集团）公司，可参照金融机构总部享受除</w:t>
      </w:r>
      <w:r>
        <w:rPr>
          <w:rFonts w:hint="eastAsia" w:ascii="仿宋_GB2312" w:hAnsi="仿宋" w:eastAsia="仿宋_GB2312" w:cs="∑¬ÀŒ"/>
          <w:color w:val="000000"/>
          <w:kern w:val="0"/>
          <w:sz w:val="32"/>
          <w:szCs w:val="32"/>
          <w:lang w:eastAsia="zh-CN"/>
        </w:rPr>
        <w:t>一次性奖励</w:t>
      </w:r>
      <w:r>
        <w:rPr>
          <w:rFonts w:hint="eastAsia" w:ascii="仿宋_GB2312" w:hAnsi="仿宋" w:eastAsia="仿宋_GB2312" w:cs="∑¬ÀŒ"/>
          <w:color w:val="000000"/>
          <w:kern w:val="0"/>
          <w:sz w:val="32"/>
          <w:szCs w:val="32"/>
        </w:rPr>
        <w:t>以外的其他支持政策。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olor w:val="000000"/>
          <w:kern w:val="0"/>
          <w:sz w:val="32"/>
          <w:szCs w:val="32"/>
        </w:rPr>
      </w:pPr>
      <w:r>
        <w:rPr>
          <w:rFonts w:hint="eastAsia" w:ascii="仿宋_GB2312" w:hAnsi="仿宋" w:eastAsia="仿宋_GB2312" w:cs="∑¬ÀŒ"/>
          <w:color w:val="000000"/>
          <w:kern w:val="0"/>
          <w:sz w:val="32"/>
          <w:szCs w:val="32"/>
        </w:rPr>
        <w:t>（十七）加快发展金融租赁业，支持金融租赁与先进制造业、高新技术产业融合发展，助推实体经济转型升级。</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olor w:val="000000"/>
          <w:kern w:val="0"/>
          <w:sz w:val="32"/>
          <w:szCs w:val="32"/>
        </w:rPr>
      </w:pPr>
      <w:r>
        <w:rPr>
          <w:rFonts w:hint="eastAsia" w:ascii="仿宋_GB2312" w:hAnsi="仿宋" w:eastAsia="仿宋_GB2312" w:cs="∑¬ÀŒ"/>
          <w:color w:val="000000"/>
          <w:kern w:val="0"/>
          <w:sz w:val="32"/>
          <w:szCs w:val="32"/>
        </w:rPr>
        <w:t>为我市企业提供融资服务的金融租赁公司，市政府根据其当年为我市企业提供融资总额（不含同业拆借，下同），给予融资总额1％的补贴。申请补贴的金融租赁公司当年累计为我市企业提供融资总额应不低于5000万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olor w:val="000000"/>
          <w:kern w:val="0"/>
          <w:sz w:val="32"/>
          <w:szCs w:val="32"/>
        </w:rPr>
      </w:pPr>
      <w:r>
        <w:rPr>
          <w:rFonts w:hint="eastAsia" w:ascii="仿宋_GB2312" w:hAnsi="仿宋" w:eastAsia="仿宋_GB2312" w:cs="∑¬ÀŒ"/>
          <w:color w:val="000000"/>
          <w:kern w:val="0"/>
          <w:sz w:val="32"/>
          <w:szCs w:val="32"/>
        </w:rPr>
        <w:t>对金融租赁公司当年购入我市经认定的高新技术企业生产的设备用于租赁业务的，市政府按照合同实际支付金额的1%给予补贴。</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olor w:val="000000"/>
          <w:kern w:val="0"/>
          <w:sz w:val="32"/>
          <w:szCs w:val="32"/>
        </w:rPr>
      </w:pPr>
      <w:r>
        <w:rPr>
          <w:rFonts w:hint="eastAsia" w:ascii="仿宋_GB2312" w:hAnsi="仿宋" w:eastAsia="仿宋_GB2312" w:cs="∑¬ÀŒ"/>
          <w:color w:val="000000"/>
          <w:kern w:val="0"/>
          <w:sz w:val="32"/>
          <w:szCs w:val="32"/>
        </w:rPr>
        <w:t>对金融租赁公司当年新购入船舶和飞机，市政府按照登记费100％给予补贴，单船或单机最高补贴额为10万元。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olor w:val="000000"/>
          <w:kern w:val="0"/>
          <w:sz w:val="32"/>
          <w:szCs w:val="32"/>
        </w:rPr>
      </w:pPr>
      <w:r>
        <w:rPr>
          <w:rFonts w:hint="eastAsia" w:ascii="仿宋_GB2312" w:hAnsi="仿宋" w:eastAsia="仿宋_GB2312" w:cs="∑¬ÀŒ"/>
          <w:color w:val="000000"/>
          <w:kern w:val="0"/>
          <w:sz w:val="32"/>
          <w:szCs w:val="32"/>
        </w:rPr>
        <w:t>同一金融租赁公司每年获得的上述补贴额最高不超过500万元。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3"/>
        <w:rPr>
          <w:rFonts w:ascii="Times New Roman" w:hAnsi="Times New Roman" w:eastAsia="黑体"/>
          <w:color w:val="000000"/>
          <w:kern w:val="0"/>
          <w:sz w:val="32"/>
          <w:szCs w:val="32"/>
        </w:rPr>
      </w:pPr>
      <w:r>
        <w:rPr>
          <w:rFonts w:hint="eastAsia" w:ascii="黑体" w:hAnsi="Times New Roman" w:eastAsia="黑体" w:cs="黑体"/>
          <w:color w:val="000000"/>
          <w:kern w:val="0"/>
          <w:sz w:val="32"/>
          <w:szCs w:val="32"/>
        </w:rPr>
        <w:t>三、支持金融企业分支机构落户布局，鼓励精细化发展</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5"/>
        <w:rPr>
          <w:rFonts w:ascii="仿宋_GB2312" w:hAnsi="仿宋" w:eastAsia="仿宋_GB2312"/>
          <w:color w:val="000000"/>
          <w:kern w:val="0"/>
          <w:sz w:val="32"/>
          <w:szCs w:val="32"/>
        </w:rPr>
      </w:pPr>
      <w:r>
        <w:rPr>
          <w:rFonts w:hint="eastAsia" w:ascii="仿宋_GB2312" w:hAnsi="仿宋" w:eastAsia="仿宋_GB2312" w:cs="∑¬ÀŒ"/>
          <w:color w:val="000000"/>
          <w:kern w:val="0"/>
          <w:sz w:val="32"/>
          <w:szCs w:val="32"/>
        </w:rPr>
        <w:t>（十八）支持金融企业在深设立分支机构，鼓励小微企业比较密集的各区（新区）制定个性化支持政策，引导金融资源加大原特区外布局，助推特区一体化进程。</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5"/>
        <w:rPr>
          <w:rFonts w:hint="eastAsia" w:ascii="仿宋_GB2312" w:hAnsi="仿宋" w:eastAsia="仿宋_GB2312"/>
          <w:color w:val="auto"/>
          <w:kern w:val="0"/>
          <w:sz w:val="32"/>
          <w:szCs w:val="32"/>
          <w:highlight w:val="none"/>
        </w:rPr>
      </w:pPr>
      <w:r>
        <w:rPr>
          <w:rFonts w:hint="eastAsia" w:ascii="仿宋_GB2312" w:hAnsi="仿宋" w:eastAsia="仿宋_GB2312" w:cs="∑¬ÀŒ"/>
          <w:color w:val="auto"/>
          <w:kern w:val="0"/>
          <w:sz w:val="32"/>
          <w:szCs w:val="32"/>
          <w:highlight w:val="none"/>
        </w:rPr>
        <w:t>在深圳新注册设立的银行、证券公司、保险公司一级分支机构，市政府给予200万元</w:t>
      </w:r>
      <w:r>
        <w:rPr>
          <w:rFonts w:hint="eastAsia" w:ascii="仿宋_GB2312" w:hAnsi="仿宋" w:eastAsia="仿宋_GB2312" w:cs="∑¬ÀŒ"/>
          <w:color w:val="auto"/>
          <w:kern w:val="0"/>
          <w:sz w:val="32"/>
          <w:szCs w:val="32"/>
          <w:highlight w:val="none"/>
          <w:lang w:eastAsia="zh-CN"/>
        </w:rPr>
        <w:t>一次性落户奖励</w:t>
      </w:r>
      <w:r>
        <w:rPr>
          <w:rFonts w:hint="eastAsia" w:ascii="仿宋_GB2312" w:hAnsi="仿宋" w:eastAsia="仿宋_GB2312" w:cs="∑¬ÀŒ"/>
          <w:color w:val="auto"/>
          <w:kern w:val="0"/>
          <w:sz w:val="32"/>
          <w:szCs w:val="32"/>
          <w:highlight w:val="none"/>
        </w:rPr>
        <w:t>；在深圳新注册设立的其他金融企业一级分支机构，市政府给予50万元</w:t>
      </w:r>
      <w:r>
        <w:rPr>
          <w:rFonts w:hint="eastAsia" w:ascii="仿宋_GB2312" w:hAnsi="仿宋" w:eastAsia="仿宋_GB2312" w:cs="∑¬ÀŒ"/>
          <w:color w:val="auto"/>
          <w:kern w:val="0"/>
          <w:sz w:val="32"/>
          <w:szCs w:val="32"/>
          <w:highlight w:val="none"/>
          <w:lang w:eastAsia="zh-CN"/>
        </w:rPr>
        <w:t>一次性落户奖励</w:t>
      </w:r>
      <w:r>
        <w:rPr>
          <w:rFonts w:hint="eastAsia" w:ascii="仿宋_GB2312" w:hAnsi="仿宋" w:eastAsia="仿宋_GB2312" w:cs="∑¬ÀŒ"/>
          <w:color w:val="auto"/>
          <w:kern w:val="0"/>
          <w:sz w:val="32"/>
          <w:szCs w:val="32"/>
          <w:highlight w:val="none"/>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olor w:val="000000"/>
          <w:kern w:val="0"/>
          <w:sz w:val="32"/>
          <w:szCs w:val="32"/>
        </w:rPr>
      </w:pPr>
      <w:r>
        <w:rPr>
          <w:rFonts w:hint="eastAsia" w:ascii="仿宋_GB2312" w:hAnsi="仿宋" w:eastAsia="仿宋_GB2312" w:cs="∑¬ÀŒ"/>
          <w:color w:val="000000"/>
          <w:kern w:val="0"/>
          <w:sz w:val="32"/>
          <w:szCs w:val="32"/>
        </w:rPr>
        <w:t>在深圳注册设立的金融企业一级分支机构，</w:t>
      </w:r>
      <w:r>
        <w:rPr>
          <w:rFonts w:hint="eastAsia" w:ascii="仿宋_GB2312" w:hAnsi="仿宋" w:eastAsia="仿宋_GB2312" w:cs="∑¬ÀŒ"/>
          <w:color w:val="000000"/>
          <w:kern w:val="0"/>
          <w:sz w:val="32"/>
          <w:szCs w:val="32"/>
          <w:highlight w:val="none"/>
          <w:lang w:eastAsia="zh-CN"/>
        </w:rPr>
        <w:t>首次</w:t>
      </w:r>
      <w:r>
        <w:rPr>
          <w:rFonts w:hint="eastAsia" w:ascii="仿宋_GB2312" w:hAnsi="仿宋" w:eastAsia="仿宋_GB2312" w:cs="∑¬ÀŒ"/>
          <w:color w:val="000000"/>
          <w:kern w:val="0"/>
          <w:sz w:val="32"/>
          <w:szCs w:val="32"/>
          <w:highlight w:val="none"/>
        </w:rPr>
        <w:t>购置</w:t>
      </w:r>
      <w:r>
        <w:rPr>
          <w:rFonts w:hint="eastAsia" w:ascii="仿宋_GB2312" w:hAnsi="仿宋" w:eastAsia="仿宋_GB2312" w:cs="∑¬ÀŒ"/>
          <w:color w:val="000000"/>
          <w:kern w:val="0"/>
          <w:sz w:val="32"/>
          <w:szCs w:val="32"/>
        </w:rPr>
        <w:t>本部自用办公用房（含本部配套经营用房）的，按购房房价的3％给予一次性补贴</w:t>
      </w:r>
      <w:r>
        <w:rPr>
          <w:rFonts w:hint="eastAsia" w:ascii="仿宋_GB2312" w:hAnsi="仿宋" w:eastAsia="仿宋_GB2312" w:cs="∑¬ÀŒ"/>
          <w:color w:val="000000"/>
          <w:kern w:val="0"/>
          <w:sz w:val="32"/>
          <w:szCs w:val="32"/>
          <w:lang w:val="en-US" w:eastAsia="zh-CN"/>
        </w:rPr>
        <w:t>,</w:t>
      </w:r>
      <w:r>
        <w:rPr>
          <w:rFonts w:hint="eastAsia" w:ascii="仿宋_GB2312" w:hAnsi="仿宋" w:eastAsia="仿宋_GB2312" w:cs="∑¬ÀŒ"/>
          <w:color w:val="000000"/>
          <w:kern w:val="0"/>
          <w:sz w:val="32"/>
          <w:szCs w:val="32"/>
          <w:highlight w:val="none"/>
        </w:rPr>
        <w:t>最高不超过5000万元</w:t>
      </w:r>
      <w:r>
        <w:rPr>
          <w:rFonts w:hint="eastAsia" w:ascii="仿宋_GB2312" w:hAnsi="仿宋" w:eastAsia="仿宋_GB2312" w:cs="∑¬ÀŒ"/>
          <w:color w:val="000000"/>
          <w:kern w:val="0"/>
          <w:sz w:val="32"/>
          <w:szCs w:val="32"/>
        </w:rPr>
        <w:t>。获得补贴的办公用房5年内不得对外租售。</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s="∑¬ÀŒ"/>
          <w:color w:val="000000"/>
          <w:kern w:val="0"/>
          <w:sz w:val="32"/>
          <w:szCs w:val="32"/>
        </w:rPr>
      </w:pPr>
      <w:r>
        <w:rPr>
          <w:rFonts w:hint="eastAsia" w:ascii="仿宋_GB2312" w:hAnsi="仿宋" w:eastAsia="仿宋_GB2312" w:cs="∑¬ÀŒ"/>
          <w:color w:val="000000"/>
          <w:kern w:val="0"/>
          <w:sz w:val="32"/>
          <w:szCs w:val="32"/>
        </w:rPr>
        <w:t>在深圳注册设立的金融企业一级分支机构，其</w:t>
      </w:r>
      <w:r>
        <w:rPr>
          <w:rFonts w:hint="eastAsia" w:ascii="仿宋_GB2312" w:hAnsi="仿宋" w:eastAsia="仿宋_GB2312" w:cs="∑¬ÀŒ"/>
          <w:color w:val="000000"/>
          <w:kern w:val="0"/>
          <w:sz w:val="32"/>
          <w:szCs w:val="32"/>
          <w:highlight w:val="none"/>
        </w:rPr>
        <w:t>本部租赁自用</w:t>
      </w:r>
      <w:r>
        <w:rPr>
          <w:rFonts w:hint="eastAsia" w:ascii="仿宋_GB2312" w:hAnsi="仿宋" w:eastAsia="仿宋_GB2312" w:cs="∑¬ÀŒ"/>
          <w:color w:val="000000"/>
          <w:kern w:val="0"/>
          <w:sz w:val="32"/>
          <w:szCs w:val="32"/>
        </w:rPr>
        <w:t xml:space="preserve">办公用房（含本部配套经营用房）的，注册后3年内每年按房屋租金市场指导价的30%给予补贴。对入驻经市政府认定的产业基地或金融重点楼宇的，注册后3年内每年按房屋租金市场指导价的40%给予补贴。若新租赁自用办公用房的价格低于房屋租金市场指导价，则按其实际租价为基准给予租房补贴。 </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s="∑¬ÀŒ"/>
          <w:color w:val="000000"/>
          <w:kern w:val="0"/>
          <w:sz w:val="32"/>
          <w:szCs w:val="32"/>
        </w:rPr>
      </w:pPr>
      <w:r>
        <w:rPr>
          <w:rFonts w:hint="eastAsia" w:ascii="仿宋_GB2312" w:hAnsi="仿宋" w:eastAsia="仿宋_GB2312" w:cs="∑¬ÀŒ"/>
          <w:color w:val="000000"/>
          <w:kern w:val="0"/>
          <w:sz w:val="32"/>
          <w:szCs w:val="32"/>
        </w:rPr>
        <w:t>在深圳注册设立的全国性金融行业协会，经市政府批准，可参照银行、证券公司、保险公司一级分支机构享受</w:t>
      </w:r>
      <w:r>
        <w:rPr>
          <w:rFonts w:hint="eastAsia" w:ascii="仿宋_GB2312" w:hAnsi="仿宋" w:eastAsia="仿宋_GB2312" w:cs="∑¬ÀŒ"/>
          <w:color w:val="000000"/>
          <w:kern w:val="0"/>
          <w:sz w:val="32"/>
          <w:szCs w:val="32"/>
          <w:lang w:eastAsia="zh-CN"/>
        </w:rPr>
        <w:t>一次性落户奖励</w:t>
      </w:r>
      <w:r>
        <w:rPr>
          <w:rFonts w:hint="eastAsia" w:ascii="仿宋_GB2312" w:hAnsi="仿宋" w:eastAsia="仿宋_GB2312" w:cs="∑¬ÀŒ"/>
          <w:color w:val="000000"/>
          <w:kern w:val="0"/>
          <w:sz w:val="32"/>
          <w:szCs w:val="32"/>
        </w:rPr>
        <w:t>、租房补贴政策。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olor w:val="000000"/>
          <w:kern w:val="0"/>
          <w:sz w:val="32"/>
          <w:szCs w:val="32"/>
        </w:rPr>
      </w:pPr>
      <w:r>
        <w:rPr>
          <w:rFonts w:hint="eastAsia" w:ascii="仿宋_GB2312" w:hAnsi="仿宋" w:eastAsia="仿宋_GB2312" w:cs="∑¬ÀŒ"/>
          <w:color w:val="000000"/>
          <w:kern w:val="0"/>
          <w:sz w:val="32"/>
          <w:szCs w:val="32"/>
        </w:rPr>
        <w:t>（十九）推动金融企业设立专营机构或专业子公司，发挥比较优势，实现金融服务特色化、精细化、品牌化。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hint="eastAsia" w:ascii="仿宋_GB2312" w:hAnsi="仿宋" w:eastAsia="仿宋_GB2312" w:cs="∑¬ÀŒ"/>
          <w:color w:val="000000"/>
          <w:kern w:val="0"/>
          <w:sz w:val="32"/>
          <w:szCs w:val="32"/>
          <w:highlight w:val="none"/>
        </w:rPr>
      </w:pPr>
      <w:r>
        <w:rPr>
          <w:rFonts w:hint="eastAsia" w:ascii="仿宋_GB2312" w:hAnsi="仿宋" w:eastAsia="仿宋_GB2312" w:cs="∑¬ÀŒ"/>
          <w:color w:val="000000"/>
          <w:kern w:val="0"/>
          <w:sz w:val="32"/>
          <w:szCs w:val="32"/>
          <w:highlight w:val="none"/>
        </w:rPr>
        <w:t>经</w:t>
      </w:r>
      <w:r>
        <w:rPr>
          <w:rFonts w:hint="eastAsia" w:ascii="仿宋_GB2312" w:hAnsi="仿宋" w:eastAsia="仿宋_GB2312" w:cs="∑¬ÀŒ"/>
          <w:color w:val="000000"/>
          <w:kern w:val="0"/>
          <w:sz w:val="32"/>
          <w:szCs w:val="32"/>
          <w:highlight w:val="none"/>
          <w:lang w:eastAsia="zh-CN"/>
        </w:rPr>
        <w:t>中国银保监会</w:t>
      </w:r>
      <w:r>
        <w:rPr>
          <w:rFonts w:hint="eastAsia" w:ascii="仿宋_GB2312" w:hAnsi="仿宋" w:eastAsia="仿宋_GB2312" w:cs="∑¬ÀŒ"/>
          <w:color w:val="000000"/>
          <w:kern w:val="0"/>
          <w:sz w:val="32"/>
          <w:szCs w:val="32"/>
          <w:highlight w:val="none"/>
        </w:rPr>
        <w:t>批准，在深圳新设或新迁入的商业银行专营机构，给予500万元</w:t>
      </w:r>
      <w:r>
        <w:rPr>
          <w:rFonts w:hint="eastAsia" w:ascii="仿宋_GB2312" w:hAnsi="仿宋" w:eastAsia="仿宋_GB2312" w:cs="∑¬ÀŒ"/>
          <w:color w:val="000000"/>
          <w:kern w:val="0"/>
          <w:sz w:val="32"/>
          <w:szCs w:val="32"/>
          <w:highlight w:val="none"/>
          <w:lang w:eastAsia="zh-CN"/>
        </w:rPr>
        <w:t>一次性落户奖励</w:t>
      </w:r>
      <w:r>
        <w:rPr>
          <w:rFonts w:hint="eastAsia" w:ascii="仿宋_GB2312" w:hAnsi="仿宋" w:eastAsia="仿宋_GB2312" w:cs="∑¬ÀŒ"/>
          <w:color w:val="000000"/>
          <w:kern w:val="0"/>
          <w:sz w:val="32"/>
          <w:szCs w:val="32"/>
          <w:highlight w:val="none"/>
        </w:rPr>
        <w:t>，并参照金融企业总部享受除</w:t>
      </w:r>
      <w:r>
        <w:rPr>
          <w:rFonts w:hint="eastAsia" w:ascii="仿宋_GB2312" w:hAnsi="仿宋" w:eastAsia="仿宋_GB2312" w:cs="∑¬ÀŒ"/>
          <w:color w:val="000000"/>
          <w:kern w:val="0"/>
          <w:sz w:val="32"/>
          <w:szCs w:val="32"/>
          <w:highlight w:val="none"/>
          <w:lang w:eastAsia="zh-CN"/>
        </w:rPr>
        <w:t>一次性落户奖励</w:t>
      </w:r>
      <w:r>
        <w:rPr>
          <w:rFonts w:hint="eastAsia" w:ascii="仿宋_GB2312" w:hAnsi="仿宋" w:eastAsia="仿宋_GB2312" w:cs="∑¬ÀŒ"/>
          <w:color w:val="000000"/>
          <w:kern w:val="0"/>
          <w:sz w:val="32"/>
          <w:szCs w:val="32"/>
          <w:highlight w:val="none"/>
        </w:rPr>
        <w:t>以外的其他支持政策。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olor w:val="000000"/>
          <w:kern w:val="0"/>
          <w:sz w:val="32"/>
          <w:szCs w:val="32"/>
        </w:rPr>
      </w:pPr>
      <w:r>
        <w:rPr>
          <w:rFonts w:hint="eastAsia" w:ascii="仿宋_GB2312" w:hAnsi="仿宋" w:eastAsia="仿宋_GB2312" w:cs="∑¬ÀŒ"/>
          <w:color w:val="000000"/>
          <w:kern w:val="0"/>
          <w:sz w:val="32"/>
          <w:szCs w:val="32"/>
        </w:rPr>
        <w:t>经</w:t>
      </w:r>
      <w:r>
        <w:rPr>
          <w:rFonts w:hint="eastAsia" w:ascii="仿宋_GB2312" w:hAnsi="仿宋" w:eastAsia="仿宋_GB2312" w:cs="∑¬ÀŒ"/>
          <w:color w:val="000000"/>
          <w:kern w:val="0"/>
          <w:sz w:val="32"/>
          <w:szCs w:val="32"/>
          <w:lang w:eastAsia="zh-CN"/>
        </w:rPr>
        <w:t>中国银保监会</w:t>
      </w:r>
      <w:r>
        <w:rPr>
          <w:rFonts w:hint="eastAsia" w:ascii="仿宋_GB2312" w:hAnsi="仿宋" w:eastAsia="仿宋_GB2312" w:cs="∑¬ÀŒ"/>
          <w:color w:val="000000"/>
          <w:kern w:val="0"/>
          <w:sz w:val="32"/>
          <w:szCs w:val="32"/>
        </w:rPr>
        <w:t>批准，在深圳新设或新迁入的金融租赁公司专业子公司，实收资本3亿元（含）以上的，给予500万元</w:t>
      </w:r>
      <w:r>
        <w:rPr>
          <w:rFonts w:hint="eastAsia" w:ascii="仿宋_GB2312" w:hAnsi="仿宋" w:eastAsia="仿宋_GB2312" w:cs="∑¬ÀŒ"/>
          <w:color w:val="000000"/>
          <w:kern w:val="0"/>
          <w:sz w:val="32"/>
          <w:szCs w:val="32"/>
          <w:lang w:eastAsia="zh-CN"/>
        </w:rPr>
        <w:t>一次性落户奖励</w:t>
      </w:r>
      <w:r>
        <w:rPr>
          <w:rFonts w:hint="eastAsia" w:ascii="仿宋_GB2312" w:hAnsi="仿宋" w:eastAsia="仿宋_GB2312" w:cs="∑¬ÀŒ"/>
          <w:color w:val="000000"/>
          <w:kern w:val="0"/>
          <w:sz w:val="32"/>
          <w:szCs w:val="32"/>
        </w:rPr>
        <w:t>；3亿元以下的，给予300万元</w:t>
      </w:r>
      <w:r>
        <w:rPr>
          <w:rFonts w:hint="eastAsia" w:ascii="仿宋_GB2312" w:hAnsi="仿宋" w:eastAsia="仿宋_GB2312" w:cs="∑¬ÀŒ"/>
          <w:color w:val="000000"/>
          <w:kern w:val="0"/>
          <w:sz w:val="32"/>
          <w:szCs w:val="32"/>
          <w:lang w:eastAsia="zh-CN"/>
        </w:rPr>
        <w:t>一次性落户奖励</w:t>
      </w:r>
      <w:r>
        <w:rPr>
          <w:rFonts w:hint="eastAsia" w:ascii="仿宋_GB2312" w:hAnsi="仿宋" w:eastAsia="仿宋_GB2312" w:cs="∑¬ÀŒ"/>
          <w:color w:val="000000"/>
          <w:kern w:val="0"/>
          <w:sz w:val="32"/>
          <w:szCs w:val="32"/>
        </w:rPr>
        <w:t>；并参照执行金融租赁业务补贴以及金融企业一级分支机构的购房、租房支持政策。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b/>
          <w:bCs/>
          <w:color w:val="000000"/>
          <w:kern w:val="0"/>
          <w:sz w:val="32"/>
          <w:szCs w:val="32"/>
        </w:rPr>
      </w:pPr>
      <w:r>
        <w:rPr>
          <w:rFonts w:hint="eastAsia" w:ascii="仿宋_GB2312" w:hAnsi="仿宋" w:eastAsia="仿宋_GB2312" w:cs="∑¬ÀŒ"/>
          <w:color w:val="000000"/>
          <w:kern w:val="0"/>
          <w:sz w:val="32"/>
          <w:szCs w:val="32"/>
        </w:rPr>
        <w:t>经中国证监会批准或备案，在深圳新设立或新迁入的证券公司资产管理、自营业务、经纪业务、承销保荐、另类投资等专业子公司，实收资本2亿元（含）以上的，市政府给予500万元</w:t>
      </w:r>
      <w:r>
        <w:rPr>
          <w:rFonts w:hint="eastAsia" w:ascii="仿宋_GB2312" w:hAnsi="仿宋" w:eastAsia="仿宋_GB2312" w:cs="∑¬ÀŒ"/>
          <w:color w:val="000000"/>
          <w:kern w:val="0"/>
          <w:sz w:val="32"/>
          <w:szCs w:val="32"/>
          <w:lang w:eastAsia="zh-CN"/>
        </w:rPr>
        <w:t>一次性落户奖励</w:t>
      </w:r>
      <w:r>
        <w:rPr>
          <w:rFonts w:hint="eastAsia" w:ascii="仿宋_GB2312" w:hAnsi="仿宋" w:eastAsia="仿宋_GB2312" w:cs="∑¬ÀŒ"/>
          <w:color w:val="000000"/>
          <w:kern w:val="0"/>
          <w:sz w:val="32"/>
          <w:szCs w:val="32"/>
        </w:rPr>
        <w:t>；2亿元以下、1亿元（含）以上的，市政府给予200万元</w:t>
      </w:r>
      <w:r>
        <w:rPr>
          <w:rFonts w:hint="eastAsia" w:ascii="仿宋_GB2312" w:hAnsi="仿宋" w:eastAsia="仿宋_GB2312" w:cs="∑¬ÀŒ"/>
          <w:color w:val="000000"/>
          <w:kern w:val="0"/>
          <w:sz w:val="32"/>
          <w:szCs w:val="32"/>
          <w:lang w:eastAsia="zh-CN"/>
        </w:rPr>
        <w:t>一次性落户奖励</w:t>
      </w:r>
      <w:r>
        <w:rPr>
          <w:rFonts w:hint="eastAsia" w:ascii="仿宋_GB2312" w:hAnsi="仿宋" w:eastAsia="仿宋_GB2312" w:cs="∑¬ÀŒ"/>
          <w:color w:val="000000"/>
          <w:kern w:val="0"/>
          <w:sz w:val="32"/>
          <w:szCs w:val="32"/>
        </w:rPr>
        <w:t>；并参照执行金融企业一级分支机构的购房、租房支持政策。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olor w:val="000000"/>
          <w:kern w:val="0"/>
          <w:sz w:val="32"/>
          <w:szCs w:val="32"/>
        </w:rPr>
      </w:pPr>
      <w:r>
        <w:rPr>
          <w:rFonts w:hint="eastAsia" w:ascii="仿宋_GB2312" w:hAnsi="仿宋" w:eastAsia="仿宋_GB2312" w:cs="∑¬ÀŒ"/>
          <w:color w:val="000000"/>
          <w:kern w:val="0"/>
          <w:sz w:val="32"/>
          <w:szCs w:val="32"/>
        </w:rPr>
        <w:t>经中国证监会批准或备案，在深圳新设立或新迁入的基金管理公司特定客户资产管理、独立销售等专业子公司，实收资本1亿元（含）以上的，市政府给予500万元</w:t>
      </w:r>
      <w:r>
        <w:rPr>
          <w:rFonts w:hint="eastAsia" w:ascii="仿宋_GB2312" w:hAnsi="仿宋" w:eastAsia="仿宋_GB2312" w:cs="∑¬ÀŒ"/>
          <w:color w:val="000000"/>
          <w:kern w:val="0"/>
          <w:sz w:val="32"/>
          <w:szCs w:val="32"/>
          <w:lang w:eastAsia="zh-CN"/>
        </w:rPr>
        <w:t>一次性落户奖励</w:t>
      </w:r>
      <w:r>
        <w:rPr>
          <w:rFonts w:hint="eastAsia" w:ascii="仿宋_GB2312" w:hAnsi="仿宋" w:eastAsia="仿宋_GB2312" w:cs="∑¬ÀŒ"/>
          <w:color w:val="000000"/>
          <w:kern w:val="0"/>
          <w:sz w:val="32"/>
          <w:szCs w:val="32"/>
        </w:rPr>
        <w:t>；1亿元以下、3000万元（含）以上的，市政府给予200万元</w:t>
      </w:r>
      <w:r>
        <w:rPr>
          <w:rFonts w:hint="eastAsia" w:ascii="仿宋_GB2312" w:hAnsi="仿宋" w:eastAsia="仿宋_GB2312" w:cs="∑¬ÀŒ"/>
          <w:color w:val="000000"/>
          <w:kern w:val="0"/>
          <w:sz w:val="32"/>
          <w:szCs w:val="32"/>
          <w:lang w:eastAsia="zh-CN"/>
        </w:rPr>
        <w:t>一次性落户奖励</w:t>
      </w:r>
      <w:r>
        <w:rPr>
          <w:rFonts w:hint="eastAsia" w:ascii="仿宋_GB2312" w:hAnsi="仿宋" w:eastAsia="仿宋_GB2312" w:cs="∑¬ÀŒ"/>
          <w:color w:val="000000"/>
          <w:kern w:val="0"/>
          <w:sz w:val="32"/>
          <w:szCs w:val="32"/>
        </w:rPr>
        <w:t>；并参照执行金融企业一级分支机构的购房、租房支持政策。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s="∑¬ÀŒ"/>
          <w:color w:val="000000"/>
          <w:kern w:val="0"/>
          <w:sz w:val="32"/>
          <w:szCs w:val="32"/>
        </w:rPr>
      </w:pPr>
      <w:r>
        <w:rPr>
          <w:rFonts w:hint="eastAsia" w:ascii="仿宋_GB2312" w:hAnsi="仿宋" w:eastAsia="仿宋_GB2312" w:cs="∑¬ÀŒ"/>
          <w:color w:val="000000"/>
          <w:kern w:val="0"/>
          <w:sz w:val="32"/>
          <w:szCs w:val="32"/>
        </w:rPr>
        <w:t>经中国证券业协会、中国证券投资基金业协会、中国期货业协会等全国性金融行业协会备案，在深圳新设立或新迁入的期货公司资产管理、风险管理等专业子公司，以及基金业务外包服务等专业公司，实收资本5000万元（含）以上的，市政府给予200万元</w:t>
      </w:r>
      <w:r>
        <w:rPr>
          <w:rFonts w:hint="eastAsia" w:ascii="仿宋_GB2312" w:hAnsi="仿宋" w:eastAsia="仿宋_GB2312" w:cs="∑¬ÀŒ"/>
          <w:color w:val="000000"/>
          <w:kern w:val="0"/>
          <w:sz w:val="32"/>
          <w:szCs w:val="32"/>
          <w:lang w:eastAsia="zh-CN"/>
        </w:rPr>
        <w:t>一次性落户奖励</w:t>
      </w:r>
      <w:r>
        <w:rPr>
          <w:rFonts w:hint="eastAsia" w:ascii="仿宋_GB2312" w:hAnsi="仿宋" w:eastAsia="仿宋_GB2312" w:cs="∑¬ÀŒ"/>
          <w:color w:val="000000"/>
          <w:kern w:val="0"/>
          <w:sz w:val="32"/>
          <w:szCs w:val="32"/>
        </w:rPr>
        <w:t>；5000万元以下、2000万元（含）以上的，市政府给予100万元</w:t>
      </w:r>
      <w:r>
        <w:rPr>
          <w:rFonts w:hint="eastAsia" w:ascii="仿宋_GB2312" w:hAnsi="仿宋" w:eastAsia="仿宋_GB2312" w:cs="∑¬ÀŒ"/>
          <w:color w:val="000000"/>
          <w:kern w:val="0"/>
          <w:sz w:val="32"/>
          <w:szCs w:val="32"/>
          <w:lang w:eastAsia="zh-CN"/>
        </w:rPr>
        <w:t>一次性落户奖励</w:t>
      </w:r>
      <w:r>
        <w:rPr>
          <w:rFonts w:hint="eastAsia" w:ascii="仿宋_GB2312" w:hAnsi="仿宋" w:eastAsia="仿宋_GB2312" w:cs="∑¬ÀŒ"/>
          <w:color w:val="000000"/>
          <w:kern w:val="0"/>
          <w:sz w:val="32"/>
          <w:szCs w:val="32"/>
        </w:rPr>
        <w:t xml:space="preserve">；并参照执行金融企业一级分支机构的购房、租房支持政策。 </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s="∑¬ÀŒ"/>
          <w:color w:val="000000"/>
          <w:kern w:val="0"/>
          <w:sz w:val="32"/>
          <w:szCs w:val="32"/>
        </w:rPr>
      </w:pPr>
      <w:r>
        <w:rPr>
          <w:rFonts w:hint="eastAsia" w:ascii="仿宋_GB2312" w:hAnsi="仿宋" w:eastAsia="仿宋_GB2312" w:cs="∑¬ÀŒ"/>
          <w:color w:val="000000"/>
          <w:kern w:val="0"/>
          <w:sz w:val="32"/>
          <w:szCs w:val="32"/>
        </w:rPr>
        <w:t>同一证券公司、基金管理公司、期货公司等金融企业在深圳注册设立多家专业子公司的，申请获得相关支持政策的子公司原则上不超过3家。</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olor w:val="000000"/>
          <w:kern w:val="0"/>
          <w:sz w:val="32"/>
          <w:szCs w:val="32"/>
        </w:rPr>
      </w:pPr>
      <w:r>
        <w:rPr>
          <w:rFonts w:hint="eastAsia" w:ascii="仿宋_GB2312" w:hAnsi="仿宋" w:eastAsia="仿宋_GB2312" w:cs="∑¬ÀŒ"/>
          <w:color w:val="000000"/>
          <w:kern w:val="0"/>
          <w:sz w:val="32"/>
          <w:szCs w:val="32"/>
        </w:rPr>
        <w:t xml:space="preserve">（二十）积极发展保险经纪、公估、代理、销售公司，推进我市保险市场专业化发展。  </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olor w:val="000000"/>
          <w:kern w:val="0"/>
          <w:sz w:val="32"/>
          <w:szCs w:val="32"/>
        </w:rPr>
      </w:pPr>
      <w:r>
        <w:rPr>
          <w:rFonts w:hint="eastAsia" w:ascii="仿宋_GB2312" w:hAnsi="仿宋" w:eastAsia="仿宋_GB2312" w:cs="∑¬ÀŒ"/>
          <w:color w:val="000000"/>
          <w:kern w:val="0"/>
          <w:sz w:val="32"/>
          <w:szCs w:val="32"/>
        </w:rPr>
        <w:t>对经</w:t>
      </w:r>
      <w:r>
        <w:rPr>
          <w:rFonts w:hint="eastAsia" w:ascii="仿宋_GB2312" w:hAnsi="仿宋" w:eastAsia="仿宋_GB2312" w:cs="∑¬ÀŒ"/>
          <w:color w:val="000000"/>
          <w:kern w:val="0"/>
          <w:sz w:val="32"/>
          <w:szCs w:val="32"/>
          <w:lang w:eastAsia="zh-CN"/>
        </w:rPr>
        <w:t>中国银保监会</w:t>
      </w:r>
      <w:r>
        <w:rPr>
          <w:rFonts w:hint="eastAsia" w:ascii="仿宋_GB2312" w:hAnsi="仿宋" w:eastAsia="仿宋_GB2312" w:cs="∑¬ÀŒ"/>
          <w:color w:val="000000"/>
          <w:kern w:val="0"/>
          <w:sz w:val="32"/>
          <w:szCs w:val="32"/>
        </w:rPr>
        <w:t>批准，在深圳新设立或新迁入的全国性保险经纪、保险公估、保险代理和保险销售公司（含网络销售、电话销售），实收资本2亿元（含）以上的，给予500万元</w:t>
      </w:r>
      <w:r>
        <w:rPr>
          <w:rFonts w:hint="eastAsia" w:ascii="仿宋_GB2312" w:hAnsi="仿宋" w:eastAsia="仿宋_GB2312" w:cs="∑¬ÀŒ"/>
          <w:color w:val="000000"/>
          <w:kern w:val="0"/>
          <w:sz w:val="32"/>
          <w:szCs w:val="32"/>
          <w:lang w:eastAsia="zh-CN"/>
        </w:rPr>
        <w:t>一次性落户奖励</w:t>
      </w:r>
      <w:r>
        <w:rPr>
          <w:rFonts w:hint="eastAsia" w:ascii="仿宋_GB2312" w:hAnsi="仿宋" w:eastAsia="仿宋_GB2312" w:cs="∑¬ÀŒ"/>
          <w:color w:val="000000"/>
          <w:kern w:val="0"/>
          <w:sz w:val="32"/>
          <w:szCs w:val="32"/>
        </w:rPr>
        <w:t>；实收资本在2亿元以下、1亿元（含）以上的，给予200万元</w:t>
      </w:r>
      <w:r>
        <w:rPr>
          <w:rFonts w:hint="eastAsia" w:ascii="仿宋_GB2312" w:hAnsi="仿宋" w:eastAsia="仿宋_GB2312" w:cs="∑¬ÀŒ"/>
          <w:color w:val="000000"/>
          <w:kern w:val="0"/>
          <w:sz w:val="32"/>
          <w:szCs w:val="32"/>
          <w:lang w:eastAsia="zh-CN"/>
        </w:rPr>
        <w:t>一次性落户奖励</w:t>
      </w:r>
      <w:r>
        <w:rPr>
          <w:rFonts w:hint="eastAsia" w:ascii="仿宋_GB2312" w:hAnsi="仿宋" w:eastAsia="仿宋_GB2312" w:cs="∑¬ÀŒ"/>
          <w:color w:val="000000"/>
          <w:kern w:val="0"/>
          <w:sz w:val="32"/>
          <w:szCs w:val="32"/>
        </w:rPr>
        <w:t>；实收资本在1亿元以下、5000万元（含）以上的，给予100万元</w:t>
      </w:r>
      <w:r>
        <w:rPr>
          <w:rFonts w:hint="eastAsia" w:ascii="仿宋_GB2312" w:hAnsi="仿宋" w:eastAsia="仿宋_GB2312" w:cs="∑¬ÀŒ"/>
          <w:color w:val="000000"/>
          <w:kern w:val="0"/>
          <w:sz w:val="32"/>
          <w:szCs w:val="32"/>
          <w:lang w:eastAsia="zh-CN"/>
        </w:rPr>
        <w:t>一次性落户奖励</w:t>
      </w:r>
      <w:r>
        <w:rPr>
          <w:rFonts w:hint="eastAsia" w:ascii="仿宋_GB2312" w:hAnsi="仿宋" w:eastAsia="仿宋_GB2312" w:cs="∑¬ÀŒ"/>
          <w:color w:val="000000"/>
          <w:kern w:val="0"/>
          <w:sz w:val="32"/>
          <w:szCs w:val="32"/>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olor w:val="000000"/>
          <w:kern w:val="0"/>
          <w:sz w:val="32"/>
          <w:szCs w:val="32"/>
        </w:rPr>
      </w:pPr>
      <w:r>
        <w:rPr>
          <w:rFonts w:hint="eastAsia" w:ascii="仿宋_GB2312" w:hAnsi="仿宋" w:eastAsia="仿宋_GB2312" w:cs="∑¬ÀŒ"/>
          <w:color w:val="000000"/>
          <w:kern w:val="0"/>
          <w:sz w:val="32"/>
          <w:szCs w:val="32"/>
        </w:rPr>
        <w:t>已在深圳注册且符合上述条件的保险中介机构，可参照金融企业总部一级分支机构申请除</w:t>
      </w:r>
      <w:r>
        <w:rPr>
          <w:rFonts w:hint="eastAsia" w:ascii="仿宋_GB2312" w:hAnsi="仿宋" w:eastAsia="仿宋_GB2312" w:cs="∑¬ÀŒ"/>
          <w:color w:val="000000"/>
          <w:kern w:val="0"/>
          <w:sz w:val="32"/>
          <w:szCs w:val="32"/>
          <w:lang w:eastAsia="zh-CN"/>
        </w:rPr>
        <w:t>一次性落户奖励</w:t>
      </w:r>
      <w:r>
        <w:rPr>
          <w:rFonts w:hint="eastAsia" w:ascii="仿宋_GB2312" w:hAnsi="仿宋" w:eastAsia="仿宋_GB2312" w:cs="∑¬ÀŒ"/>
          <w:color w:val="000000"/>
          <w:kern w:val="0"/>
          <w:sz w:val="32"/>
          <w:szCs w:val="32"/>
        </w:rPr>
        <w:t>外的其他支持政策。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olor w:val="000000"/>
          <w:kern w:val="0"/>
          <w:sz w:val="32"/>
          <w:szCs w:val="32"/>
          <w:highlight w:val="none"/>
        </w:rPr>
      </w:pPr>
      <w:r>
        <w:rPr>
          <w:rFonts w:hint="eastAsia" w:ascii="仿宋_GB2312" w:hAnsi="仿宋" w:eastAsia="仿宋_GB2312" w:cs="∑¬ÀŒ"/>
          <w:color w:val="000000"/>
          <w:kern w:val="0"/>
          <w:sz w:val="32"/>
          <w:szCs w:val="32"/>
          <w:highlight w:val="none"/>
        </w:rPr>
        <w:t>保险中介服务集团如拥有3家以上在深圳注册的保险中介子公司，可参照金融企业总部申请享受除</w:t>
      </w:r>
      <w:r>
        <w:rPr>
          <w:rFonts w:hint="eastAsia" w:ascii="仿宋_GB2312" w:hAnsi="仿宋" w:eastAsia="仿宋_GB2312" w:cs="∑¬ÀŒ"/>
          <w:color w:val="000000"/>
          <w:kern w:val="0"/>
          <w:sz w:val="32"/>
          <w:szCs w:val="32"/>
          <w:highlight w:val="none"/>
          <w:lang w:eastAsia="zh-CN"/>
        </w:rPr>
        <w:t>一次性奖励</w:t>
      </w:r>
      <w:r>
        <w:rPr>
          <w:rFonts w:hint="eastAsia" w:ascii="仿宋_GB2312" w:hAnsi="仿宋" w:eastAsia="仿宋_GB2312" w:cs="∑¬ÀŒ"/>
          <w:color w:val="000000"/>
          <w:kern w:val="0"/>
          <w:sz w:val="32"/>
          <w:szCs w:val="32"/>
          <w:highlight w:val="none"/>
        </w:rPr>
        <w:t>外其他相关支持政策。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27"/>
        <w:rPr>
          <w:rFonts w:ascii="Times New Roman" w:hAnsi="Times New Roman" w:eastAsia="黑体"/>
          <w:color w:val="000000"/>
          <w:kern w:val="0"/>
          <w:sz w:val="32"/>
          <w:szCs w:val="32"/>
        </w:rPr>
      </w:pPr>
      <w:r>
        <w:rPr>
          <w:rFonts w:hint="eastAsia" w:ascii="黑体" w:hAnsi="Times New Roman" w:eastAsia="黑体" w:cs="黑体"/>
          <w:color w:val="000000"/>
          <w:kern w:val="0"/>
          <w:sz w:val="32"/>
          <w:szCs w:val="32"/>
        </w:rPr>
        <w:t>四、规范发展新兴金融业态，丰富金融市场层级</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olor w:val="000000"/>
          <w:kern w:val="0"/>
          <w:sz w:val="32"/>
          <w:szCs w:val="32"/>
        </w:rPr>
      </w:pPr>
      <w:r>
        <w:rPr>
          <w:rFonts w:hint="eastAsia" w:ascii="仿宋_GB2312" w:hAnsi="仿宋" w:eastAsia="仿宋_GB2312" w:cs="∑¬ÀŒ"/>
          <w:color w:val="000000"/>
          <w:kern w:val="0"/>
          <w:sz w:val="32"/>
          <w:szCs w:val="32"/>
        </w:rPr>
        <w:t>（二十一）积极引进股权投资企业和股权投资管理企业总部。鼓励和支持社会资本、企业年金、地方社保基金按照有关规定设立股权投资企业；鼓励证券公司、保险公司、信托公司、财务公司等金融机构在本市依法依规投资或设立股权投资企业，开展直接投资业务；稳步开展外商投资股权投资试点和合格境内投资者境外投资试点。</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olor w:val="000000"/>
          <w:kern w:val="0"/>
          <w:sz w:val="32"/>
          <w:szCs w:val="32"/>
        </w:rPr>
      </w:pPr>
      <w:r>
        <w:rPr>
          <w:rFonts w:hint="eastAsia" w:ascii="仿宋_GB2312" w:hAnsi="仿宋" w:eastAsia="仿宋_GB2312" w:cs="∑¬ÀŒ"/>
          <w:color w:val="000000"/>
          <w:kern w:val="0"/>
          <w:sz w:val="32"/>
          <w:szCs w:val="32"/>
        </w:rPr>
        <w:t>在深圳市注册设立，且在中国证券投资基金业协会备案的股权投资企业、股权投资管理企业，满足下列条件的，可以申请下述（二十二）相关支持政策：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olor w:val="000000"/>
          <w:kern w:val="0"/>
          <w:sz w:val="32"/>
          <w:szCs w:val="32"/>
        </w:rPr>
      </w:pPr>
      <w:r>
        <w:rPr>
          <w:rFonts w:hint="eastAsia" w:ascii="仿宋_GB2312" w:hAnsi="仿宋" w:eastAsia="仿宋_GB2312" w:cs="∑¬ÀŒ"/>
          <w:color w:val="000000"/>
          <w:kern w:val="0"/>
          <w:sz w:val="32"/>
          <w:szCs w:val="32"/>
        </w:rPr>
        <w:t>1．股权投资管理企业及其运营的股权投资企业均在深圳注册设立。</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olor w:val="000000"/>
          <w:kern w:val="0"/>
          <w:sz w:val="32"/>
          <w:szCs w:val="32"/>
        </w:rPr>
      </w:pPr>
      <w:r>
        <w:rPr>
          <w:rFonts w:hint="eastAsia" w:ascii="仿宋_GB2312" w:hAnsi="仿宋" w:eastAsia="仿宋_GB2312" w:cs="∑¬ÀŒ"/>
          <w:color w:val="000000"/>
          <w:kern w:val="0"/>
          <w:sz w:val="32"/>
          <w:szCs w:val="32"/>
          <w:highlight w:val="none"/>
        </w:rPr>
        <w:t>2．股权投资企业的实收资本（</w:t>
      </w:r>
      <w:r>
        <w:rPr>
          <w:rFonts w:hint="eastAsia" w:ascii="仿宋_GB2312" w:hAnsi="仿宋" w:eastAsia="仿宋_GB2312" w:cs="∑¬ÀŒ"/>
          <w:color w:val="000000"/>
          <w:kern w:val="0"/>
          <w:sz w:val="32"/>
          <w:szCs w:val="32"/>
          <w:highlight w:val="none"/>
          <w:lang w:eastAsia="zh-CN"/>
        </w:rPr>
        <w:t>实际</w:t>
      </w:r>
      <w:r>
        <w:rPr>
          <w:rFonts w:hint="eastAsia" w:ascii="仿宋_GB2312" w:hAnsi="仿宋" w:eastAsia="仿宋_GB2312" w:cs="∑¬ÀŒ"/>
          <w:color w:val="000000"/>
          <w:kern w:val="0"/>
          <w:sz w:val="32"/>
          <w:szCs w:val="32"/>
          <w:highlight w:val="none"/>
        </w:rPr>
        <w:t>出资金额）不低于人民币1亿元，且出资仅限货币形式。其中单个自然人股东（合伙人）的出资额不低于人民币500万元。</w:t>
      </w:r>
      <w:r>
        <w:rPr>
          <w:rFonts w:hint="eastAsia" w:ascii="仿宋_GB2312" w:hAnsi="仿宋" w:eastAsia="仿宋_GB2312" w:cs="∑¬ÀŒ"/>
          <w:color w:val="000000"/>
          <w:kern w:val="0"/>
          <w:sz w:val="32"/>
          <w:szCs w:val="32"/>
        </w:rPr>
        <w:t>股权投资企业和股权投资管理企业以有限公司、合伙企业形式设立的，股东（合伙人）人数应不超过50人；以非上市股份有限公司形式设立的，股东人数应不超过200人。</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olor w:val="000000"/>
          <w:kern w:val="0"/>
          <w:sz w:val="32"/>
          <w:szCs w:val="32"/>
        </w:rPr>
      </w:pPr>
      <w:r>
        <w:rPr>
          <w:rFonts w:hint="eastAsia" w:ascii="仿宋_GB2312" w:hAnsi="仿宋" w:eastAsia="仿宋_GB2312" w:cs="∑¬ÀŒ"/>
          <w:color w:val="000000"/>
          <w:kern w:val="0"/>
          <w:sz w:val="32"/>
          <w:szCs w:val="32"/>
        </w:rPr>
        <w:t>3．股权投资管理企业，以股份有限公司形式设立的，实收资本应不低于人民币1000万元；以有限责任公司形式设立的，实收资本应不低于人民币500万元。股权投资管理企业受托管理且注册在深圳的股权投资企业实收资本不低于人民币1亿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olor w:val="000000"/>
          <w:kern w:val="0"/>
          <w:sz w:val="32"/>
          <w:szCs w:val="32"/>
        </w:rPr>
      </w:pPr>
      <w:r>
        <w:rPr>
          <w:rFonts w:hint="eastAsia" w:ascii="仿宋_GB2312" w:hAnsi="仿宋" w:eastAsia="仿宋_GB2312" w:cs="∑¬ÀŒ"/>
          <w:color w:val="000000"/>
          <w:kern w:val="0"/>
          <w:sz w:val="32"/>
          <w:szCs w:val="32"/>
        </w:rPr>
        <w:t>（二十二）以公司制形式新注册设立的股权投资企业，按照其实缴注册资本规模，给予</w:t>
      </w:r>
      <w:r>
        <w:rPr>
          <w:rFonts w:hint="eastAsia" w:ascii="仿宋_GB2312" w:hAnsi="仿宋" w:eastAsia="仿宋_GB2312" w:cs="∑¬ÀŒ"/>
          <w:color w:val="000000"/>
          <w:kern w:val="0"/>
          <w:sz w:val="32"/>
          <w:szCs w:val="32"/>
          <w:lang w:eastAsia="zh-CN"/>
        </w:rPr>
        <w:t>一次性落户奖励</w:t>
      </w:r>
      <w:r>
        <w:rPr>
          <w:rFonts w:hint="eastAsia" w:ascii="仿宋_GB2312" w:hAnsi="仿宋" w:eastAsia="仿宋_GB2312" w:cs="∑¬ÀŒ"/>
          <w:color w:val="000000"/>
          <w:kern w:val="0"/>
          <w:sz w:val="32"/>
          <w:szCs w:val="32"/>
        </w:rPr>
        <w:t>：实缴注册资本达5亿元的，奖励500万元；实缴注册资本达15亿元的，奖励1000万元；实缴注册资本达30亿元的，奖励1500万元。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olor w:val="000000"/>
          <w:kern w:val="0"/>
          <w:sz w:val="32"/>
          <w:szCs w:val="32"/>
        </w:rPr>
      </w:pPr>
      <w:r>
        <w:rPr>
          <w:rFonts w:hint="eastAsia" w:ascii="仿宋_GB2312" w:hAnsi="仿宋" w:eastAsia="仿宋_GB2312" w:cs="∑¬ÀŒ"/>
          <w:color w:val="000000"/>
          <w:kern w:val="0"/>
          <w:sz w:val="32"/>
          <w:szCs w:val="32"/>
        </w:rPr>
        <w:t>在深圳注册设立、已获得过</w:t>
      </w:r>
      <w:r>
        <w:rPr>
          <w:rFonts w:hint="eastAsia" w:ascii="仿宋_GB2312" w:hAnsi="仿宋" w:eastAsia="仿宋_GB2312" w:cs="∑¬ÀŒ"/>
          <w:color w:val="000000"/>
          <w:kern w:val="0"/>
          <w:sz w:val="32"/>
          <w:szCs w:val="32"/>
          <w:lang w:eastAsia="zh-CN"/>
        </w:rPr>
        <w:t>一次性落户奖励</w:t>
      </w:r>
      <w:r>
        <w:rPr>
          <w:rFonts w:hint="eastAsia" w:ascii="仿宋_GB2312" w:hAnsi="仿宋" w:eastAsia="仿宋_GB2312" w:cs="∑¬ÀŒ"/>
          <w:color w:val="000000"/>
          <w:kern w:val="0"/>
          <w:sz w:val="32"/>
          <w:szCs w:val="32"/>
        </w:rPr>
        <w:t>且运营规范的公司制股权投资企业，参照新注册股权投资企业的奖励标准，对其增资后累计实缴注册资本达到高一级实收资本规模的，补足奖励差额部分。</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olor w:val="000000"/>
          <w:kern w:val="0"/>
          <w:sz w:val="32"/>
          <w:szCs w:val="32"/>
        </w:rPr>
      </w:pPr>
      <w:r>
        <w:rPr>
          <w:rFonts w:hint="eastAsia" w:ascii="仿宋_GB2312" w:hAnsi="仿宋" w:eastAsia="仿宋_GB2312" w:cs="∑¬ÀŒ"/>
          <w:color w:val="000000"/>
          <w:kern w:val="0"/>
          <w:sz w:val="32"/>
          <w:szCs w:val="32"/>
        </w:rPr>
        <w:t>以合伙制形式设立、运营规范的股权投资企业，根据合伙企业实际募集资金规模，给予其委托的股权投资管理企业管理资产规模奖励：实际募集资金达10亿元的，奖励500万元；实际募集资金达到30亿元的，奖励1000万元；实际募集资金达到50亿元的，奖励1500万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olor w:val="000000"/>
          <w:kern w:val="0"/>
          <w:sz w:val="32"/>
          <w:szCs w:val="32"/>
        </w:rPr>
      </w:pPr>
      <w:r>
        <w:rPr>
          <w:rFonts w:hint="eastAsia" w:ascii="仿宋_GB2312" w:hAnsi="仿宋" w:eastAsia="仿宋_GB2312" w:cs="∑¬ÀŒ"/>
          <w:color w:val="000000"/>
          <w:kern w:val="0"/>
          <w:sz w:val="32"/>
          <w:szCs w:val="32"/>
        </w:rPr>
        <w:t>经认定符合条件的股权投资企业、股权投资管理企业因业务发展需要新购置自用办公用房的，可按购房价格的1.5％给予一次性补贴，但最高补贴金额不超过500万元；获得补贴的办公用房10年内不得对外租售。</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s="∑¬ÀŒ"/>
          <w:color w:val="000000"/>
          <w:kern w:val="0"/>
          <w:sz w:val="32"/>
          <w:szCs w:val="32"/>
        </w:rPr>
      </w:pPr>
      <w:r>
        <w:rPr>
          <w:rFonts w:hint="eastAsia" w:ascii="仿宋_GB2312" w:hAnsi="仿宋" w:eastAsia="仿宋_GB2312" w:cs="∑¬ÀŒ"/>
          <w:color w:val="000000"/>
          <w:kern w:val="0"/>
          <w:sz w:val="32"/>
          <w:szCs w:val="32"/>
        </w:rPr>
        <w:t>经认定符合条件的股权投资企业、股权投资管理企业新租赁自用办公用房，</w:t>
      </w:r>
      <w:r>
        <w:rPr>
          <w:rFonts w:hint="eastAsia" w:ascii="仿宋_GB2312" w:hAnsi="仿宋" w:eastAsia="仿宋_GB2312" w:cs="∑¬ÀŒ"/>
          <w:color w:val="000000"/>
          <w:spacing w:val="-10"/>
          <w:kern w:val="1"/>
          <w:sz w:val="32"/>
          <w:szCs w:val="32"/>
        </w:rPr>
        <w:t>可参照金融企业一级分支机构申请租房补贴，</w:t>
      </w:r>
      <w:r>
        <w:rPr>
          <w:rFonts w:hint="eastAsia" w:ascii="仿宋_GB2312" w:hAnsi="仿宋" w:eastAsia="仿宋_GB2312" w:cs="∑¬ÀŒ"/>
          <w:color w:val="000000"/>
          <w:kern w:val="0"/>
          <w:sz w:val="32"/>
          <w:szCs w:val="32"/>
        </w:rPr>
        <w:t>补贴总额不超过500万元。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s="∑¬ÀŒ"/>
          <w:color w:val="000000"/>
          <w:kern w:val="0"/>
          <w:sz w:val="32"/>
          <w:szCs w:val="32"/>
        </w:rPr>
      </w:pPr>
      <w:r>
        <w:rPr>
          <w:rFonts w:hint="eastAsia" w:ascii="仿宋_GB2312" w:hAnsi="仿宋" w:eastAsia="仿宋_GB2312" w:cs="∑¬ÀŒ"/>
          <w:color w:val="000000"/>
          <w:kern w:val="0"/>
          <w:sz w:val="32"/>
          <w:szCs w:val="32"/>
        </w:rPr>
        <w:t>符合条件的新注册设立的股权投资管理企业，从注册设立之日起，前2年按照管理费收入的4%给予奖励，后3年按照管理费收入的2%给予奖励</w:t>
      </w:r>
      <w:r>
        <w:rPr>
          <w:rFonts w:hint="eastAsia" w:ascii="仿宋_GB2312" w:hAnsi="仿宋" w:eastAsia="仿宋_GB2312" w:cs="∑¬ÀŒ"/>
          <w:color w:val="000000"/>
          <w:kern w:val="0"/>
          <w:sz w:val="32"/>
          <w:szCs w:val="32"/>
          <w:lang w:eastAsia="zh-CN"/>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hint="eastAsia" w:ascii="仿宋_GB2312" w:hAnsi="仿宋" w:eastAsia="仿宋_GB2312" w:cs="∑¬ÀŒ"/>
          <w:color w:val="000000"/>
          <w:kern w:val="0"/>
          <w:sz w:val="32"/>
          <w:szCs w:val="32"/>
          <w:highlight w:val="none"/>
        </w:rPr>
      </w:pPr>
      <w:r>
        <w:rPr>
          <w:rFonts w:hint="eastAsia" w:ascii="仿宋_GB2312" w:hAnsi="仿宋" w:eastAsia="仿宋_GB2312" w:cs="∑¬ÀŒ"/>
          <w:color w:val="000000"/>
          <w:kern w:val="0"/>
          <w:sz w:val="32"/>
          <w:szCs w:val="32"/>
        </w:rPr>
        <w:t>对于市政府重点引进的特大型股权投资企业，除享受上述股权投资政策外，实际管理规模200亿元以上、500亿元以下的，参照金融企业一级分支机构执行除</w:t>
      </w:r>
      <w:r>
        <w:rPr>
          <w:rFonts w:hint="eastAsia" w:ascii="仿宋_GB2312" w:hAnsi="仿宋" w:eastAsia="仿宋_GB2312" w:cs="∑¬ÀŒ"/>
          <w:color w:val="000000"/>
          <w:kern w:val="0"/>
          <w:sz w:val="32"/>
          <w:szCs w:val="32"/>
          <w:highlight w:val="none"/>
          <w:lang w:eastAsia="zh-CN"/>
        </w:rPr>
        <w:t>一次性落户奖励</w:t>
      </w:r>
      <w:r>
        <w:rPr>
          <w:rFonts w:hint="eastAsia" w:ascii="仿宋_GB2312" w:hAnsi="仿宋" w:eastAsia="仿宋_GB2312" w:cs="∑¬ÀŒ"/>
          <w:color w:val="000000"/>
          <w:kern w:val="0"/>
          <w:sz w:val="32"/>
          <w:szCs w:val="32"/>
          <w:highlight w:val="none"/>
        </w:rPr>
        <w:t>以外的其他支持政策；实际管理规模达500亿元以上的，参照金融企业总部执行除</w:t>
      </w:r>
      <w:r>
        <w:rPr>
          <w:rFonts w:hint="eastAsia" w:ascii="仿宋_GB2312" w:hAnsi="仿宋" w:eastAsia="仿宋_GB2312" w:cs="∑¬ÀŒ"/>
          <w:color w:val="000000"/>
          <w:kern w:val="0"/>
          <w:sz w:val="32"/>
          <w:szCs w:val="32"/>
          <w:highlight w:val="none"/>
          <w:lang w:eastAsia="zh-CN"/>
        </w:rPr>
        <w:t>一次性落户奖励</w:t>
      </w:r>
      <w:r>
        <w:rPr>
          <w:rFonts w:hint="eastAsia" w:ascii="仿宋_GB2312" w:hAnsi="仿宋" w:eastAsia="仿宋_GB2312" w:cs="∑¬ÀŒ"/>
          <w:color w:val="000000"/>
          <w:kern w:val="0"/>
          <w:sz w:val="32"/>
          <w:szCs w:val="32"/>
          <w:highlight w:val="none"/>
        </w:rPr>
        <w:t>以外的其他支持政策。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s="∑¬ÀŒ"/>
          <w:color w:val="000000"/>
          <w:kern w:val="0"/>
          <w:sz w:val="32"/>
          <w:szCs w:val="32"/>
        </w:rPr>
      </w:pPr>
      <w:r>
        <w:rPr>
          <w:rFonts w:hint="eastAsia" w:ascii="仿宋_GB2312" w:hAnsi="仿宋" w:eastAsia="仿宋_GB2312" w:cs="∑¬ÀŒ"/>
          <w:color w:val="000000"/>
          <w:kern w:val="0"/>
          <w:sz w:val="32"/>
          <w:szCs w:val="32"/>
        </w:rPr>
        <w:t>银行、证券公司、基金管理公司、期货公司等金融企业在深圳注册设立的直投类机构，参照股权投资（管理）企业执行上述支持政策。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olor w:val="000000"/>
          <w:kern w:val="0"/>
          <w:sz w:val="32"/>
          <w:szCs w:val="32"/>
        </w:rPr>
      </w:pPr>
      <w:r>
        <w:rPr>
          <w:rFonts w:hint="eastAsia" w:ascii="仿宋_GB2312" w:hAnsi="仿宋" w:eastAsia="仿宋_GB2312" w:cs="∑¬ÀŒ"/>
          <w:color w:val="000000"/>
          <w:kern w:val="0"/>
          <w:sz w:val="32"/>
          <w:szCs w:val="32"/>
        </w:rPr>
        <w:t>（二十三）积极稳妥推进小额贷款公司试点，努力营造小额贷款行业良好发展环境。辖区小额贷款公司参照银行类金融机构执行相应的财务核算、呆（坏）账计提和风险拨备等制度；有关部门对小额贷款公司商事登记、资产核销、土地房产抵押及动产和其他权利质押等，按照金融机构性质给予同等待遇；设立3年以上且运营规范的小额贷款公司</w:t>
      </w:r>
      <w:r>
        <w:rPr>
          <w:rFonts w:hint="eastAsia" w:ascii="仿宋_GB2312" w:hAnsi="仿宋" w:eastAsia="仿宋_GB2312" w:cs="∑¬ÀŒ"/>
          <w:color w:val="000000"/>
          <w:kern w:val="0"/>
          <w:sz w:val="32"/>
          <w:szCs w:val="32"/>
          <w:lang w:eastAsia="zh-CN"/>
        </w:rPr>
        <w:t>（含政策发布之前在深设立的小额贷款公司）</w:t>
      </w:r>
      <w:r>
        <w:rPr>
          <w:rFonts w:hint="eastAsia" w:ascii="仿宋_GB2312" w:hAnsi="仿宋" w:eastAsia="仿宋_GB2312" w:cs="∑¬ÀŒ"/>
          <w:color w:val="000000"/>
          <w:kern w:val="0"/>
          <w:sz w:val="32"/>
          <w:szCs w:val="32"/>
        </w:rPr>
        <w:t>，实收资本在5亿元（含）以上的，可参照金融企业一级分支机构申请租房补贴，补贴总额不超过100万元。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olor w:val="000000"/>
          <w:kern w:val="0"/>
          <w:sz w:val="32"/>
          <w:szCs w:val="32"/>
        </w:rPr>
      </w:pPr>
      <w:r>
        <w:rPr>
          <w:rFonts w:hint="eastAsia" w:ascii="仿宋_GB2312" w:hAnsi="仿宋" w:eastAsia="仿宋_GB2312" w:cs="∑¬ÀŒ"/>
          <w:color w:val="000000"/>
          <w:kern w:val="0"/>
          <w:sz w:val="32"/>
          <w:szCs w:val="32"/>
        </w:rPr>
        <w:t>（二十四）引导各类交易场所规范有序发展，强化监督管理，避免脱实就虚和欺诈行为，推动大宗商品交易场所围绕产业链为企业提供电子交易、现代物流、供应链融资等服务。对在深圳注册设立3年以上、运营规范且资源集聚作用突出的交易场所</w:t>
      </w:r>
      <w:r>
        <w:rPr>
          <w:rFonts w:hint="eastAsia" w:ascii="仿宋_GB2312" w:hAnsi="仿宋" w:eastAsia="仿宋_GB2312" w:cs="∑¬ÀŒ"/>
          <w:color w:val="000000"/>
          <w:kern w:val="0"/>
          <w:sz w:val="32"/>
          <w:szCs w:val="32"/>
          <w:lang w:eastAsia="zh-CN"/>
        </w:rPr>
        <w:t>（含政策发布之前在深设立的交易场所）</w:t>
      </w:r>
      <w:r>
        <w:rPr>
          <w:rFonts w:hint="eastAsia" w:ascii="仿宋_GB2312" w:hAnsi="仿宋" w:eastAsia="仿宋_GB2312" w:cs="∑¬ÀŒ"/>
          <w:color w:val="000000"/>
          <w:kern w:val="0"/>
          <w:sz w:val="32"/>
          <w:szCs w:val="32"/>
        </w:rPr>
        <w:t>，实收资本在5亿元（含）以上的，给予500万元</w:t>
      </w:r>
      <w:r>
        <w:rPr>
          <w:rFonts w:hint="eastAsia" w:ascii="仿宋_GB2312" w:hAnsi="仿宋" w:eastAsia="仿宋_GB2312" w:cs="∑¬ÀŒ"/>
          <w:color w:val="000000"/>
          <w:kern w:val="0"/>
          <w:sz w:val="32"/>
          <w:szCs w:val="32"/>
          <w:lang w:eastAsia="zh-CN"/>
        </w:rPr>
        <w:t>一次性落户奖励</w:t>
      </w:r>
      <w:r>
        <w:rPr>
          <w:rFonts w:hint="eastAsia" w:ascii="仿宋_GB2312" w:hAnsi="仿宋" w:eastAsia="仿宋_GB2312" w:cs="∑¬ÀŒ"/>
          <w:color w:val="000000"/>
          <w:kern w:val="0"/>
          <w:sz w:val="32"/>
          <w:szCs w:val="32"/>
        </w:rPr>
        <w:t>，并可</w:t>
      </w:r>
      <w:r>
        <w:rPr>
          <w:rFonts w:hint="eastAsia" w:ascii="仿宋_GB2312" w:hAnsi="仿宋" w:eastAsia="仿宋_GB2312" w:cs="∑¬ÀŒ"/>
          <w:color w:val="000000"/>
          <w:spacing w:val="-10"/>
          <w:kern w:val="1"/>
          <w:sz w:val="32"/>
          <w:szCs w:val="32"/>
        </w:rPr>
        <w:t>参照金融企业一级分支机构申请租房补贴，</w:t>
      </w:r>
      <w:r>
        <w:rPr>
          <w:rFonts w:hint="eastAsia" w:ascii="仿宋_GB2312" w:hAnsi="仿宋" w:eastAsia="仿宋_GB2312" w:cs="∑¬ÀŒ"/>
          <w:color w:val="000000"/>
          <w:kern w:val="0"/>
          <w:sz w:val="32"/>
          <w:szCs w:val="32"/>
        </w:rPr>
        <w:t>补贴总额不超过100万元。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27"/>
        <w:rPr>
          <w:rFonts w:ascii="Times New Roman" w:hAnsi="Times New Roman" w:eastAsia="黑体"/>
          <w:color w:val="000000"/>
          <w:kern w:val="0"/>
          <w:sz w:val="32"/>
          <w:szCs w:val="32"/>
        </w:rPr>
      </w:pPr>
      <w:r>
        <w:rPr>
          <w:rFonts w:hint="eastAsia" w:ascii="黑体" w:hAnsi="Times New Roman" w:eastAsia="黑体" w:cs="黑体"/>
          <w:color w:val="000000"/>
          <w:kern w:val="0"/>
          <w:sz w:val="32"/>
          <w:szCs w:val="32"/>
        </w:rPr>
        <w:t>五、培育引进创新型金融机构，完善配套金融支持体系</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s="∑¬ÀŒ"/>
          <w:color w:val="000000"/>
          <w:kern w:val="0"/>
          <w:sz w:val="32"/>
          <w:szCs w:val="32"/>
        </w:rPr>
      </w:pPr>
      <w:r>
        <w:rPr>
          <w:rFonts w:hint="eastAsia" w:ascii="仿宋_GB2312" w:hAnsi="仿宋" w:eastAsia="仿宋_GB2312" w:cs="∑¬ÀŒ"/>
          <w:color w:val="000000"/>
          <w:kern w:val="0"/>
          <w:sz w:val="32"/>
          <w:szCs w:val="32"/>
        </w:rPr>
        <w:t>（二十五）支持有实力的金融企业在深布局开展金融创新试点，提高业务拓展能力。</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s="∑¬ÀŒ"/>
          <w:color w:val="000000"/>
          <w:kern w:val="0"/>
          <w:sz w:val="32"/>
          <w:szCs w:val="32"/>
        </w:rPr>
      </w:pPr>
      <w:r>
        <w:rPr>
          <w:rFonts w:hint="eastAsia" w:ascii="仿宋_GB2312" w:hAnsi="仿宋" w:eastAsia="仿宋_GB2312" w:cs="∑¬ÀŒ"/>
          <w:color w:val="000000"/>
          <w:kern w:val="0"/>
          <w:sz w:val="32"/>
          <w:szCs w:val="32"/>
        </w:rPr>
        <w:t>对隶属于大型金融企业总部且独立运作、有利于提升本市金融创新能力的全国性产品研发中心、创新实验室等，其研发的产品、服务在国内同业产生重大示范引领作用的，经市政府批准给予100万元一次性奖励。</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s="∑¬ÀŒ"/>
          <w:color w:val="000000"/>
          <w:spacing w:val="-3"/>
          <w:kern w:val="1"/>
          <w:sz w:val="32"/>
          <w:szCs w:val="32"/>
        </w:rPr>
      </w:pPr>
      <w:r>
        <w:rPr>
          <w:rFonts w:hint="eastAsia" w:ascii="仿宋_GB2312" w:hAnsi="仿宋" w:eastAsia="仿宋_GB2312" w:cs="∑¬ÀŒ"/>
          <w:color w:val="000000"/>
          <w:spacing w:val="-3"/>
          <w:kern w:val="1"/>
          <w:sz w:val="32"/>
          <w:szCs w:val="32"/>
        </w:rPr>
        <w:t>对经中国人民银行批准新设或新迁入的非金融支付服务机构，注册资本5亿元（含）以上的，给予200万元一次性</w:t>
      </w:r>
      <w:r>
        <w:rPr>
          <w:rFonts w:hint="eastAsia" w:ascii="仿宋_GB2312" w:hAnsi="仿宋" w:eastAsia="仿宋_GB2312" w:cs="∑¬ÀŒ"/>
          <w:color w:val="000000"/>
          <w:spacing w:val="-3"/>
          <w:kern w:val="1"/>
          <w:sz w:val="32"/>
          <w:szCs w:val="32"/>
          <w:lang w:eastAsia="zh-CN"/>
        </w:rPr>
        <w:t>落户</w:t>
      </w:r>
      <w:r>
        <w:rPr>
          <w:rFonts w:hint="eastAsia" w:ascii="仿宋_GB2312" w:hAnsi="仿宋" w:eastAsia="仿宋_GB2312" w:cs="∑¬ÀŒ"/>
          <w:color w:val="000000"/>
          <w:spacing w:val="-3"/>
          <w:kern w:val="1"/>
          <w:sz w:val="32"/>
          <w:szCs w:val="32"/>
        </w:rPr>
        <w:t>奖励；5亿元以下、1亿元（含）以上的，给予100万元</w:t>
      </w:r>
      <w:r>
        <w:rPr>
          <w:rFonts w:hint="eastAsia" w:ascii="仿宋_GB2312" w:hAnsi="仿宋" w:eastAsia="仿宋_GB2312" w:cs="∑¬ÀŒ"/>
          <w:color w:val="000000"/>
          <w:spacing w:val="-3"/>
          <w:kern w:val="1"/>
          <w:sz w:val="32"/>
          <w:szCs w:val="32"/>
          <w:lang w:eastAsia="zh-CN"/>
        </w:rPr>
        <w:t>一次性落户奖励</w:t>
      </w:r>
      <w:r>
        <w:rPr>
          <w:rFonts w:hint="eastAsia" w:ascii="仿宋_GB2312" w:hAnsi="仿宋" w:eastAsia="仿宋_GB2312" w:cs="∑¬ÀŒ"/>
          <w:color w:val="000000"/>
          <w:spacing w:val="-3"/>
          <w:kern w:val="1"/>
          <w:sz w:val="32"/>
          <w:szCs w:val="32"/>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s="∑¬ÀŒ"/>
          <w:color w:val="000000"/>
          <w:kern w:val="0"/>
          <w:sz w:val="32"/>
          <w:szCs w:val="32"/>
        </w:rPr>
      </w:pPr>
      <w:r>
        <w:rPr>
          <w:rFonts w:hint="eastAsia" w:ascii="仿宋_GB2312" w:hAnsi="仿宋" w:eastAsia="仿宋_GB2312" w:cs="∑¬ÀŒ"/>
          <w:color w:val="000000"/>
          <w:kern w:val="0"/>
          <w:sz w:val="32"/>
          <w:szCs w:val="32"/>
        </w:rPr>
        <w:t>对经国家金融监管部门批准设立的创新型网络金融机构、电商机构、互联网金融研发中心等，参照金融企业一级分支机构享受本市相关政策。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s="∑¬ÀŒ"/>
          <w:color w:val="000000"/>
          <w:kern w:val="0"/>
          <w:sz w:val="32"/>
          <w:szCs w:val="32"/>
        </w:rPr>
      </w:pPr>
      <w:r>
        <w:rPr>
          <w:rFonts w:hint="eastAsia" w:ascii="仿宋_GB2312" w:hAnsi="仿宋" w:eastAsia="仿宋_GB2312" w:cs="∑¬ÀŒ"/>
          <w:color w:val="000000"/>
          <w:kern w:val="0"/>
          <w:sz w:val="32"/>
          <w:szCs w:val="32"/>
        </w:rPr>
        <w:t>在全国有重要影响、为丰富和完善深圳金融市场体系功能做出特殊贡献的征信公司、资信评估（评级）公司、造币公司、金融押运公司、金融媒体、保险配套服务等专业法人机构，经市政府批准，可参照金融企业总部或金融企业一级分支机构申请除一次性落户奖励以外的其他支持政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27"/>
        <w:rPr>
          <w:rFonts w:ascii="Times New Roman" w:hAnsi="Times New Roman" w:eastAsia="黑体"/>
          <w:color w:val="000000"/>
          <w:kern w:val="0"/>
          <w:sz w:val="32"/>
          <w:szCs w:val="32"/>
        </w:rPr>
      </w:pPr>
      <w:r>
        <w:rPr>
          <w:rFonts w:hint="eastAsia" w:ascii="黑体" w:hAnsi="Times New Roman" w:eastAsia="黑体" w:cs="黑体"/>
          <w:color w:val="000000"/>
          <w:kern w:val="0"/>
          <w:sz w:val="32"/>
          <w:szCs w:val="32"/>
        </w:rPr>
        <w:t>六、其他说明事项</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olor w:val="000000"/>
          <w:kern w:val="0"/>
          <w:sz w:val="32"/>
          <w:szCs w:val="32"/>
        </w:rPr>
      </w:pPr>
      <w:r>
        <w:rPr>
          <w:rFonts w:hint="eastAsia" w:ascii="仿宋_GB2312" w:hAnsi="仿宋" w:eastAsia="仿宋_GB2312" w:cs="∑¬ÀŒ"/>
          <w:color w:val="000000"/>
          <w:kern w:val="0"/>
          <w:sz w:val="32"/>
          <w:szCs w:val="32"/>
        </w:rPr>
        <w:t>（二十六）本措施所称金融企业，包括金融企业总部、金融企业一级分支机构、金融企业设立的各类专业子公司（含商业银行持牌专营机构）、股权投资企业和股权投资管理企业、小额贷款公司、交易场所等其他创新型金融机构等。</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olor w:val="000000"/>
          <w:kern w:val="0"/>
          <w:sz w:val="32"/>
          <w:szCs w:val="32"/>
        </w:rPr>
      </w:pPr>
      <w:r>
        <w:rPr>
          <w:rFonts w:hint="eastAsia" w:ascii="仿宋_GB2312" w:hAnsi="仿宋" w:eastAsia="仿宋_GB2312" w:cs="∑¬ÀŒ"/>
          <w:color w:val="000000"/>
          <w:kern w:val="0"/>
          <w:sz w:val="32"/>
          <w:szCs w:val="32"/>
        </w:rPr>
        <w:t>本措施所称金融企业总部，是指经国家金融监管部门批准，在深圳注册并具有独立法人资格，对一定区域内的企业行使投资控股、运营决策、集中销售、财务结算等管理服务职能的总机构，包括银行、信托公司、金融租赁公司、财务公司、消费金融公司、汽车金融公司、</w:t>
      </w:r>
      <w:r>
        <w:rPr>
          <w:rFonts w:hint="eastAsia" w:ascii="仿宋_GB2312" w:hAnsi="仿宋" w:eastAsia="仿宋_GB2312" w:cs="∑¬ÀŒ"/>
          <w:color w:val="000000"/>
          <w:kern w:val="0"/>
          <w:sz w:val="32"/>
          <w:szCs w:val="32"/>
          <w:lang w:eastAsia="zh-CN"/>
        </w:rPr>
        <w:t>银行资产管理公司、</w:t>
      </w:r>
      <w:r>
        <w:rPr>
          <w:rFonts w:hint="eastAsia" w:ascii="仿宋_GB2312" w:hAnsi="仿宋" w:eastAsia="仿宋_GB2312" w:cs="∑¬ÀŒ"/>
          <w:color w:val="000000"/>
          <w:kern w:val="0"/>
          <w:sz w:val="32"/>
          <w:szCs w:val="32"/>
        </w:rPr>
        <w:t>金融资产投资公司</w:t>
      </w:r>
      <w:r>
        <w:rPr>
          <w:rFonts w:hint="eastAsia" w:ascii="仿宋_GB2312" w:hAnsi="仿宋" w:eastAsia="仿宋_GB2312" w:cs="∑¬ÀŒ"/>
          <w:color w:val="000000"/>
          <w:kern w:val="0"/>
          <w:sz w:val="32"/>
          <w:szCs w:val="32"/>
          <w:lang w:eastAsia="zh-CN"/>
        </w:rPr>
        <w:t>、</w:t>
      </w:r>
      <w:r>
        <w:rPr>
          <w:rFonts w:hint="eastAsia" w:ascii="仿宋_GB2312" w:hAnsi="仿宋" w:eastAsia="仿宋_GB2312" w:cs="∑¬ÀŒ"/>
          <w:color w:val="000000"/>
          <w:kern w:val="0"/>
          <w:sz w:val="32"/>
          <w:szCs w:val="32"/>
        </w:rPr>
        <w:t>证券公司、基金管理公司、期货公司、保险公司、保险资产管理公司、相互保险组织等经营性金融企业，以及经核准或授权开展金融企业不良资产批量收购、处置业务的地方资产管理公司。</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olor w:val="000000"/>
          <w:kern w:val="0"/>
          <w:sz w:val="32"/>
          <w:szCs w:val="32"/>
        </w:rPr>
      </w:pPr>
      <w:r>
        <w:rPr>
          <w:rFonts w:hint="eastAsia" w:ascii="仿宋_GB2312" w:hAnsi="仿宋" w:eastAsia="仿宋_GB2312" w:cs="∑¬ÀŒ"/>
          <w:color w:val="000000"/>
          <w:kern w:val="0"/>
          <w:sz w:val="32"/>
          <w:szCs w:val="32"/>
        </w:rPr>
        <w:t>本措施所称大型金融企业总部，是指经国家金融监管部门批准，具有独立法人资格且上年度经认定的总资产在其分行业领域中排名前十位的银行、证券、保险类经营性金融企业。</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hint="eastAsia" w:ascii="仿宋_GB2312" w:hAnsi="仿宋" w:eastAsia="仿宋_GB2312" w:cs="∑¬ÀŒ"/>
          <w:color w:val="000000"/>
          <w:kern w:val="0"/>
          <w:sz w:val="32"/>
          <w:szCs w:val="32"/>
          <w:lang w:eastAsia="zh-CN"/>
        </w:rPr>
      </w:pPr>
      <w:r>
        <w:rPr>
          <w:rFonts w:hint="eastAsia" w:ascii="仿宋_GB2312" w:hAnsi="仿宋" w:eastAsia="仿宋_GB2312" w:cs="∑¬ÀŒ"/>
          <w:color w:val="000000"/>
          <w:kern w:val="0"/>
          <w:sz w:val="32"/>
          <w:szCs w:val="32"/>
        </w:rPr>
        <w:t>本措施所称金融企业一级分支机构，是指隶属于银行、证券公司、保险公司、基金管理公司、期货公司、信托公司、金融租赁公司</w:t>
      </w:r>
      <w:r>
        <w:rPr>
          <w:rFonts w:hint="eastAsia" w:ascii="仿宋_GB2312" w:hAnsi="仿宋" w:eastAsia="仿宋_GB2312" w:cs="∑¬ÀŒ"/>
          <w:color w:val="000000"/>
          <w:kern w:val="0"/>
          <w:sz w:val="32"/>
          <w:szCs w:val="32"/>
          <w:lang w:eastAsia="zh-CN"/>
        </w:rPr>
        <w:t>、银行资产管理公司、</w:t>
      </w:r>
      <w:r>
        <w:rPr>
          <w:rFonts w:hint="eastAsia" w:ascii="仿宋_GB2312" w:hAnsi="仿宋" w:eastAsia="仿宋_GB2312" w:cs="∑¬ÀŒ"/>
          <w:color w:val="000000"/>
          <w:kern w:val="0"/>
          <w:sz w:val="32"/>
          <w:szCs w:val="32"/>
        </w:rPr>
        <w:t>金融资产投资公司等金融企业总部的深圳市级分行（分公司</w:t>
      </w:r>
      <w:r>
        <w:rPr>
          <w:rFonts w:hint="eastAsia" w:ascii="仿宋_GB2312" w:hAnsi="仿宋" w:eastAsia="仿宋_GB2312" w:cs="∑¬ÀŒ"/>
          <w:color w:val="000000"/>
          <w:kern w:val="0"/>
          <w:sz w:val="32"/>
          <w:szCs w:val="32"/>
          <w:lang w:eastAsia="zh-CN"/>
        </w:rPr>
        <w:t>，仅限一家</w:t>
      </w:r>
      <w:r>
        <w:rPr>
          <w:rFonts w:hint="eastAsia" w:ascii="仿宋_GB2312" w:hAnsi="仿宋" w:eastAsia="仿宋_GB2312" w:cs="∑¬ÀŒ"/>
          <w:color w:val="000000"/>
          <w:kern w:val="0"/>
          <w:sz w:val="32"/>
          <w:szCs w:val="32"/>
        </w:rPr>
        <w:t>）</w:t>
      </w:r>
      <w:r>
        <w:rPr>
          <w:rFonts w:hint="eastAsia" w:ascii="仿宋_GB2312" w:hAnsi="仿宋" w:eastAsia="仿宋_GB2312" w:cs="∑¬ÀŒ"/>
          <w:color w:val="000000"/>
          <w:kern w:val="0"/>
          <w:sz w:val="32"/>
          <w:szCs w:val="32"/>
          <w:lang w:eastAsia="zh-CN"/>
        </w:rPr>
        <w:t>；由已在深圳注册的营业部升级为一级分支机构的，不可按照一级分支机构享受相关优惠政策。</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olor w:val="000000"/>
          <w:kern w:val="0"/>
          <w:sz w:val="32"/>
          <w:szCs w:val="32"/>
        </w:rPr>
      </w:pPr>
      <w:r>
        <w:rPr>
          <w:rFonts w:hint="eastAsia" w:ascii="仿宋_GB2312" w:hAnsi="仿宋" w:eastAsia="仿宋_GB2312" w:cs="∑¬ÀŒ"/>
          <w:color w:val="000000"/>
          <w:kern w:val="0"/>
          <w:sz w:val="32"/>
          <w:szCs w:val="32"/>
        </w:rPr>
        <w:t>本措施所称商业银行专营机构，是指商业银行针对本行特定领域业务所设立的、有别于传统分支行的机构，并具备以下特征：针对某一业务单元或服务对象设立；独立面向社会公众或交易对手开展经营活动；经总行授权，在人力资源管理、业务考核、经营资源调配、风险管理与内部控制等方面独立于本行经营部门或当地分支行。商业银行专营机构类型包括但不限于小企业金融服务中心、信用卡中心、票据中心、资金运营中心等。</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olor w:val="000000"/>
          <w:kern w:val="0"/>
          <w:sz w:val="32"/>
          <w:szCs w:val="32"/>
        </w:rPr>
      </w:pPr>
      <w:r>
        <w:rPr>
          <w:rFonts w:hint="eastAsia" w:ascii="仿宋_GB2312" w:hAnsi="仿宋" w:eastAsia="仿宋_GB2312" w:cs="∑¬ÀŒ"/>
          <w:color w:val="000000"/>
          <w:kern w:val="0"/>
          <w:sz w:val="32"/>
          <w:szCs w:val="32"/>
        </w:rPr>
        <w:t>本措施所称股权投资企业，是指依法设立并以股权投资为主要经营业务的企业。股权投资管理企业是指受股权投资企业委托，以股权投资管理为主要经营业务的企业。</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37"/>
        <w:rPr>
          <w:rFonts w:ascii="仿宋_GB2312" w:hAnsi="仿宋" w:eastAsia="仿宋_GB2312"/>
          <w:color w:val="000000"/>
          <w:kern w:val="0"/>
          <w:sz w:val="32"/>
          <w:szCs w:val="32"/>
        </w:rPr>
      </w:pPr>
      <w:r>
        <w:rPr>
          <w:rFonts w:hint="eastAsia" w:ascii="仿宋_GB2312" w:hAnsi="仿宋" w:eastAsia="仿宋_GB2312" w:cs="∑¬ÀŒ"/>
          <w:color w:val="000000"/>
          <w:kern w:val="0"/>
          <w:sz w:val="32"/>
          <w:szCs w:val="32"/>
        </w:rPr>
        <w:t>本措施所称小额贷款公司，是指依据《深圳市小额贷款公司试点管理暂行办法》（深府〔2011〕135号），在深圳市辖区内由企业法人、自然人和其他社会组织、经济组织</w:t>
      </w:r>
      <w:r>
        <w:rPr>
          <w:rFonts w:hint="eastAsia" w:ascii="仿宋_GB2312" w:hAnsi="仿宋" w:eastAsia="仿宋_GB2312" w:cs="∑¬ÀŒ"/>
          <w:color w:val="000000"/>
          <w:kern w:val="0"/>
          <w:sz w:val="32"/>
          <w:szCs w:val="32"/>
          <w:lang w:eastAsia="zh-CN"/>
        </w:rPr>
        <w:t>依</w:t>
      </w:r>
      <w:r>
        <w:rPr>
          <w:rFonts w:hint="eastAsia" w:ascii="仿宋_GB2312" w:hAnsi="仿宋" w:eastAsia="仿宋_GB2312" w:cs="∑¬ÀŒ"/>
          <w:color w:val="000000"/>
          <w:kern w:val="0"/>
          <w:sz w:val="32"/>
          <w:szCs w:val="32"/>
        </w:rPr>
        <w:t>法出资设立的，不吸收公众存款，主要提供小额信贷服务的新型金融组织。</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27"/>
        <w:rPr>
          <w:rFonts w:ascii="仿宋_GB2312" w:hAnsi="仿宋" w:eastAsia="仿宋_GB2312"/>
          <w:color w:val="000000"/>
          <w:kern w:val="0"/>
          <w:sz w:val="32"/>
          <w:szCs w:val="32"/>
        </w:rPr>
      </w:pPr>
      <w:r>
        <w:rPr>
          <w:rFonts w:hint="eastAsia" w:ascii="仿宋_GB2312" w:hAnsi="仿宋" w:eastAsia="仿宋_GB2312" w:cs="∑¬ÀŒ"/>
          <w:color w:val="000000"/>
          <w:kern w:val="0"/>
          <w:sz w:val="32"/>
          <w:szCs w:val="32"/>
        </w:rPr>
        <w:t>本措施所称交易场所，是指依据《深圳市交易场所监督管理暂行办法》（深府〔2013〕64号）设立的从事权益类交易、大宗商品类交易的各类交易平台机构。</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27"/>
        <w:rPr>
          <w:rFonts w:ascii="仿宋_GB2312" w:hAnsi="仿宋" w:eastAsia="仿宋_GB2312"/>
          <w:color w:val="000000"/>
          <w:kern w:val="0"/>
          <w:sz w:val="32"/>
          <w:szCs w:val="32"/>
        </w:rPr>
      </w:pPr>
      <w:r>
        <w:rPr>
          <w:rFonts w:hint="eastAsia" w:ascii="仿宋_GB2312" w:hAnsi="仿宋" w:eastAsia="仿宋_GB2312" w:cs="∑¬ÀŒ"/>
          <w:color w:val="000000"/>
          <w:kern w:val="0"/>
          <w:sz w:val="32"/>
          <w:szCs w:val="32"/>
        </w:rPr>
        <w:t>本措施所称非金融支付服务机构，是指依法取得支付业务许可证，获准办理网络支付、预付卡发行与受理、银行卡收单等支付服务的非金融机构。</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olor w:val="000000"/>
          <w:kern w:val="0"/>
          <w:sz w:val="32"/>
          <w:szCs w:val="32"/>
        </w:rPr>
      </w:pPr>
      <w:r>
        <w:rPr>
          <w:rFonts w:hint="eastAsia" w:ascii="仿宋_GB2312" w:hAnsi="仿宋" w:eastAsia="仿宋_GB2312" w:cs="∑¬ÀŒ"/>
          <w:color w:val="000000"/>
          <w:kern w:val="0"/>
          <w:sz w:val="32"/>
          <w:szCs w:val="32"/>
        </w:rPr>
        <w:t>（二十七）</w:t>
      </w:r>
      <w:r>
        <w:rPr>
          <w:rFonts w:hint="eastAsia" w:ascii="仿宋_GB2312" w:hAnsi="仿宋" w:eastAsia="仿宋_GB2312" w:cs="∑¬ÀŒ"/>
          <w:color w:val="000000"/>
          <w:kern w:val="0"/>
          <w:sz w:val="32"/>
          <w:szCs w:val="32"/>
          <w:lang w:eastAsia="zh-CN"/>
        </w:rPr>
        <w:t>已购买金融总部项目用地的</w:t>
      </w:r>
      <w:r>
        <w:rPr>
          <w:rFonts w:hint="eastAsia" w:ascii="仿宋_GB2312" w:hAnsi="仿宋" w:eastAsia="仿宋_GB2312" w:cs="∑¬ÀŒ"/>
          <w:color w:val="000000"/>
          <w:kern w:val="0"/>
          <w:sz w:val="32"/>
          <w:szCs w:val="32"/>
        </w:rPr>
        <w:t>金融企业，不再享受购房、租房补贴；金融企业享受购房补贴的，不再享受租房补贴</w:t>
      </w:r>
      <w:r>
        <w:rPr>
          <w:rFonts w:hint="eastAsia" w:ascii="仿宋_GB2312" w:hAnsi="仿宋" w:eastAsia="仿宋_GB2312" w:cs="∑¬ÀŒ"/>
          <w:color w:val="000000"/>
          <w:kern w:val="0"/>
          <w:sz w:val="32"/>
          <w:szCs w:val="32"/>
          <w:lang w:eastAsia="zh-CN"/>
        </w:rPr>
        <w:t>；金融企业租购市级政府以优惠价格提供的产业及总部用房，不再享受本政策的租购房补贴。</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olor w:val="000000"/>
          <w:kern w:val="0"/>
          <w:sz w:val="32"/>
          <w:szCs w:val="32"/>
        </w:rPr>
      </w:pPr>
      <w:r>
        <w:rPr>
          <w:rFonts w:hint="eastAsia" w:ascii="仿宋_GB2312" w:hAnsi="仿宋" w:eastAsia="仿宋_GB2312" w:cs="∑¬ÀŒ"/>
          <w:color w:val="000000"/>
          <w:kern w:val="0"/>
          <w:sz w:val="32"/>
          <w:szCs w:val="32"/>
        </w:rPr>
        <w:t>（二十八）金融企业总部、金融企业设立的各类专业子公司（含商业银行专营机构）、股权投资企业和股权投资管理企业、交易场所申请</w:t>
      </w:r>
      <w:r>
        <w:rPr>
          <w:rFonts w:hint="eastAsia" w:ascii="仿宋_GB2312" w:hAnsi="仿宋" w:eastAsia="仿宋_GB2312" w:cs="∑¬ÀŒ"/>
          <w:color w:val="000000"/>
          <w:kern w:val="0"/>
          <w:sz w:val="32"/>
          <w:szCs w:val="32"/>
          <w:lang w:eastAsia="zh-CN"/>
        </w:rPr>
        <w:t>金融总部项目用地，一次性落户奖励</w:t>
      </w:r>
      <w:r>
        <w:rPr>
          <w:rFonts w:hint="eastAsia" w:ascii="仿宋_GB2312" w:hAnsi="仿宋" w:eastAsia="仿宋_GB2312" w:cs="∑¬ÀŒ"/>
          <w:color w:val="000000"/>
          <w:kern w:val="0"/>
          <w:sz w:val="32"/>
          <w:szCs w:val="32"/>
        </w:rPr>
        <w:t>和购房补贴的，应承诺15年内不迁离深圳。提前搬迁的，按年度平均分摊追回剩余年度的奖励、补贴、补助；提前搬迁后再回迁深圳的，3年内不得申请奖励、补贴或其他资金资助。</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0" w:afterLines="0" w:line="579" w:lineRule="exact"/>
        <w:ind w:firstLine="640"/>
        <w:rPr>
          <w:rFonts w:ascii="仿宋_GB2312" w:hAnsi="仿宋" w:eastAsia="仿宋_GB2312" w:cs="∑¬ÀŒ"/>
          <w:color w:val="000000"/>
          <w:kern w:val="0"/>
          <w:sz w:val="32"/>
          <w:szCs w:val="32"/>
        </w:rPr>
      </w:pPr>
      <w:r>
        <w:rPr>
          <w:rFonts w:hint="eastAsia" w:ascii="仿宋_GB2312" w:hAnsi="仿宋" w:eastAsia="仿宋_GB2312" w:cs="∑¬ÀŒ"/>
          <w:color w:val="000000"/>
          <w:kern w:val="0"/>
          <w:sz w:val="32"/>
          <w:szCs w:val="32"/>
        </w:rPr>
        <w:t>（二十九）市政府希望重点引进或重点扶持的金融企业，可通过“一事一议”的方式，给予优先产业用地、人才公寓、保障房、研发费用补贴等政策保障。</w:t>
      </w:r>
    </w:p>
    <w:p>
      <w:pPr>
        <w:tabs>
          <w:tab w:val="left" w:pos="540"/>
        </w:tabs>
        <w:autoSpaceDE w:val="0"/>
        <w:autoSpaceDN w:val="0"/>
        <w:adjustRightInd w:val="0"/>
        <w:spacing w:beforeLines="0" w:afterLines="0" w:line="579" w:lineRule="exact"/>
        <w:ind w:firstLine="640"/>
        <w:rPr>
          <w:rFonts w:ascii="仿宋_GB2312" w:hAnsi="仿宋" w:eastAsia="仿宋_GB2312"/>
          <w:color w:val="000000"/>
          <w:kern w:val="0"/>
          <w:sz w:val="32"/>
          <w:szCs w:val="32"/>
        </w:rPr>
      </w:pPr>
      <w:r>
        <w:rPr>
          <w:rFonts w:hint="eastAsia" w:ascii="仿宋_GB2312" w:hAnsi="仿宋" w:eastAsia="仿宋_GB2312" w:cs="∑¬ÀŒ"/>
          <w:color w:val="000000"/>
          <w:kern w:val="0"/>
          <w:sz w:val="32"/>
          <w:szCs w:val="32"/>
        </w:rPr>
        <w:t>（三十）市金融办会同市发展改革委、财政委、规划国土委以及驻深金融监管部门等相关单位，应根据国家金融改革部署和深圳金融发展实际需要，适时调整金融政策的支持范围、支持对象和支持标准等，经市政府批准后实施。</w:t>
      </w:r>
    </w:p>
    <w:p>
      <w:pPr>
        <w:tabs>
          <w:tab w:val="left" w:pos="540"/>
        </w:tabs>
        <w:autoSpaceDE w:val="0"/>
        <w:autoSpaceDN w:val="0"/>
        <w:adjustRightInd w:val="0"/>
        <w:spacing w:beforeLines="0" w:afterLines="0" w:line="579" w:lineRule="exact"/>
        <w:ind w:firstLine="640"/>
        <w:rPr>
          <w:rFonts w:hint="eastAsia" w:ascii="仿宋_GB2312" w:hAnsi="仿宋_GB2312" w:eastAsia="仿宋_GB2312" w:cs="仿宋_GB2312"/>
          <w:color w:val="000000"/>
          <w:kern w:val="0"/>
          <w:sz w:val="32"/>
          <w:szCs w:val="32"/>
          <w:lang w:eastAsia="zh-CN"/>
        </w:rPr>
      </w:pPr>
      <w:r>
        <w:rPr>
          <w:rFonts w:hint="eastAsia" w:ascii="仿宋_GB2312" w:hAnsi="仿宋" w:eastAsia="仿宋_GB2312" w:cs="∑¬ÀŒ"/>
          <w:color w:val="000000"/>
          <w:kern w:val="0"/>
          <w:sz w:val="32"/>
          <w:szCs w:val="32"/>
        </w:rPr>
        <w:t>（三十一）在深圳注册设立的金融企业，符合深圳市其他产业政策支持条件的，经市政府主管部门同意，可按其规定申请其他政策支持，但</w:t>
      </w:r>
      <w:r>
        <w:rPr>
          <w:rFonts w:hint="eastAsia" w:ascii="仿宋_GB2312" w:hAnsi="仿宋" w:eastAsia="仿宋_GB2312" w:cs="∑¬ÀŒ"/>
          <w:color w:val="000000"/>
          <w:kern w:val="0"/>
          <w:sz w:val="32"/>
          <w:szCs w:val="32"/>
          <w:lang w:eastAsia="zh-CN"/>
        </w:rPr>
        <w:t>市级</w:t>
      </w:r>
      <w:r>
        <w:rPr>
          <w:rFonts w:hint="eastAsia" w:ascii="仿宋_GB2312" w:hAnsi="仿宋" w:eastAsia="仿宋_GB2312" w:cs="∑¬ÀŒ"/>
          <w:color w:val="000000"/>
          <w:kern w:val="0"/>
          <w:sz w:val="32"/>
          <w:szCs w:val="32"/>
        </w:rPr>
        <w:t>同类型优惠政策不得重复享受。金融企业或其法定代表人、实际控制人等责任主体在企业经营过程中存在严重失信行为被相关部门列入</w:t>
      </w:r>
      <w:r>
        <w:rPr>
          <w:rFonts w:hint="eastAsia" w:ascii="仿宋_GB2312" w:hAnsi="仿宋" w:eastAsia="仿宋_GB2312" w:cs="∑¬ÀŒ"/>
          <w:color w:val="000000"/>
          <w:kern w:val="0"/>
          <w:sz w:val="32"/>
          <w:szCs w:val="32"/>
          <w:lang w:eastAsia="zh-CN"/>
        </w:rPr>
        <w:t>违规失信联合惩戒黑名单的，不得享</w:t>
      </w:r>
      <w:r>
        <w:rPr>
          <w:rFonts w:hint="eastAsia" w:ascii="仿宋_GB2312" w:hAnsi="仿宋_GB2312" w:eastAsia="仿宋_GB2312" w:cs="仿宋_GB2312"/>
          <w:color w:val="000000"/>
          <w:kern w:val="0"/>
          <w:sz w:val="32"/>
          <w:szCs w:val="32"/>
          <w:lang w:eastAsia="zh-CN"/>
        </w:rPr>
        <w:t>受本措施所提各项资金补贴和扶持措施。</w:t>
      </w:r>
    </w:p>
    <w:p>
      <w:pPr>
        <w:tabs>
          <w:tab w:val="left" w:pos="540"/>
        </w:tabs>
        <w:autoSpaceDE w:val="0"/>
        <w:autoSpaceDN w:val="0"/>
        <w:adjustRightInd w:val="0"/>
        <w:spacing w:beforeLines="0" w:afterLines="0" w:line="579" w:lineRule="exact"/>
        <w:ind w:firstLine="64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（三十</w:t>
      </w:r>
      <w:r>
        <w:rPr>
          <w:rFonts w:hint="eastAsia" w:ascii="仿宋_GB2312" w:hAnsi="仿宋_GB2312" w:eastAsia="仿宋_GB2312" w:cs="仿宋_GB2312"/>
          <w:color w:val="000000"/>
          <w:kern w:val="0"/>
          <w:sz w:val="32"/>
          <w:szCs w:val="32"/>
          <w:lang w:eastAsia="zh-CN"/>
        </w:rPr>
        <w:t>二</w:t>
      </w:r>
      <w:r>
        <w:rPr>
          <w:rFonts w:hint="eastAsia" w:ascii="仿宋_GB2312" w:hAnsi="仿宋_GB2312" w:eastAsia="仿宋_GB2312" w:cs="仿宋_GB2312"/>
          <w:color w:val="000000"/>
          <w:kern w:val="0"/>
          <w:sz w:val="32"/>
          <w:szCs w:val="32"/>
        </w:rPr>
        <w:t>）本措施有关奖励补贴支出根据市财政年度资金预算安排拨付。</w:t>
      </w:r>
    </w:p>
    <w:p>
      <w:pPr>
        <w:tabs>
          <w:tab w:val="left" w:pos="540"/>
        </w:tabs>
        <w:autoSpaceDE w:val="0"/>
        <w:autoSpaceDN w:val="0"/>
        <w:adjustRightInd w:val="0"/>
        <w:spacing w:beforeLines="0" w:afterLines="0" w:line="579" w:lineRule="exact"/>
        <w:ind w:firstLine="640"/>
        <w:rPr>
          <w:rFonts w:hint="eastAsia"/>
          <w:sz w:val="32"/>
          <w:szCs w:val="32"/>
        </w:rPr>
      </w:pPr>
      <w:r>
        <w:rPr>
          <w:rFonts w:hint="eastAsia" w:ascii="仿宋_GB2312" w:hAnsi="仿宋_GB2312" w:eastAsia="仿宋_GB2312" w:cs="仿宋_GB2312"/>
          <w:color w:val="000000"/>
          <w:kern w:val="2"/>
          <w:sz w:val="32"/>
          <w:szCs w:val="32"/>
        </w:rPr>
        <w:t>（三十</w:t>
      </w:r>
      <w:r>
        <w:rPr>
          <w:rFonts w:hint="eastAsia" w:ascii="仿宋_GB2312" w:hAnsi="仿宋_GB2312" w:eastAsia="仿宋_GB2312" w:cs="仿宋_GB2312"/>
          <w:color w:val="000000"/>
          <w:kern w:val="2"/>
          <w:sz w:val="32"/>
          <w:szCs w:val="32"/>
          <w:lang w:eastAsia="zh-CN"/>
        </w:rPr>
        <w:t>三</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val="0"/>
          <w:bCs w:val="0"/>
          <w:color w:val="000000"/>
          <w:kern w:val="2"/>
          <w:sz w:val="32"/>
          <w:szCs w:val="32"/>
          <w:lang w:eastAsia="zh-CN"/>
        </w:rPr>
        <w:t>本措施自201</w:t>
      </w:r>
      <w:r>
        <w:rPr>
          <w:rFonts w:hint="eastAsia" w:ascii="仿宋_GB2312" w:hAnsi="仿宋_GB2312" w:eastAsia="仿宋_GB2312" w:cs="仿宋_GB2312"/>
          <w:b w:val="0"/>
          <w:bCs w:val="0"/>
          <w:color w:val="000000"/>
          <w:kern w:val="2"/>
          <w:sz w:val="32"/>
          <w:szCs w:val="32"/>
          <w:lang w:val="en-US" w:eastAsia="zh-CN"/>
        </w:rPr>
        <w:t>9</w:t>
      </w:r>
      <w:r>
        <w:rPr>
          <w:rFonts w:hint="eastAsia" w:ascii="仿宋_GB2312" w:hAnsi="仿宋_GB2312" w:eastAsia="仿宋_GB2312" w:cs="仿宋_GB2312"/>
          <w:b w:val="0"/>
          <w:bCs w:val="0"/>
          <w:color w:val="000000"/>
          <w:kern w:val="2"/>
          <w:sz w:val="32"/>
          <w:szCs w:val="32"/>
          <w:lang w:eastAsia="zh-CN"/>
        </w:rPr>
        <w:t>年</w:t>
      </w:r>
      <w:r>
        <w:rPr>
          <w:rFonts w:hint="eastAsia" w:ascii="仿宋_GB2312" w:hAnsi="仿宋_GB2312" w:eastAsia="仿宋_GB2312" w:cs="仿宋_GB2312"/>
          <w:b w:val="0"/>
          <w:bCs w:val="0"/>
          <w:color w:val="000000"/>
          <w:kern w:val="2"/>
          <w:sz w:val="32"/>
          <w:szCs w:val="32"/>
          <w:lang w:val="en-US" w:eastAsia="zh-CN"/>
        </w:rPr>
        <w:t>1</w:t>
      </w:r>
      <w:r>
        <w:rPr>
          <w:rFonts w:hint="eastAsia" w:ascii="仿宋_GB2312" w:hAnsi="仿宋_GB2312" w:eastAsia="仿宋_GB2312" w:cs="仿宋_GB2312"/>
          <w:b w:val="0"/>
          <w:bCs w:val="0"/>
          <w:color w:val="000000"/>
          <w:kern w:val="2"/>
          <w:sz w:val="32"/>
          <w:szCs w:val="32"/>
          <w:lang w:eastAsia="zh-CN"/>
        </w:rPr>
        <w:t>月</w:t>
      </w:r>
      <w:r>
        <w:rPr>
          <w:rFonts w:hint="eastAsia" w:ascii="仿宋_GB2312" w:hAnsi="仿宋_GB2312" w:eastAsia="仿宋_GB2312" w:cs="仿宋_GB2312"/>
          <w:b w:val="0"/>
          <w:bCs w:val="0"/>
          <w:color w:val="000000"/>
          <w:kern w:val="2"/>
          <w:sz w:val="32"/>
          <w:szCs w:val="32"/>
          <w:lang w:val="en-US" w:eastAsia="zh-CN"/>
        </w:rPr>
        <w:t>6</w:t>
      </w:r>
      <w:r>
        <w:rPr>
          <w:rFonts w:hint="eastAsia" w:ascii="仿宋_GB2312" w:hAnsi="仿宋_GB2312" w:eastAsia="仿宋_GB2312" w:cs="仿宋_GB2312"/>
          <w:b w:val="0"/>
          <w:bCs w:val="0"/>
          <w:color w:val="000000"/>
          <w:kern w:val="2"/>
          <w:sz w:val="32"/>
          <w:szCs w:val="32"/>
          <w:lang w:eastAsia="zh-CN"/>
        </w:rPr>
        <w:t>日生效，有效期5年。</w:t>
      </w:r>
      <w:r>
        <w:rPr>
          <w:rFonts w:hint="eastAsia" w:ascii="仿宋_GB2312" w:hAnsi="仿宋_GB2312" w:eastAsia="仿宋_GB2312" w:cs="仿宋_GB2312"/>
          <w:b w:val="0"/>
          <w:bCs w:val="0"/>
          <w:color w:val="000000"/>
          <w:kern w:val="0"/>
          <w:sz w:val="32"/>
          <w:szCs w:val="32"/>
          <w:lang w:eastAsia="zh-CN"/>
        </w:rPr>
        <w:t>《深圳市扶持金融业发展若干措施》（深府规〔2017〕2号）同时废止。按照深府规〔2017〕2号文规定申</w:t>
      </w:r>
      <w:r>
        <w:rPr>
          <w:rFonts w:hint="eastAsia" w:ascii="仿宋_GB2312" w:hAnsi="仿宋" w:eastAsia="仿宋_GB2312" w:cs="∑¬ÀŒ"/>
          <w:b w:val="0"/>
          <w:bCs w:val="0"/>
          <w:color w:val="000000"/>
          <w:kern w:val="0"/>
          <w:sz w:val="32"/>
          <w:szCs w:val="32"/>
          <w:lang w:eastAsia="zh-CN"/>
        </w:rPr>
        <w:t>请相关资助的事项，在本措施生效后未完成资金审核及拨付的，其政策依据仍为深府规〔2017〕2号文。其他有关规定与本措施内容不一致的，以本措施为准。</w:t>
      </w:r>
    </w:p>
    <w:p>
      <w:pPr>
        <w:spacing w:beforeLines="0" w:afterLines="0" w:line="579" w:lineRule="exact"/>
        <w:jc w:val="left"/>
        <w:rPr>
          <w:rFonts w:hint="eastAsia"/>
          <w:lang w:val="en-US" w:eastAsia="zh-CN"/>
        </w:rPr>
      </w:pPr>
    </w:p>
    <w:p>
      <w:pPr>
        <w:spacing w:beforeLines="0" w:afterLines="0" w:line="579" w:lineRule="exact"/>
        <w:jc w:val="left"/>
        <w:rPr>
          <w:rFonts w:hint="eastAsia"/>
          <w:lang w:val="en-US" w:eastAsia="zh-CN"/>
        </w:rPr>
      </w:pPr>
    </w:p>
    <w:p>
      <w:pPr>
        <w:spacing w:beforeLines="0" w:afterLines="0" w:line="579" w:lineRule="exact"/>
        <w:jc w:val="left"/>
        <w:rPr>
          <w:rFonts w:hint="eastAsia"/>
          <w:lang w:val="en-US" w:eastAsia="zh-CN"/>
        </w:rPr>
      </w:pPr>
      <w:bookmarkStart w:id="0" w:name="_GoBack"/>
      <w:bookmarkEnd w:id="0"/>
    </w:p>
    <w:p>
      <w:pPr>
        <w:spacing w:beforeLines="0" w:afterLines="0" w:line="579" w:lineRule="exact"/>
        <w:jc w:val="left"/>
        <w:rPr>
          <w:rFonts w:hint="eastAsia"/>
          <w:lang w:val="en-US" w:eastAsia="zh-CN"/>
        </w:rPr>
      </w:pPr>
    </w:p>
    <w:p>
      <w:pPr>
        <w:spacing w:beforeLines="0" w:afterLines="0" w:line="579" w:lineRule="exact"/>
        <w:jc w:val="left"/>
        <w:rPr>
          <w:rFonts w:hint="eastAsia"/>
          <w:lang w:val="en-US" w:eastAsia="zh-CN"/>
        </w:rPr>
      </w:pPr>
    </w:p>
    <w:p>
      <w:pPr>
        <w:spacing w:beforeLines="0" w:afterLines="0" w:line="579" w:lineRule="exact"/>
        <w:jc w:val="left"/>
        <w:rPr>
          <w:rFonts w:hint="eastAsia"/>
          <w:lang w:val="en-US" w:eastAsia="zh-CN"/>
        </w:rPr>
      </w:pPr>
    </w:p>
    <w:p>
      <w:pPr>
        <w:spacing w:beforeLines="0" w:afterLines="0" w:line="579" w:lineRule="exact"/>
        <w:jc w:val="left"/>
        <w:rPr>
          <w:rFonts w:hint="eastAsia"/>
          <w:lang w:val="en-US" w:eastAsia="zh-CN"/>
        </w:rPr>
      </w:pPr>
    </w:p>
    <w:p>
      <w:pPr>
        <w:spacing w:beforeLines="0" w:afterLines="0" w:line="579" w:lineRule="exact"/>
        <w:jc w:val="left"/>
        <w:rPr>
          <w:rFonts w:hint="eastAsia"/>
          <w:lang w:val="en-US" w:eastAsia="zh-CN"/>
        </w:rPr>
      </w:pPr>
    </w:p>
    <w:p>
      <w:pPr>
        <w:spacing w:beforeLines="0" w:afterLines="0" w:line="579" w:lineRule="exact"/>
        <w:jc w:val="left"/>
        <w:rPr>
          <w:rFonts w:hint="eastAsia"/>
          <w:lang w:val="en-US" w:eastAsia="zh-CN"/>
        </w:rPr>
      </w:pPr>
    </w:p>
    <w:p>
      <w:pPr>
        <w:spacing w:beforeLines="0" w:afterLines="0" w:line="579" w:lineRule="exact"/>
        <w:jc w:val="left"/>
        <w:rPr>
          <w:rFonts w:hint="eastAsia"/>
          <w:lang w:val="en-US" w:eastAsia="zh-CN"/>
        </w:rPr>
      </w:pPr>
    </w:p>
    <w:p>
      <w:pPr>
        <w:spacing w:beforeLines="0" w:afterLines="0" w:line="579" w:lineRule="exact"/>
        <w:jc w:val="left"/>
        <w:rPr>
          <w:rFonts w:hint="eastAsia"/>
          <w:lang w:val="en-US" w:eastAsia="zh-CN"/>
        </w:rPr>
      </w:pPr>
    </w:p>
    <w:p>
      <w:pPr>
        <w:spacing w:beforeLines="0" w:afterLines="0" w:line="579" w:lineRule="exact"/>
        <w:jc w:val="left"/>
        <w:rPr>
          <w:rFonts w:hint="eastAsia"/>
          <w:lang w:val="en-US" w:eastAsia="zh-CN"/>
        </w:rPr>
      </w:pPr>
    </w:p>
    <w:p>
      <w:pPr>
        <w:spacing w:beforeLines="0" w:afterLines="0" w:line="579" w:lineRule="exact"/>
        <w:jc w:val="left"/>
        <w:rPr>
          <w:rFonts w:hint="eastAsia"/>
          <w:lang w:val="en-US" w:eastAsia="zh-CN"/>
        </w:rPr>
      </w:pPr>
    </w:p>
    <w:p>
      <w:pPr>
        <w:spacing w:beforeLines="0" w:afterLines="0" w:line="579" w:lineRule="exact"/>
        <w:jc w:val="left"/>
        <w:rPr>
          <w:rFonts w:hint="eastAsia"/>
          <w:lang w:val="en-US" w:eastAsia="zh-CN"/>
        </w:rPr>
      </w:pPr>
    </w:p>
    <w:p>
      <w:pPr>
        <w:spacing w:beforeLines="0" w:afterLines="0" w:line="579" w:lineRule="exact"/>
        <w:jc w:val="left"/>
        <w:rPr>
          <w:rFonts w:hint="eastAsia"/>
          <w:lang w:val="en-US" w:eastAsia="zh-CN"/>
        </w:rPr>
      </w:pPr>
    </w:p>
    <w:p>
      <w:pPr>
        <w:spacing w:beforeLines="0" w:afterLines="0" w:line="579" w:lineRule="exact"/>
        <w:jc w:val="left"/>
        <w:rPr>
          <w:rFonts w:hint="eastAsia"/>
          <w:lang w:val="en-US" w:eastAsia="zh-CN"/>
        </w:rPr>
      </w:pPr>
    </w:p>
    <w:p>
      <w:pPr>
        <w:spacing w:beforeLines="0" w:afterLines="0" w:line="579" w:lineRule="exact"/>
        <w:jc w:val="left"/>
        <w:rPr>
          <w:rFonts w:hint="eastAsia"/>
          <w:lang w:val="en-US" w:eastAsia="zh-CN"/>
        </w:rPr>
      </w:pPr>
    </w:p>
    <w:p>
      <w:pPr>
        <w:spacing w:beforeLines="0" w:afterLines="0" w:line="579" w:lineRule="exact"/>
        <w:jc w:val="left"/>
        <w:rPr>
          <w:rFonts w:hint="eastAsia"/>
          <w:lang w:val="en-US" w:eastAsia="zh-CN"/>
        </w:rPr>
      </w:pPr>
    </w:p>
    <w:p>
      <w:pPr>
        <w:spacing w:beforeLines="0" w:afterLines="0" w:line="579" w:lineRule="exact"/>
        <w:jc w:val="left"/>
        <w:rPr>
          <w:rFonts w:hint="eastAsia"/>
          <w:lang w:val="en-US" w:eastAsia="zh-CN"/>
        </w:rPr>
      </w:pPr>
    </w:p>
    <w:p>
      <w:pPr>
        <w:spacing w:beforeLines="0" w:afterLines="0" w:line="579" w:lineRule="exact"/>
        <w:jc w:val="left"/>
        <w:rPr>
          <w:rFonts w:hint="eastAsia"/>
          <w:lang w:val="en-US" w:eastAsia="zh-CN"/>
        </w:rPr>
      </w:pPr>
    </w:p>
    <w:p>
      <w:pPr>
        <w:spacing w:beforeLines="0" w:afterLines="0" w:line="579" w:lineRule="exact"/>
        <w:jc w:val="left"/>
        <w:rPr>
          <w:rFonts w:hint="eastAsia"/>
          <w:lang w:val="en-US" w:eastAsia="zh-CN"/>
        </w:rPr>
      </w:pPr>
    </w:p>
    <w:p>
      <w:pPr>
        <w:spacing w:beforeLines="0" w:afterLines="0" w:line="579" w:lineRule="exact"/>
        <w:jc w:val="left"/>
        <w:rPr>
          <w:rFonts w:hint="eastAsia"/>
          <w:lang w:val="en-US" w:eastAsia="zh-CN"/>
        </w:rPr>
      </w:pPr>
    </w:p>
    <w:p>
      <w:pPr>
        <w:spacing w:beforeLines="0" w:afterLines="0" w:line="579" w:lineRule="exact"/>
        <w:jc w:val="left"/>
        <w:rPr>
          <w:rFonts w:hint="eastAsia"/>
          <w:lang w:val="en-US" w:eastAsia="zh-CN"/>
        </w:rPr>
      </w:pPr>
    </w:p>
    <w:p>
      <w:pPr>
        <w:numPr>
          <w:ilvl w:val="0"/>
          <w:numId w:val="0"/>
        </w:numPr>
        <w:spacing w:beforeLines="0" w:afterLines="0" w:line="579" w:lineRule="exact"/>
        <w:jc w:val="both"/>
        <w:rPr>
          <w:rFonts w:hint="eastAsia"/>
          <w:lang w:val="en-US" w:eastAsia="zh-CN"/>
        </w:rPr>
      </w:pPr>
    </w:p>
    <w:sectPr>
      <w:footerReference r:id="rId3" w:type="default"/>
      <w:footerReference r:id="rId4" w:type="even"/>
      <w:pgSz w:w="11900" w:h="16840"/>
      <w:pgMar w:top="2098" w:right="1474" w:bottom="1984" w:left="1588" w:header="851" w:footer="1587" w:gutter="0"/>
      <w:cols w:space="72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ÀŒ">
    <w:altName w:val="微软雅黑"/>
    <w:panose1 w:val="00000000000000000000"/>
    <w:charset w:val="00"/>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60" w:leftChars="150" w:right="360" w:rightChars="150"/>
      <w:rPr>
        <w:rStyle w:val="5"/>
        <w:rFonts w:ascii="宋体" w:hAnsi="宋体"/>
        <w:sz w:val="28"/>
        <w:szCs w:val="28"/>
      </w:rPr>
    </w:pPr>
    <w:r>
      <w:rPr>
        <w:rStyle w:val="5"/>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20</w:t>
    </w:r>
    <w:r>
      <w:rPr>
        <w:rFonts w:ascii="宋体" w:hAnsi="宋体"/>
        <w:sz w:val="28"/>
        <w:szCs w:val="28"/>
      </w:rPr>
      <w:fldChar w:fldCharType="end"/>
    </w:r>
    <w:r>
      <w:rPr>
        <w:rStyle w:val="5"/>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revisionView w:markup="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188B"/>
    <w:rsid w:val="00000900"/>
    <w:rsid w:val="000010C0"/>
    <w:rsid w:val="000031E1"/>
    <w:rsid w:val="00003650"/>
    <w:rsid w:val="000036EE"/>
    <w:rsid w:val="00004B65"/>
    <w:rsid w:val="00005C71"/>
    <w:rsid w:val="00006094"/>
    <w:rsid w:val="00006134"/>
    <w:rsid w:val="0000617D"/>
    <w:rsid w:val="00006D35"/>
    <w:rsid w:val="00006E4A"/>
    <w:rsid w:val="000100B2"/>
    <w:rsid w:val="00010E5E"/>
    <w:rsid w:val="00010EEB"/>
    <w:rsid w:val="0001169C"/>
    <w:rsid w:val="0001192C"/>
    <w:rsid w:val="00011962"/>
    <w:rsid w:val="00011F50"/>
    <w:rsid w:val="00012474"/>
    <w:rsid w:val="000137D5"/>
    <w:rsid w:val="00013820"/>
    <w:rsid w:val="00013D1E"/>
    <w:rsid w:val="0001470C"/>
    <w:rsid w:val="000149EC"/>
    <w:rsid w:val="000159CE"/>
    <w:rsid w:val="00016A7D"/>
    <w:rsid w:val="0001766A"/>
    <w:rsid w:val="00017841"/>
    <w:rsid w:val="00017BD8"/>
    <w:rsid w:val="00020B7F"/>
    <w:rsid w:val="00021228"/>
    <w:rsid w:val="00021BDD"/>
    <w:rsid w:val="000221B7"/>
    <w:rsid w:val="00022601"/>
    <w:rsid w:val="00022983"/>
    <w:rsid w:val="00022D01"/>
    <w:rsid w:val="00023367"/>
    <w:rsid w:val="00023829"/>
    <w:rsid w:val="0002431F"/>
    <w:rsid w:val="00025FF9"/>
    <w:rsid w:val="000265F5"/>
    <w:rsid w:val="0002671E"/>
    <w:rsid w:val="00026997"/>
    <w:rsid w:val="00027013"/>
    <w:rsid w:val="000270D7"/>
    <w:rsid w:val="00027729"/>
    <w:rsid w:val="0003099A"/>
    <w:rsid w:val="00030AB5"/>
    <w:rsid w:val="000311A9"/>
    <w:rsid w:val="0003125D"/>
    <w:rsid w:val="00031298"/>
    <w:rsid w:val="0003183D"/>
    <w:rsid w:val="0003199E"/>
    <w:rsid w:val="00031F51"/>
    <w:rsid w:val="00032403"/>
    <w:rsid w:val="0003244F"/>
    <w:rsid w:val="0003289D"/>
    <w:rsid w:val="000329A7"/>
    <w:rsid w:val="00032B55"/>
    <w:rsid w:val="0003344D"/>
    <w:rsid w:val="00034959"/>
    <w:rsid w:val="00034DDE"/>
    <w:rsid w:val="00034ED2"/>
    <w:rsid w:val="00035BA4"/>
    <w:rsid w:val="00035EAC"/>
    <w:rsid w:val="0003652E"/>
    <w:rsid w:val="00037C8A"/>
    <w:rsid w:val="0004047B"/>
    <w:rsid w:val="000410AF"/>
    <w:rsid w:val="000414C5"/>
    <w:rsid w:val="000417FE"/>
    <w:rsid w:val="00041BA2"/>
    <w:rsid w:val="000424B9"/>
    <w:rsid w:val="00044AE6"/>
    <w:rsid w:val="00044B59"/>
    <w:rsid w:val="0004640B"/>
    <w:rsid w:val="0004675F"/>
    <w:rsid w:val="00047807"/>
    <w:rsid w:val="00047F47"/>
    <w:rsid w:val="00050DBE"/>
    <w:rsid w:val="00050F6D"/>
    <w:rsid w:val="00051E7C"/>
    <w:rsid w:val="0005236C"/>
    <w:rsid w:val="0005250F"/>
    <w:rsid w:val="00052C59"/>
    <w:rsid w:val="00052E59"/>
    <w:rsid w:val="00052E83"/>
    <w:rsid w:val="000547B8"/>
    <w:rsid w:val="000562AE"/>
    <w:rsid w:val="00057C7B"/>
    <w:rsid w:val="000601C6"/>
    <w:rsid w:val="0006054B"/>
    <w:rsid w:val="00061BCC"/>
    <w:rsid w:val="00063412"/>
    <w:rsid w:val="000636E0"/>
    <w:rsid w:val="00063F54"/>
    <w:rsid w:val="000646AE"/>
    <w:rsid w:val="000664A9"/>
    <w:rsid w:val="00067971"/>
    <w:rsid w:val="00067B31"/>
    <w:rsid w:val="00067E5F"/>
    <w:rsid w:val="00067FA4"/>
    <w:rsid w:val="0007105B"/>
    <w:rsid w:val="0007273D"/>
    <w:rsid w:val="00073007"/>
    <w:rsid w:val="0007551E"/>
    <w:rsid w:val="0007579F"/>
    <w:rsid w:val="000758D7"/>
    <w:rsid w:val="00076885"/>
    <w:rsid w:val="0007749C"/>
    <w:rsid w:val="000801C0"/>
    <w:rsid w:val="00080231"/>
    <w:rsid w:val="0008046B"/>
    <w:rsid w:val="00080C09"/>
    <w:rsid w:val="00081073"/>
    <w:rsid w:val="00084A1A"/>
    <w:rsid w:val="00084C40"/>
    <w:rsid w:val="00085966"/>
    <w:rsid w:val="00085B07"/>
    <w:rsid w:val="000866A4"/>
    <w:rsid w:val="00086858"/>
    <w:rsid w:val="000873A4"/>
    <w:rsid w:val="00087AC5"/>
    <w:rsid w:val="00087EEE"/>
    <w:rsid w:val="00087F21"/>
    <w:rsid w:val="000909CC"/>
    <w:rsid w:val="00091714"/>
    <w:rsid w:val="000925F7"/>
    <w:rsid w:val="00092838"/>
    <w:rsid w:val="0009332F"/>
    <w:rsid w:val="00093F22"/>
    <w:rsid w:val="00094074"/>
    <w:rsid w:val="000941C5"/>
    <w:rsid w:val="00096397"/>
    <w:rsid w:val="00096BFB"/>
    <w:rsid w:val="000A0A31"/>
    <w:rsid w:val="000A0A70"/>
    <w:rsid w:val="000A0B6A"/>
    <w:rsid w:val="000A1298"/>
    <w:rsid w:val="000A197D"/>
    <w:rsid w:val="000A1B42"/>
    <w:rsid w:val="000A5B31"/>
    <w:rsid w:val="000A60E8"/>
    <w:rsid w:val="000A63D3"/>
    <w:rsid w:val="000A76C2"/>
    <w:rsid w:val="000A78D5"/>
    <w:rsid w:val="000A7AE4"/>
    <w:rsid w:val="000B0145"/>
    <w:rsid w:val="000B1579"/>
    <w:rsid w:val="000B211E"/>
    <w:rsid w:val="000B26FF"/>
    <w:rsid w:val="000B2F27"/>
    <w:rsid w:val="000B3197"/>
    <w:rsid w:val="000B3A87"/>
    <w:rsid w:val="000B3F02"/>
    <w:rsid w:val="000B5FC0"/>
    <w:rsid w:val="000B608A"/>
    <w:rsid w:val="000B6456"/>
    <w:rsid w:val="000B67E5"/>
    <w:rsid w:val="000B6A10"/>
    <w:rsid w:val="000B6B6B"/>
    <w:rsid w:val="000B7585"/>
    <w:rsid w:val="000C0543"/>
    <w:rsid w:val="000C0561"/>
    <w:rsid w:val="000C0C31"/>
    <w:rsid w:val="000C0E0A"/>
    <w:rsid w:val="000C2C69"/>
    <w:rsid w:val="000C33F4"/>
    <w:rsid w:val="000C399D"/>
    <w:rsid w:val="000C42E2"/>
    <w:rsid w:val="000C5541"/>
    <w:rsid w:val="000C6835"/>
    <w:rsid w:val="000C69F2"/>
    <w:rsid w:val="000C7C6E"/>
    <w:rsid w:val="000D006F"/>
    <w:rsid w:val="000D086E"/>
    <w:rsid w:val="000D0B7B"/>
    <w:rsid w:val="000D23F2"/>
    <w:rsid w:val="000D3957"/>
    <w:rsid w:val="000D4811"/>
    <w:rsid w:val="000D4C9E"/>
    <w:rsid w:val="000D618C"/>
    <w:rsid w:val="000D71C8"/>
    <w:rsid w:val="000E03E6"/>
    <w:rsid w:val="000E0D6E"/>
    <w:rsid w:val="000E1C40"/>
    <w:rsid w:val="000E226F"/>
    <w:rsid w:val="000E27A6"/>
    <w:rsid w:val="000E3201"/>
    <w:rsid w:val="000E32F3"/>
    <w:rsid w:val="000E39AA"/>
    <w:rsid w:val="000E712F"/>
    <w:rsid w:val="000F0E6E"/>
    <w:rsid w:val="000F1078"/>
    <w:rsid w:val="000F1241"/>
    <w:rsid w:val="000F1738"/>
    <w:rsid w:val="000F1A69"/>
    <w:rsid w:val="000F1EDE"/>
    <w:rsid w:val="000F2707"/>
    <w:rsid w:val="000F30C8"/>
    <w:rsid w:val="000F3C3D"/>
    <w:rsid w:val="000F4AD1"/>
    <w:rsid w:val="000F4EC1"/>
    <w:rsid w:val="000F53BD"/>
    <w:rsid w:val="000F689F"/>
    <w:rsid w:val="000F71A7"/>
    <w:rsid w:val="00100663"/>
    <w:rsid w:val="001009CA"/>
    <w:rsid w:val="001010E1"/>
    <w:rsid w:val="0010119C"/>
    <w:rsid w:val="00103663"/>
    <w:rsid w:val="0010403F"/>
    <w:rsid w:val="0010447A"/>
    <w:rsid w:val="00104597"/>
    <w:rsid w:val="00105665"/>
    <w:rsid w:val="0011122B"/>
    <w:rsid w:val="001125F6"/>
    <w:rsid w:val="00114B61"/>
    <w:rsid w:val="0011510E"/>
    <w:rsid w:val="001161EB"/>
    <w:rsid w:val="00117324"/>
    <w:rsid w:val="0011759F"/>
    <w:rsid w:val="001179D0"/>
    <w:rsid w:val="00117AA5"/>
    <w:rsid w:val="00117EAF"/>
    <w:rsid w:val="00120E7D"/>
    <w:rsid w:val="0012274A"/>
    <w:rsid w:val="001227FE"/>
    <w:rsid w:val="00123132"/>
    <w:rsid w:val="001236B6"/>
    <w:rsid w:val="00123E7C"/>
    <w:rsid w:val="00124968"/>
    <w:rsid w:val="00125B87"/>
    <w:rsid w:val="001263DB"/>
    <w:rsid w:val="0012670B"/>
    <w:rsid w:val="001267B9"/>
    <w:rsid w:val="00126A6C"/>
    <w:rsid w:val="00126D54"/>
    <w:rsid w:val="001273FE"/>
    <w:rsid w:val="001274D6"/>
    <w:rsid w:val="0013111B"/>
    <w:rsid w:val="00131580"/>
    <w:rsid w:val="00131687"/>
    <w:rsid w:val="001316DE"/>
    <w:rsid w:val="0013171F"/>
    <w:rsid w:val="00132090"/>
    <w:rsid w:val="001323B3"/>
    <w:rsid w:val="00132769"/>
    <w:rsid w:val="00135C8C"/>
    <w:rsid w:val="0013790B"/>
    <w:rsid w:val="001400A4"/>
    <w:rsid w:val="00140B2F"/>
    <w:rsid w:val="0014259C"/>
    <w:rsid w:val="001431C2"/>
    <w:rsid w:val="00144633"/>
    <w:rsid w:val="00145028"/>
    <w:rsid w:val="0014517E"/>
    <w:rsid w:val="001452D3"/>
    <w:rsid w:val="001456E4"/>
    <w:rsid w:val="00147005"/>
    <w:rsid w:val="0015096E"/>
    <w:rsid w:val="00151707"/>
    <w:rsid w:val="00151F40"/>
    <w:rsid w:val="00152A0B"/>
    <w:rsid w:val="001535C5"/>
    <w:rsid w:val="0015415E"/>
    <w:rsid w:val="00154B88"/>
    <w:rsid w:val="00154E8A"/>
    <w:rsid w:val="00155335"/>
    <w:rsid w:val="001558B3"/>
    <w:rsid w:val="00156954"/>
    <w:rsid w:val="00157230"/>
    <w:rsid w:val="00157AFD"/>
    <w:rsid w:val="0016123E"/>
    <w:rsid w:val="001621E2"/>
    <w:rsid w:val="00162BAC"/>
    <w:rsid w:val="00163314"/>
    <w:rsid w:val="001643CF"/>
    <w:rsid w:val="00164CA0"/>
    <w:rsid w:val="0017135A"/>
    <w:rsid w:val="0017137E"/>
    <w:rsid w:val="00172813"/>
    <w:rsid w:val="0017328D"/>
    <w:rsid w:val="00174E65"/>
    <w:rsid w:val="00176146"/>
    <w:rsid w:val="00176A1C"/>
    <w:rsid w:val="00177A49"/>
    <w:rsid w:val="001802EF"/>
    <w:rsid w:val="00181CB9"/>
    <w:rsid w:val="00181DED"/>
    <w:rsid w:val="00182BB2"/>
    <w:rsid w:val="00183421"/>
    <w:rsid w:val="00183C74"/>
    <w:rsid w:val="00183E2A"/>
    <w:rsid w:val="00184290"/>
    <w:rsid w:val="0018457E"/>
    <w:rsid w:val="0018672A"/>
    <w:rsid w:val="001870B4"/>
    <w:rsid w:val="0019144B"/>
    <w:rsid w:val="001915A4"/>
    <w:rsid w:val="00191F29"/>
    <w:rsid w:val="001929DA"/>
    <w:rsid w:val="00192EB4"/>
    <w:rsid w:val="00193732"/>
    <w:rsid w:val="00194070"/>
    <w:rsid w:val="00194204"/>
    <w:rsid w:val="0019433C"/>
    <w:rsid w:val="001945C8"/>
    <w:rsid w:val="00197422"/>
    <w:rsid w:val="00197C00"/>
    <w:rsid w:val="00197CC3"/>
    <w:rsid w:val="00197EEC"/>
    <w:rsid w:val="001A0694"/>
    <w:rsid w:val="001A198A"/>
    <w:rsid w:val="001A32BF"/>
    <w:rsid w:val="001A3881"/>
    <w:rsid w:val="001A3FAE"/>
    <w:rsid w:val="001A4137"/>
    <w:rsid w:val="001A50E3"/>
    <w:rsid w:val="001A52CF"/>
    <w:rsid w:val="001A5FFD"/>
    <w:rsid w:val="001A68DC"/>
    <w:rsid w:val="001A6D9F"/>
    <w:rsid w:val="001A6F40"/>
    <w:rsid w:val="001A7A05"/>
    <w:rsid w:val="001A7EF6"/>
    <w:rsid w:val="001B0234"/>
    <w:rsid w:val="001B11AB"/>
    <w:rsid w:val="001B1A41"/>
    <w:rsid w:val="001B1C74"/>
    <w:rsid w:val="001B23E6"/>
    <w:rsid w:val="001B248F"/>
    <w:rsid w:val="001B346D"/>
    <w:rsid w:val="001B3A18"/>
    <w:rsid w:val="001B3D9F"/>
    <w:rsid w:val="001B4B25"/>
    <w:rsid w:val="001B4F4E"/>
    <w:rsid w:val="001B5957"/>
    <w:rsid w:val="001B5EB7"/>
    <w:rsid w:val="001B71AF"/>
    <w:rsid w:val="001B75B6"/>
    <w:rsid w:val="001C0853"/>
    <w:rsid w:val="001C10F8"/>
    <w:rsid w:val="001C151E"/>
    <w:rsid w:val="001C1DD2"/>
    <w:rsid w:val="001C2E12"/>
    <w:rsid w:val="001C3724"/>
    <w:rsid w:val="001C37FB"/>
    <w:rsid w:val="001C3A7E"/>
    <w:rsid w:val="001C45D6"/>
    <w:rsid w:val="001C49EC"/>
    <w:rsid w:val="001C4FA5"/>
    <w:rsid w:val="001C513B"/>
    <w:rsid w:val="001C6153"/>
    <w:rsid w:val="001C64E0"/>
    <w:rsid w:val="001C7F92"/>
    <w:rsid w:val="001D0EF8"/>
    <w:rsid w:val="001D24EA"/>
    <w:rsid w:val="001D2F12"/>
    <w:rsid w:val="001D328B"/>
    <w:rsid w:val="001D4BDC"/>
    <w:rsid w:val="001D5A98"/>
    <w:rsid w:val="001D686E"/>
    <w:rsid w:val="001D6F5F"/>
    <w:rsid w:val="001D71E6"/>
    <w:rsid w:val="001D74AF"/>
    <w:rsid w:val="001D79F3"/>
    <w:rsid w:val="001E0C02"/>
    <w:rsid w:val="001E18DB"/>
    <w:rsid w:val="001E194B"/>
    <w:rsid w:val="001E209C"/>
    <w:rsid w:val="001E29A4"/>
    <w:rsid w:val="001E2A4C"/>
    <w:rsid w:val="001E3176"/>
    <w:rsid w:val="001E3535"/>
    <w:rsid w:val="001E3582"/>
    <w:rsid w:val="001E42A7"/>
    <w:rsid w:val="001E47FB"/>
    <w:rsid w:val="001E52A4"/>
    <w:rsid w:val="001E5440"/>
    <w:rsid w:val="001E5461"/>
    <w:rsid w:val="001E6DA1"/>
    <w:rsid w:val="001E7407"/>
    <w:rsid w:val="001E77A1"/>
    <w:rsid w:val="001F070E"/>
    <w:rsid w:val="001F0DB0"/>
    <w:rsid w:val="001F1434"/>
    <w:rsid w:val="001F156D"/>
    <w:rsid w:val="001F1995"/>
    <w:rsid w:val="001F1D50"/>
    <w:rsid w:val="001F2BAA"/>
    <w:rsid w:val="001F32E2"/>
    <w:rsid w:val="001F3FE0"/>
    <w:rsid w:val="001F416A"/>
    <w:rsid w:val="001F4240"/>
    <w:rsid w:val="001F55AB"/>
    <w:rsid w:val="00200122"/>
    <w:rsid w:val="0020014C"/>
    <w:rsid w:val="00202589"/>
    <w:rsid w:val="00206365"/>
    <w:rsid w:val="00206604"/>
    <w:rsid w:val="00206DB9"/>
    <w:rsid w:val="00206EDE"/>
    <w:rsid w:val="0020704B"/>
    <w:rsid w:val="002071AC"/>
    <w:rsid w:val="002101FA"/>
    <w:rsid w:val="00210A95"/>
    <w:rsid w:val="00210FEA"/>
    <w:rsid w:val="00211474"/>
    <w:rsid w:val="00211C0A"/>
    <w:rsid w:val="00211EB7"/>
    <w:rsid w:val="00211F3D"/>
    <w:rsid w:val="002127F2"/>
    <w:rsid w:val="00213681"/>
    <w:rsid w:val="00213E0E"/>
    <w:rsid w:val="00213F8B"/>
    <w:rsid w:val="0021413C"/>
    <w:rsid w:val="002143A4"/>
    <w:rsid w:val="0021667A"/>
    <w:rsid w:val="0022005C"/>
    <w:rsid w:val="002208D1"/>
    <w:rsid w:val="00221ADB"/>
    <w:rsid w:val="00222492"/>
    <w:rsid w:val="002225D6"/>
    <w:rsid w:val="00223E15"/>
    <w:rsid w:val="00224989"/>
    <w:rsid w:val="0022498E"/>
    <w:rsid w:val="0022564F"/>
    <w:rsid w:val="00225E67"/>
    <w:rsid w:val="00230182"/>
    <w:rsid w:val="00230866"/>
    <w:rsid w:val="0023222C"/>
    <w:rsid w:val="0023240A"/>
    <w:rsid w:val="002333AC"/>
    <w:rsid w:val="00233FBD"/>
    <w:rsid w:val="0023538A"/>
    <w:rsid w:val="0023595D"/>
    <w:rsid w:val="00235D80"/>
    <w:rsid w:val="002369C8"/>
    <w:rsid w:val="00236BEA"/>
    <w:rsid w:val="002407B2"/>
    <w:rsid w:val="0024124B"/>
    <w:rsid w:val="00241F50"/>
    <w:rsid w:val="0024284F"/>
    <w:rsid w:val="00242F7E"/>
    <w:rsid w:val="00243303"/>
    <w:rsid w:val="0024429B"/>
    <w:rsid w:val="002447DA"/>
    <w:rsid w:val="00244DB9"/>
    <w:rsid w:val="0024530A"/>
    <w:rsid w:val="0024753E"/>
    <w:rsid w:val="002476B6"/>
    <w:rsid w:val="0025014F"/>
    <w:rsid w:val="0025133D"/>
    <w:rsid w:val="002513FF"/>
    <w:rsid w:val="00251AF6"/>
    <w:rsid w:val="00251E29"/>
    <w:rsid w:val="00252130"/>
    <w:rsid w:val="00252628"/>
    <w:rsid w:val="00252850"/>
    <w:rsid w:val="00252CD5"/>
    <w:rsid w:val="00254ED9"/>
    <w:rsid w:val="00255310"/>
    <w:rsid w:val="00257976"/>
    <w:rsid w:val="0026171D"/>
    <w:rsid w:val="00261E40"/>
    <w:rsid w:val="00261F98"/>
    <w:rsid w:val="00262CE3"/>
    <w:rsid w:val="00264E94"/>
    <w:rsid w:val="00264FB2"/>
    <w:rsid w:val="00265575"/>
    <w:rsid w:val="00266817"/>
    <w:rsid w:val="00266B92"/>
    <w:rsid w:val="00266D1A"/>
    <w:rsid w:val="00267359"/>
    <w:rsid w:val="002678FA"/>
    <w:rsid w:val="002713EC"/>
    <w:rsid w:val="002716D7"/>
    <w:rsid w:val="002719DA"/>
    <w:rsid w:val="00272CA8"/>
    <w:rsid w:val="00272EE4"/>
    <w:rsid w:val="00274619"/>
    <w:rsid w:val="0027467D"/>
    <w:rsid w:val="00274C03"/>
    <w:rsid w:val="002750A9"/>
    <w:rsid w:val="00275AA4"/>
    <w:rsid w:val="00276DB7"/>
    <w:rsid w:val="00276EBC"/>
    <w:rsid w:val="0027737D"/>
    <w:rsid w:val="00277F20"/>
    <w:rsid w:val="00280CFF"/>
    <w:rsid w:val="00280F37"/>
    <w:rsid w:val="002819B7"/>
    <w:rsid w:val="00282203"/>
    <w:rsid w:val="002828A1"/>
    <w:rsid w:val="002837D2"/>
    <w:rsid w:val="002845BC"/>
    <w:rsid w:val="00284A1A"/>
    <w:rsid w:val="00284B40"/>
    <w:rsid w:val="00285A38"/>
    <w:rsid w:val="002868DE"/>
    <w:rsid w:val="00286A78"/>
    <w:rsid w:val="00286B68"/>
    <w:rsid w:val="00286ED0"/>
    <w:rsid w:val="0028782C"/>
    <w:rsid w:val="00287A9A"/>
    <w:rsid w:val="00291A5D"/>
    <w:rsid w:val="00291E16"/>
    <w:rsid w:val="00292340"/>
    <w:rsid w:val="0029288F"/>
    <w:rsid w:val="002945B5"/>
    <w:rsid w:val="002947DA"/>
    <w:rsid w:val="00295A58"/>
    <w:rsid w:val="00295C0B"/>
    <w:rsid w:val="002962D8"/>
    <w:rsid w:val="00296A10"/>
    <w:rsid w:val="00297162"/>
    <w:rsid w:val="00297776"/>
    <w:rsid w:val="00297FC1"/>
    <w:rsid w:val="002A17C5"/>
    <w:rsid w:val="002A1890"/>
    <w:rsid w:val="002A3360"/>
    <w:rsid w:val="002A3451"/>
    <w:rsid w:val="002A391A"/>
    <w:rsid w:val="002A467A"/>
    <w:rsid w:val="002A5211"/>
    <w:rsid w:val="002A53C6"/>
    <w:rsid w:val="002A56A7"/>
    <w:rsid w:val="002A7188"/>
    <w:rsid w:val="002A79F4"/>
    <w:rsid w:val="002A7B33"/>
    <w:rsid w:val="002B0349"/>
    <w:rsid w:val="002B1E77"/>
    <w:rsid w:val="002B2380"/>
    <w:rsid w:val="002B2887"/>
    <w:rsid w:val="002B2D53"/>
    <w:rsid w:val="002B36D6"/>
    <w:rsid w:val="002B3C11"/>
    <w:rsid w:val="002B4832"/>
    <w:rsid w:val="002B595F"/>
    <w:rsid w:val="002B6403"/>
    <w:rsid w:val="002B685B"/>
    <w:rsid w:val="002B7F09"/>
    <w:rsid w:val="002C1888"/>
    <w:rsid w:val="002C293E"/>
    <w:rsid w:val="002C30B0"/>
    <w:rsid w:val="002C36B9"/>
    <w:rsid w:val="002C3D07"/>
    <w:rsid w:val="002C3FC1"/>
    <w:rsid w:val="002C4812"/>
    <w:rsid w:val="002C4A80"/>
    <w:rsid w:val="002C7D81"/>
    <w:rsid w:val="002D0C4D"/>
    <w:rsid w:val="002D0C80"/>
    <w:rsid w:val="002D1EAE"/>
    <w:rsid w:val="002D2401"/>
    <w:rsid w:val="002D2B7E"/>
    <w:rsid w:val="002D3153"/>
    <w:rsid w:val="002D3401"/>
    <w:rsid w:val="002D39B0"/>
    <w:rsid w:val="002D3C9F"/>
    <w:rsid w:val="002D4091"/>
    <w:rsid w:val="002D4B41"/>
    <w:rsid w:val="002D611E"/>
    <w:rsid w:val="002D616C"/>
    <w:rsid w:val="002D6430"/>
    <w:rsid w:val="002D7125"/>
    <w:rsid w:val="002D73BC"/>
    <w:rsid w:val="002D74BD"/>
    <w:rsid w:val="002D7967"/>
    <w:rsid w:val="002D7C95"/>
    <w:rsid w:val="002E0CE2"/>
    <w:rsid w:val="002E1F38"/>
    <w:rsid w:val="002E214C"/>
    <w:rsid w:val="002E4B3E"/>
    <w:rsid w:val="002E52A3"/>
    <w:rsid w:val="002E600B"/>
    <w:rsid w:val="002E6373"/>
    <w:rsid w:val="002E67B1"/>
    <w:rsid w:val="002E6995"/>
    <w:rsid w:val="002F1A69"/>
    <w:rsid w:val="002F4198"/>
    <w:rsid w:val="002F4B67"/>
    <w:rsid w:val="002F6A35"/>
    <w:rsid w:val="002F749B"/>
    <w:rsid w:val="002F7866"/>
    <w:rsid w:val="00300084"/>
    <w:rsid w:val="00300B60"/>
    <w:rsid w:val="00302E30"/>
    <w:rsid w:val="003034F6"/>
    <w:rsid w:val="00305057"/>
    <w:rsid w:val="00306957"/>
    <w:rsid w:val="003069E4"/>
    <w:rsid w:val="00306D53"/>
    <w:rsid w:val="00306FE1"/>
    <w:rsid w:val="00307C22"/>
    <w:rsid w:val="0031113B"/>
    <w:rsid w:val="00311711"/>
    <w:rsid w:val="003117ED"/>
    <w:rsid w:val="00312275"/>
    <w:rsid w:val="00312396"/>
    <w:rsid w:val="0031257C"/>
    <w:rsid w:val="00312DA5"/>
    <w:rsid w:val="003140E1"/>
    <w:rsid w:val="00315582"/>
    <w:rsid w:val="003160B4"/>
    <w:rsid w:val="0031770E"/>
    <w:rsid w:val="00317D9E"/>
    <w:rsid w:val="00317DCB"/>
    <w:rsid w:val="0032005E"/>
    <w:rsid w:val="003211B4"/>
    <w:rsid w:val="0032135D"/>
    <w:rsid w:val="003213ED"/>
    <w:rsid w:val="0032252E"/>
    <w:rsid w:val="00322C0F"/>
    <w:rsid w:val="00323334"/>
    <w:rsid w:val="003234C9"/>
    <w:rsid w:val="003236AB"/>
    <w:rsid w:val="00323ECB"/>
    <w:rsid w:val="003248A0"/>
    <w:rsid w:val="00324A5F"/>
    <w:rsid w:val="00325118"/>
    <w:rsid w:val="00330FFB"/>
    <w:rsid w:val="00331B89"/>
    <w:rsid w:val="00331E7A"/>
    <w:rsid w:val="00332DCA"/>
    <w:rsid w:val="00333739"/>
    <w:rsid w:val="00333FDB"/>
    <w:rsid w:val="00334140"/>
    <w:rsid w:val="00336FE4"/>
    <w:rsid w:val="00337419"/>
    <w:rsid w:val="00341238"/>
    <w:rsid w:val="003417CE"/>
    <w:rsid w:val="00341FB4"/>
    <w:rsid w:val="003428C7"/>
    <w:rsid w:val="00343B88"/>
    <w:rsid w:val="00344A17"/>
    <w:rsid w:val="00347238"/>
    <w:rsid w:val="00350329"/>
    <w:rsid w:val="0035078B"/>
    <w:rsid w:val="00350AD9"/>
    <w:rsid w:val="00351712"/>
    <w:rsid w:val="0035264A"/>
    <w:rsid w:val="00352AB9"/>
    <w:rsid w:val="003539B5"/>
    <w:rsid w:val="00354005"/>
    <w:rsid w:val="0035470E"/>
    <w:rsid w:val="00354EF8"/>
    <w:rsid w:val="00355D25"/>
    <w:rsid w:val="003615EC"/>
    <w:rsid w:val="00361813"/>
    <w:rsid w:val="00362319"/>
    <w:rsid w:val="00363FC0"/>
    <w:rsid w:val="00364ED8"/>
    <w:rsid w:val="0036514D"/>
    <w:rsid w:val="00365393"/>
    <w:rsid w:val="0036687B"/>
    <w:rsid w:val="00366A5C"/>
    <w:rsid w:val="003716AE"/>
    <w:rsid w:val="00371BFC"/>
    <w:rsid w:val="003727CC"/>
    <w:rsid w:val="003743F5"/>
    <w:rsid w:val="00374590"/>
    <w:rsid w:val="00374676"/>
    <w:rsid w:val="0037557A"/>
    <w:rsid w:val="00375E0D"/>
    <w:rsid w:val="00377AFB"/>
    <w:rsid w:val="00380210"/>
    <w:rsid w:val="0038117F"/>
    <w:rsid w:val="00381A1D"/>
    <w:rsid w:val="00381A86"/>
    <w:rsid w:val="00381C10"/>
    <w:rsid w:val="00381F31"/>
    <w:rsid w:val="003820D5"/>
    <w:rsid w:val="00383548"/>
    <w:rsid w:val="0038393C"/>
    <w:rsid w:val="003845E6"/>
    <w:rsid w:val="00384E15"/>
    <w:rsid w:val="0038525D"/>
    <w:rsid w:val="00385A0E"/>
    <w:rsid w:val="0038683B"/>
    <w:rsid w:val="00386C5F"/>
    <w:rsid w:val="00386CAE"/>
    <w:rsid w:val="003870FD"/>
    <w:rsid w:val="003871D9"/>
    <w:rsid w:val="003872E0"/>
    <w:rsid w:val="00387B23"/>
    <w:rsid w:val="00390C66"/>
    <w:rsid w:val="00390FCA"/>
    <w:rsid w:val="003919DE"/>
    <w:rsid w:val="003921AE"/>
    <w:rsid w:val="0039254C"/>
    <w:rsid w:val="00392B6C"/>
    <w:rsid w:val="00393542"/>
    <w:rsid w:val="00393AD3"/>
    <w:rsid w:val="0039432C"/>
    <w:rsid w:val="00394BE9"/>
    <w:rsid w:val="00394E40"/>
    <w:rsid w:val="003950DA"/>
    <w:rsid w:val="00395C0F"/>
    <w:rsid w:val="00395D63"/>
    <w:rsid w:val="0039656C"/>
    <w:rsid w:val="003A06CD"/>
    <w:rsid w:val="003A09F4"/>
    <w:rsid w:val="003A3524"/>
    <w:rsid w:val="003A4CA7"/>
    <w:rsid w:val="003A69EA"/>
    <w:rsid w:val="003A7AEA"/>
    <w:rsid w:val="003A7E50"/>
    <w:rsid w:val="003B1566"/>
    <w:rsid w:val="003B17A8"/>
    <w:rsid w:val="003B33C7"/>
    <w:rsid w:val="003B3C86"/>
    <w:rsid w:val="003B4AFE"/>
    <w:rsid w:val="003B5424"/>
    <w:rsid w:val="003B7AF1"/>
    <w:rsid w:val="003C0116"/>
    <w:rsid w:val="003C1296"/>
    <w:rsid w:val="003C1362"/>
    <w:rsid w:val="003C1A09"/>
    <w:rsid w:val="003C20BD"/>
    <w:rsid w:val="003C20EC"/>
    <w:rsid w:val="003C24BC"/>
    <w:rsid w:val="003C2BB1"/>
    <w:rsid w:val="003C359E"/>
    <w:rsid w:val="003C3B03"/>
    <w:rsid w:val="003C4166"/>
    <w:rsid w:val="003C64B9"/>
    <w:rsid w:val="003C683F"/>
    <w:rsid w:val="003C69C0"/>
    <w:rsid w:val="003C73CF"/>
    <w:rsid w:val="003C77DE"/>
    <w:rsid w:val="003C79BC"/>
    <w:rsid w:val="003D033E"/>
    <w:rsid w:val="003D0CE1"/>
    <w:rsid w:val="003D0E45"/>
    <w:rsid w:val="003D149D"/>
    <w:rsid w:val="003D1D63"/>
    <w:rsid w:val="003D367A"/>
    <w:rsid w:val="003D37A9"/>
    <w:rsid w:val="003D4890"/>
    <w:rsid w:val="003D4DED"/>
    <w:rsid w:val="003D4E32"/>
    <w:rsid w:val="003D513B"/>
    <w:rsid w:val="003D56D7"/>
    <w:rsid w:val="003D5D65"/>
    <w:rsid w:val="003D6878"/>
    <w:rsid w:val="003D76DF"/>
    <w:rsid w:val="003E01A5"/>
    <w:rsid w:val="003E06C9"/>
    <w:rsid w:val="003E1D10"/>
    <w:rsid w:val="003E3692"/>
    <w:rsid w:val="003E3728"/>
    <w:rsid w:val="003E5BB5"/>
    <w:rsid w:val="003E675E"/>
    <w:rsid w:val="003E780D"/>
    <w:rsid w:val="003F02EF"/>
    <w:rsid w:val="003F0CD0"/>
    <w:rsid w:val="003F2A67"/>
    <w:rsid w:val="003F3753"/>
    <w:rsid w:val="003F3F9C"/>
    <w:rsid w:val="003F7685"/>
    <w:rsid w:val="004000DC"/>
    <w:rsid w:val="00400353"/>
    <w:rsid w:val="004044B5"/>
    <w:rsid w:val="00405436"/>
    <w:rsid w:val="00405A24"/>
    <w:rsid w:val="00405FF7"/>
    <w:rsid w:val="00406535"/>
    <w:rsid w:val="004066A3"/>
    <w:rsid w:val="004069FF"/>
    <w:rsid w:val="00406C21"/>
    <w:rsid w:val="00406E56"/>
    <w:rsid w:val="00407177"/>
    <w:rsid w:val="00411A29"/>
    <w:rsid w:val="00411A59"/>
    <w:rsid w:val="00412D96"/>
    <w:rsid w:val="00412E58"/>
    <w:rsid w:val="0041360D"/>
    <w:rsid w:val="004148ED"/>
    <w:rsid w:val="00415B34"/>
    <w:rsid w:val="004178E5"/>
    <w:rsid w:val="004207A9"/>
    <w:rsid w:val="00420B71"/>
    <w:rsid w:val="0042184E"/>
    <w:rsid w:val="00421D3E"/>
    <w:rsid w:val="004220DD"/>
    <w:rsid w:val="00423064"/>
    <w:rsid w:val="004241F1"/>
    <w:rsid w:val="00424467"/>
    <w:rsid w:val="00424DC8"/>
    <w:rsid w:val="00424ECE"/>
    <w:rsid w:val="00424F29"/>
    <w:rsid w:val="004253AD"/>
    <w:rsid w:val="00425421"/>
    <w:rsid w:val="00425C4F"/>
    <w:rsid w:val="0042669C"/>
    <w:rsid w:val="004305A6"/>
    <w:rsid w:val="004310CF"/>
    <w:rsid w:val="004315FD"/>
    <w:rsid w:val="00431922"/>
    <w:rsid w:val="00431AB7"/>
    <w:rsid w:val="004320F2"/>
    <w:rsid w:val="00432228"/>
    <w:rsid w:val="00432D20"/>
    <w:rsid w:val="00433555"/>
    <w:rsid w:val="00433A98"/>
    <w:rsid w:val="004340F2"/>
    <w:rsid w:val="00434749"/>
    <w:rsid w:val="00434F13"/>
    <w:rsid w:val="0043537C"/>
    <w:rsid w:val="0043680E"/>
    <w:rsid w:val="00436D5E"/>
    <w:rsid w:val="004407D7"/>
    <w:rsid w:val="00440FF3"/>
    <w:rsid w:val="004415B8"/>
    <w:rsid w:val="00442499"/>
    <w:rsid w:val="00442711"/>
    <w:rsid w:val="0044271D"/>
    <w:rsid w:val="00442EB8"/>
    <w:rsid w:val="004430A6"/>
    <w:rsid w:val="00443216"/>
    <w:rsid w:val="00443534"/>
    <w:rsid w:val="004444C8"/>
    <w:rsid w:val="00446548"/>
    <w:rsid w:val="0044700A"/>
    <w:rsid w:val="004477EA"/>
    <w:rsid w:val="00447C31"/>
    <w:rsid w:val="00447ED3"/>
    <w:rsid w:val="004504DC"/>
    <w:rsid w:val="00450744"/>
    <w:rsid w:val="004507BD"/>
    <w:rsid w:val="00451B51"/>
    <w:rsid w:val="00451CDA"/>
    <w:rsid w:val="00452624"/>
    <w:rsid w:val="00452CBF"/>
    <w:rsid w:val="00453419"/>
    <w:rsid w:val="004540F7"/>
    <w:rsid w:val="00454504"/>
    <w:rsid w:val="004552BE"/>
    <w:rsid w:val="00455615"/>
    <w:rsid w:val="004563B8"/>
    <w:rsid w:val="004566A7"/>
    <w:rsid w:val="004566E8"/>
    <w:rsid w:val="00456819"/>
    <w:rsid w:val="00456D60"/>
    <w:rsid w:val="00456E54"/>
    <w:rsid w:val="00457194"/>
    <w:rsid w:val="004574C1"/>
    <w:rsid w:val="00460007"/>
    <w:rsid w:val="00460A6B"/>
    <w:rsid w:val="00461012"/>
    <w:rsid w:val="00462483"/>
    <w:rsid w:val="00462C4C"/>
    <w:rsid w:val="0046400A"/>
    <w:rsid w:val="004650B3"/>
    <w:rsid w:val="00465E2E"/>
    <w:rsid w:val="00466645"/>
    <w:rsid w:val="00466AE5"/>
    <w:rsid w:val="00467447"/>
    <w:rsid w:val="00470A47"/>
    <w:rsid w:val="00470BFD"/>
    <w:rsid w:val="00470F9B"/>
    <w:rsid w:val="0047105E"/>
    <w:rsid w:val="00471825"/>
    <w:rsid w:val="00471C50"/>
    <w:rsid w:val="0047246F"/>
    <w:rsid w:val="00472A34"/>
    <w:rsid w:val="00472BCA"/>
    <w:rsid w:val="0047363A"/>
    <w:rsid w:val="00473C60"/>
    <w:rsid w:val="00473EF7"/>
    <w:rsid w:val="00474DEF"/>
    <w:rsid w:val="00475FA4"/>
    <w:rsid w:val="00477536"/>
    <w:rsid w:val="00477703"/>
    <w:rsid w:val="00483055"/>
    <w:rsid w:val="004832BA"/>
    <w:rsid w:val="0048392A"/>
    <w:rsid w:val="00483B47"/>
    <w:rsid w:val="00484107"/>
    <w:rsid w:val="004850B6"/>
    <w:rsid w:val="004850DB"/>
    <w:rsid w:val="0048517C"/>
    <w:rsid w:val="00485594"/>
    <w:rsid w:val="00485715"/>
    <w:rsid w:val="00485FA6"/>
    <w:rsid w:val="00486EE9"/>
    <w:rsid w:val="00491621"/>
    <w:rsid w:val="00494C2A"/>
    <w:rsid w:val="00496154"/>
    <w:rsid w:val="00496B04"/>
    <w:rsid w:val="00496B7A"/>
    <w:rsid w:val="00497F6A"/>
    <w:rsid w:val="004A1009"/>
    <w:rsid w:val="004A1447"/>
    <w:rsid w:val="004A162D"/>
    <w:rsid w:val="004A1A0A"/>
    <w:rsid w:val="004A32C5"/>
    <w:rsid w:val="004A3EBE"/>
    <w:rsid w:val="004A3F68"/>
    <w:rsid w:val="004A4B36"/>
    <w:rsid w:val="004A58B6"/>
    <w:rsid w:val="004A74EB"/>
    <w:rsid w:val="004A77FC"/>
    <w:rsid w:val="004A7A5D"/>
    <w:rsid w:val="004B0D22"/>
    <w:rsid w:val="004B143B"/>
    <w:rsid w:val="004B2FF8"/>
    <w:rsid w:val="004B35E1"/>
    <w:rsid w:val="004B383C"/>
    <w:rsid w:val="004B39F5"/>
    <w:rsid w:val="004B3C66"/>
    <w:rsid w:val="004B4078"/>
    <w:rsid w:val="004B4A7D"/>
    <w:rsid w:val="004B5B2E"/>
    <w:rsid w:val="004B6B72"/>
    <w:rsid w:val="004B6E44"/>
    <w:rsid w:val="004B736B"/>
    <w:rsid w:val="004B7579"/>
    <w:rsid w:val="004B7E38"/>
    <w:rsid w:val="004C03E4"/>
    <w:rsid w:val="004C10D5"/>
    <w:rsid w:val="004C131A"/>
    <w:rsid w:val="004C1827"/>
    <w:rsid w:val="004C2414"/>
    <w:rsid w:val="004C2F78"/>
    <w:rsid w:val="004C3817"/>
    <w:rsid w:val="004C382D"/>
    <w:rsid w:val="004C3F3D"/>
    <w:rsid w:val="004C40FB"/>
    <w:rsid w:val="004C49D2"/>
    <w:rsid w:val="004C5964"/>
    <w:rsid w:val="004C715C"/>
    <w:rsid w:val="004C76C1"/>
    <w:rsid w:val="004D055C"/>
    <w:rsid w:val="004D0B09"/>
    <w:rsid w:val="004D1F89"/>
    <w:rsid w:val="004D2265"/>
    <w:rsid w:val="004D2AA3"/>
    <w:rsid w:val="004D367F"/>
    <w:rsid w:val="004D5DB5"/>
    <w:rsid w:val="004D7053"/>
    <w:rsid w:val="004D7562"/>
    <w:rsid w:val="004D7CF2"/>
    <w:rsid w:val="004D7E35"/>
    <w:rsid w:val="004E0AF6"/>
    <w:rsid w:val="004E19FF"/>
    <w:rsid w:val="004E2C9A"/>
    <w:rsid w:val="004E2CAA"/>
    <w:rsid w:val="004E2CEC"/>
    <w:rsid w:val="004E3135"/>
    <w:rsid w:val="004E3154"/>
    <w:rsid w:val="004E3432"/>
    <w:rsid w:val="004E3D90"/>
    <w:rsid w:val="004E3E58"/>
    <w:rsid w:val="004E41B4"/>
    <w:rsid w:val="004E428F"/>
    <w:rsid w:val="004E4295"/>
    <w:rsid w:val="004E5726"/>
    <w:rsid w:val="004E7164"/>
    <w:rsid w:val="004E736A"/>
    <w:rsid w:val="004F010B"/>
    <w:rsid w:val="004F0E20"/>
    <w:rsid w:val="004F1626"/>
    <w:rsid w:val="004F1888"/>
    <w:rsid w:val="004F1BCE"/>
    <w:rsid w:val="004F45E2"/>
    <w:rsid w:val="004F4D8F"/>
    <w:rsid w:val="004F50FC"/>
    <w:rsid w:val="004F567E"/>
    <w:rsid w:val="004F5AE2"/>
    <w:rsid w:val="004F5D32"/>
    <w:rsid w:val="004F6EF5"/>
    <w:rsid w:val="0050046D"/>
    <w:rsid w:val="0050067E"/>
    <w:rsid w:val="00500944"/>
    <w:rsid w:val="00500A08"/>
    <w:rsid w:val="00500D20"/>
    <w:rsid w:val="0050171F"/>
    <w:rsid w:val="00501BB1"/>
    <w:rsid w:val="005020F9"/>
    <w:rsid w:val="00502E08"/>
    <w:rsid w:val="0050331C"/>
    <w:rsid w:val="00503A0E"/>
    <w:rsid w:val="00503E24"/>
    <w:rsid w:val="0050411B"/>
    <w:rsid w:val="005043B1"/>
    <w:rsid w:val="00504BC9"/>
    <w:rsid w:val="0050636C"/>
    <w:rsid w:val="005073CC"/>
    <w:rsid w:val="00507518"/>
    <w:rsid w:val="00510157"/>
    <w:rsid w:val="0051102A"/>
    <w:rsid w:val="00513291"/>
    <w:rsid w:val="00514657"/>
    <w:rsid w:val="005162F3"/>
    <w:rsid w:val="005176DB"/>
    <w:rsid w:val="00520FBB"/>
    <w:rsid w:val="00521E0F"/>
    <w:rsid w:val="00522606"/>
    <w:rsid w:val="005230B1"/>
    <w:rsid w:val="00523D5C"/>
    <w:rsid w:val="0052522F"/>
    <w:rsid w:val="0052700B"/>
    <w:rsid w:val="0052736B"/>
    <w:rsid w:val="00531217"/>
    <w:rsid w:val="00531F6F"/>
    <w:rsid w:val="00532F6C"/>
    <w:rsid w:val="00534232"/>
    <w:rsid w:val="00535CE6"/>
    <w:rsid w:val="00536935"/>
    <w:rsid w:val="00536CF1"/>
    <w:rsid w:val="0053756A"/>
    <w:rsid w:val="00537A23"/>
    <w:rsid w:val="005405A1"/>
    <w:rsid w:val="00541182"/>
    <w:rsid w:val="005414DA"/>
    <w:rsid w:val="005414E0"/>
    <w:rsid w:val="005422EB"/>
    <w:rsid w:val="00542DBB"/>
    <w:rsid w:val="00543394"/>
    <w:rsid w:val="005434C0"/>
    <w:rsid w:val="00543EE6"/>
    <w:rsid w:val="0054603F"/>
    <w:rsid w:val="00546A80"/>
    <w:rsid w:val="00546E75"/>
    <w:rsid w:val="00550A74"/>
    <w:rsid w:val="00551331"/>
    <w:rsid w:val="005514BE"/>
    <w:rsid w:val="00551C41"/>
    <w:rsid w:val="00551E0D"/>
    <w:rsid w:val="00552029"/>
    <w:rsid w:val="00552245"/>
    <w:rsid w:val="00552897"/>
    <w:rsid w:val="00553602"/>
    <w:rsid w:val="0055366A"/>
    <w:rsid w:val="005537A7"/>
    <w:rsid w:val="005544D2"/>
    <w:rsid w:val="00554D69"/>
    <w:rsid w:val="00555907"/>
    <w:rsid w:val="00557B9E"/>
    <w:rsid w:val="00560F5C"/>
    <w:rsid w:val="00561B2D"/>
    <w:rsid w:val="00562E98"/>
    <w:rsid w:val="00563F3B"/>
    <w:rsid w:val="00564EE5"/>
    <w:rsid w:val="005650E9"/>
    <w:rsid w:val="00567A2B"/>
    <w:rsid w:val="005702F2"/>
    <w:rsid w:val="005703F8"/>
    <w:rsid w:val="00570F5D"/>
    <w:rsid w:val="0057149E"/>
    <w:rsid w:val="00572029"/>
    <w:rsid w:val="00572A2A"/>
    <w:rsid w:val="00574147"/>
    <w:rsid w:val="0057462A"/>
    <w:rsid w:val="00574716"/>
    <w:rsid w:val="00574B85"/>
    <w:rsid w:val="00575AF0"/>
    <w:rsid w:val="0057678E"/>
    <w:rsid w:val="00580430"/>
    <w:rsid w:val="00580AC1"/>
    <w:rsid w:val="00581335"/>
    <w:rsid w:val="00581764"/>
    <w:rsid w:val="00582648"/>
    <w:rsid w:val="00582A29"/>
    <w:rsid w:val="00582FEB"/>
    <w:rsid w:val="00583924"/>
    <w:rsid w:val="00583B31"/>
    <w:rsid w:val="00583EF5"/>
    <w:rsid w:val="0058457A"/>
    <w:rsid w:val="00584D6F"/>
    <w:rsid w:val="005852E5"/>
    <w:rsid w:val="00585AB3"/>
    <w:rsid w:val="00586164"/>
    <w:rsid w:val="00586B70"/>
    <w:rsid w:val="00586FC9"/>
    <w:rsid w:val="00587D37"/>
    <w:rsid w:val="00591158"/>
    <w:rsid w:val="00591611"/>
    <w:rsid w:val="00591E03"/>
    <w:rsid w:val="00593E86"/>
    <w:rsid w:val="00594651"/>
    <w:rsid w:val="00595AE6"/>
    <w:rsid w:val="005A0BEB"/>
    <w:rsid w:val="005A0EFA"/>
    <w:rsid w:val="005A1454"/>
    <w:rsid w:val="005A2D4D"/>
    <w:rsid w:val="005A372F"/>
    <w:rsid w:val="005A4B68"/>
    <w:rsid w:val="005A76A9"/>
    <w:rsid w:val="005B0B81"/>
    <w:rsid w:val="005B0EE2"/>
    <w:rsid w:val="005B2089"/>
    <w:rsid w:val="005B23E5"/>
    <w:rsid w:val="005B3063"/>
    <w:rsid w:val="005B3190"/>
    <w:rsid w:val="005B4C6A"/>
    <w:rsid w:val="005B5567"/>
    <w:rsid w:val="005B7D74"/>
    <w:rsid w:val="005C12A7"/>
    <w:rsid w:val="005C1441"/>
    <w:rsid w:val="005C16C2"/>
    <w:rsid w:val="005C1DBA"/>
    <w:rsid w:val="005C4896"/>
    <w:rsid w:val="005C4C07"/>
    <w:rsid w:val="005C5981"/>
    <w:rsid w:val="005C5ABD"/>
    <w:rsid w:val="005C5FCF"/>
    <w:rsid w:val="005C6E4D"/>
    <w:rsid w:val="005D08B8"/>
    <w:rsid w:val="005D0E5A"/>
    <w:rsid w:val="005D1F93"/>
    <w:rsid w:val="005D3E70"/>
    <w:rsid w:val="005D5694"/>
    <w:rsid w:val="005D5969"/>
    <w:rsid w:val="005D5BE7"/>
    <w:rsid w:val="005D6335"/>
    <w:rsid w:val="005D6424"/>
    <w:rsid w:val="005D7F17"/>
    <w:rsid w:val="005E09FA"/>
    <w:rsid w:val="005E16A9"/>
    <w:rsid w:val="005E2D84"/>
    <w:rsid w:val="005E3C51"/>
    <w:rsid w:val="005E4382"/>
    <w:rsid w:val="005E5983"/>
    <w:rsid w:val="005E5B91"/>
    <w:rsid w:val="005E63F8"/>
    <w:rsid w:val="005E6717"/>
    <w:rsid w:val="005E73CC"/>
    <w:rsid w:val="005F0C41"/>
    <w:rsid w:val="005F0FC4"/>
    <w:rsid w:val="005F18C1"/>
    <w:rsid w:val="005F227B"/>
    <w:rsid w:val="005F3337"/>
    <w:rsid w:val="005F4E9A"/>
    <w:rsid w:val="005F5DD5"/>
    <w:rsid w:val="005F6C55"/>
    <w:rsid w:val="005F7115"/>
    <w:rsid w:val="005F7B2F"/>
    <w:rsid w:val="006004B5"/>
    <w:rsid w:val="00600754"/>
    <w:rsid w:val="00600F35"/>
    <w:rsid w:val="00600F69"/>
    <w:rsid w:val="006024D2"/>
    <w:rsid w:val="006027E0"/>
    <w:rsid w:val="00602C4A"/>
    <w:rsid w:val="00603358"/>
    <w:rsid w:val="006041A9"/>
    <w:rsid w:val="0060535B"/>
    <w:rsid w:val="00605501"/>
    <w:rsid w:val="00605D59"/>
    <w:rsid w:val="00605F71"/>
    <w:rsid w:val="0060647D"/>
    <w:rsid w:val="006069AD"/>
    <w:rsid w:val="00607604"/>
    <w:rsid w:val="0060776A"/>
    <w:rsid w:val="00610102"/>
    <w:rsid w:val="00610AAC"/>
    <w:rsid w:val="00610B52"/>
    <w:rsid w:val="00611A4B"/>
    <w:rsid w:val="00612E5C"/>
    <w:rsid w:val="00613953"/>
    <w:rsid w:val="00613B52"/>
    <w:rsid w:val="00613E63"/>
    <w:rsid w:val="00614120"/>
    <w:rsid w:val="00614ECF"/>
    <w:rsid w:val="006153BF"/>
    <w:rsid w:val="00615B17"/>
    <w:rsid w:val="00615C62"/>
    <w:rsid w:val="0061619F"/>
    <w:rsid w:val="00616C42"/>
    <w:rsid w:val="00620459"/>
    <w:rsid w:val="00620AD3"/>
    <w:rsid w:val="00621194"/>
    <w:rsid w:val="00621422"/>
    <w:rsid w:val="00621EA4"/>
    <w:rsid w:val="00622F2B"/>
    <w:rsid w:val="00623583"/>
    <w:rsid w:val="00624950"/>
    <w:rsid w:val="00624D46"/>
    <w:rsid w:val="00624F2B"/>
    <w:rsid w:val="006261B8"/>
    <w:rsid w:val="006270B1"/>
    <w:rsid w:val="00630CE1"/>
    <w:rsid w:val="0063131C"/>
    <w:rsid w:val="00632F94"/>
    <w:rsid w:val="00633708"/>
    <w:rsid w:val="00633AC7"/>
    <w:rsid w:val="0063491F"/>
    <w:rsid w:val="00634ED9"/>
    <w:rsid w:val="0063545A"/>
    <w:rsid w:val="006366D2"/>
    <w:rsid w:val="00640851"/>
    <w:rsid w:val="00641D7D"/>
    <w:rsid w:val="006424B2"/>
    <w:rsid w:val="00642887"/>
    <w:rsid w:val="00643756"/>
    <w:rsid w:val="00643D5D"/>
    <w:rsid w:val="00644554"/>
    <w:rsid w:val="006447DC"/>
    <w:rsid w:val="00644B95"/>
    <w:rsid w:val="00644DEC"/>
    <w:rsid w:val="00645233"/>
    <w:rsid w:val="0064572C"/>
    <w:rsid w:val="0064584C"/>
    <w:rsid w:val="00645C1B"/>
    <w:rsid w:val="00646BC8"/>
    <w:rsid w:val="00646C7A"/>
    <w:rsid w:val="00647EE4"/>
    <w:rsid w:val="0065005B"/>
    <w:rsid w:val="00651F81"/>
    <w:rsid w:val="00652587"/>
    <w:rsid w:val="00652FEC"/>
    <w:rsid w:val="006534F4"/>
    <w:rsid w:val="0065452A"/>
    <w:rsid w:val="006551AB"/>
    <w:rsid w:val="00656F02"/>
    <w:rsid w:val="00656FC8"/>
    <w:rsid w:val="00660704"/>
    <w:rsid w:val="00661D10"/>
    <w:rsid w:val="006625AF"/>
    <w:rsid w:val="00663711"/>
    <w:rsid w:val="00663D65"/>
    <w:rsid w:val="0066462C"/>
    <w:rsid w:val="0066557C"/>
    <w:rsid w:val="00665917"/>
    <w:rsid w:val="0066688D"/>
    <w:rsid w:val="00666ADB"/>
    <w:rsid w:val="006678B7"/>
    <w:rsid w:val="00667B53"/>
    <w:rsid w:val="00667C7C"/>
    <w:rsid w:val="006714AF"/>
    <w:rsid w:val="0067279C"/>
    <w:rsid w:val="00672D1C"/>
    <w:rsid w:val="0067334C"/>
    <w:rsid w:val="00673BDF"/>
    <w:rsid w:val="00673DBB"/>
    <w:rsid w:val="0067410C"/>
    <w:rsid w:val="0067455E"/>
    <w:rsid w:val="00674B02"/>
    <w:rsid w:val="00675F2C"/>
    <w:rsid w:val="00676773"/>
    <w:rsid w:val="0067690E"/>
    <w:rsid w:val="00677089"/>
    <w:rsid w:val="006801E5"/>
    <w:rsid w:val="006807E9"/>
    <w:rsid w:val="00682B44"/>
    <w:rsid w:val="0068345F"/>
    <w:rsid w:val="00683B64"/>
    <w:rsid w:val="006845CB"/>
    <w:rsid w:val="00684917"/>
    <w:rsid w:val="00684C82"/>
    <w:rsid w:val="00685BCE"/>
    <w:rsid w:val="00687667"/>
    <w:rsid w:val="00690A76"/>
    <w:rsid w:val="0069138E"/>
    <w:rsid w:val="00691687"/>
    <w:rsid w:val="00691A78"/>
    <w:rsid w:val="00692226"/>
    <w:rsid w:val="0069379A"/>
    <w:rsid w:val="00693835"/>
    <w:rsid w:val="00694559"/>
    <w:rsid w:val="0069524E"/>
    <w:rsid w:val="006960EE"/>
    <w:rsid w:val="00696178"/>
    <w:rsid w:val="006962C0"/>
    <w:rsid w:val="00696E1D"/>
    <w:rsid w:val="006A0398"/>
    <w:rsid w:val="006A114F"/>
    <w:rsid w:val="006A2187"/>
    <w:rsid w:val="006A22EB"/>
    <w:rsid w:val="006A2A7B"/>
    <w:rsid w:val="006A2BD3"/>
    <w:rsid w:val="006A2E25"/>
    <w:rsid w:val="006A365F"/>
    <w:rsid w:val="006A479B"/>
    <w:rsid w:val="006A4BF3"/>
    <w:rsid w:val="006A5CFF"/>
    <w:rsid w:val="006A6F61"/>
    <w:rsid w:val="006A75A4"/>
    <w:rsid w:val="006B0079"/>
    <w:rsid w:val="006B0912"/>
    <w:rsid w:val="006B1C8B"/>
    <w:rsid w:val="006B234B"/>
    <w:rsid w:val="006B2AF0"/>
    <w:rsid w:val="006B2CD8"/>
    <w:rsid w:val="006B339C"/>
    <w:rsid w:val="006B33F7"/>
    <w:rsid w:val="006B37A9"/>
    <w:rsid w:val="006B38FA"/>
    <w:rsid w:val="006B3FB0"/>
    <w:rsid w:val="006B4109"/>
    <w:rsid w:val="006B4186"/>
    <w:rsid w:val="006B4B16"/>
    <w:rsid w:val="006B4D57"/>
    <w:rsid w:val="006B4E51"/>
    <w:rsid w:val="006B510C"/>
    <w:rsid w:val="006B51E5"/>
    <w:rsid w:val="006B52BF"/>
    <w:rsid w:val="006B611E"/>
    <w:rsid w:val="006B77D3"/>
    <w:rsid w:val="006B79B5"/>
    <w:rsid w:val="006B7D19"/>
    <w:rsid w:val="006C035A"/>
    <w:rsid w:val="006C0BFD"/>
    <w:rsid w:val="006C162E"/>
    <w:rsid w:val="006C3533"/>
    <w:rsid w:val="006C35A8"/>
    <w:rsid w:val="006C37DC"/>
    <w:rsid w:val="006C37EA"/>
    <w:rsid w:val="006C38ED"/>
    <w:rsid w:val="006C432D"/>
    <w:rsid w:val="006C564B"/>
    <w:rsid w:val="006C5795"/>
    <w:rsid w:val="006C5E84"/>
    <w:rsid w:val="006C6DB1"/>
    <w:rsid w:val="006C7924"/>
    <w:rsid w:val="006D0339"/>
    <w:rsid w:val="006D1043"/>
    <w:rsid w:val="006D113B"/>
    <w:rsid w:val="006D1E3A"/>
    <w:rsid w:val="006D23F5"/>
    <w:rsid w:val="006D2481"/>
    <w:rsid w:val="006D29D2"/>
    <w:rsid w:val="006D2F11"/>
    <w:rsid w:val="006D4422"/>
    <w:rsid w:val="006D48DC"/>
    <w:rsid w:val="006D5666"/>
    <w:rsid w:val="006D58E7"/>
    <w:rsid w:val="006D6AE9"/>
    <w:rsid w:val="006D6BCB"/>
    <w:rsid w:val="006D6CDF"/>
    <w:rsid w:val="006D6F0B"/>
    <w:rsid w:val="006D7B4C"/>
    <w:rsid w:val="006E04F5"/>
    <w:rsid w:val="006E0532"/>
    <w:rsid w:val="006E0BBA"/>
    <w:rsid w:val="006E1167"/>
    <w:rsid w:val="006E219C"/>
    <w:rsid w:val="006E225A"/>
    <w:rsid w:val="006E256D"/>
    <w:rsid w:val="006E2FB6"/>
    <w:rsid w:val="006E3276"/>
    <w:rsid w:val="006E4B39"/>
    <w:rsid w:val="006E609A"/>
    <w:rsid w:val="006E65C0"/>
    <w:rsid w:val="006E7D2A"/>
    <w:rsid w:val="006E7E72"/>
    <w:rsid w:val="006E7F32"/>
    <w:rsid w:val="006F13CC"/>
    <w:rsid w:val="006F1940"/>
    <w:rsid w:val="006F1D43"/>
    <w:rsid w:val="006F2176"/>
    <w:rsid w:val="006F2541"/>
    <w:rsid w:val="006F316E"/>
    <w:rsid w:val="006F32F0"/>
    <w:rsid w:val="006F4943"/>
    <w:rsid w:val="006F56AF"/>
    <w:rsid w:val="006F5927"/>
    <w:rsid w:val="006F71B6"/>
    <w:rsid w:val="00700333"/>
    <w:rsid w:val="00700AE8"/>
    <w:rsid w:val="00700BCB"/>
    <w:rsid w:val="007016E3"/>
    <w:rsid w:val="00701775"/>
    <w:rsid w:val="00701B82"/>
    <w:rsid w:val="00702E2E"/>
    <w:rsid w:val="00702F6A"/>
    <w:rsid w:val="0070381F"/>
    <w:rsid w:val="007041E3"/>
    <w:rsid w:val="007044FE"/>
    <w:rsid w:val="00704667"/>
    <w:rsid w:val="007048A0"/>
    <w:rsid w:val="00704935"/>
    <w:rsid w:val="00704C6F"/>
    <w:rsid w:val="00705AF5"/>
    <w:rsid w:val="00706A55"/>
    <w:rsid w:val="00706C5A"/>
    <w:rsid w:val="00706DA2"/>
    <w:rsid w:val="00706E1E"/>
    <w:rsid w:val="00707616"/>
    <w:rsid w:val="00707F3D"/>
    <w:rsid w:val="0071081C"/>
    <w:rsid w:val="00711709"/>
    <w:rsid w:val="0071210F"/>
    <w:rsid w:val="00712746"/>
    <w:rsid w:val="00712811"/>
    <w:rsid w:val="00712C0F"/>
    <w:rsid w:val="007133B8"/>
    <w:rsid w:val="00714691"/>
    <w:rsid w:val="00715331"/>
    <w:rsid w:val="00715EEE"/>
    <w:rsid w:val="00716EFD"/>
    <w:rsid w:val="007175C4"/>
    <w:rsid w:val="00717604"/>
    <w:rsid w:val="00717CE9"/>
    <w:rsid w:val="0072256C"/>
    <w:rsid w:val="0072267A"/>
    <w:rsid w:val="00722A5B"/>
    <w:rsid w:val="00722F19"/>
    <w:rsid w:val="007233F5"/>
    <w:rsid w:val="00724541"/>
    <w:rsid w:val="0072496E"/>
    <w:rsid w:val="00724991"/>
    <w:rsid w:val="007264EB"/>
    <w:rsid w:val="00726E00"/>
    <w:rsid w:val="00727BA4"/>
    <w:rsid w:val="00730202"/>
    <w:rsid w:val="007306BE"/>
    <w:rsid w:val="007307FF"/>
    <w:rsid w:val="007317EE"/>
    <w:rsid w:val="007325E9"/>
    <w:rsid w:val="00733AD3"/>
    <w:rsid w:val="007343B4"/>
    <w:rsid w:val="00734853"/>
    <w:rsid w:val="00735230"/>
    <w:rsid w:val="0073532A"/>
    <w:rsid w:val="00736DC3"/>
    <w:rsid w:val="00737223"/>
    <w:rsid w:val="00737C8D"/>
    <w:rsid w:val="00737C95"/>
    <w:rsid w:val="00737D28"/>
    <w:rsid w:val="00741009"/>
    <w:rsid w:val="00742B28"/>
    <w:rsid w:val="007431B6"/>
    <w:rsid w:val="0074444C"/>
    <w:rsid w:val="0074446C"/>
    <w:rsid w:val="007447BF"/>
    <w:rsid w:val="00744D85"/>
    <w:rsid w:val="0074512E"/>
    <w:rsid w:val="0074548B"/>
    <w:rsid w:val="00745A85"/>
    <w:rsid w:val="007460FD"/>
    <w:rsid w:val="00746A82"/>
    <w:rsid w:val="00747565"/>
    <w:rsid w:val="00747DB0"/>
    <w:rsid w:val="007501EB"/>
    <w:rsid w:val="00751319"/>
    <w:rsid w:val="00753422"/>
    <w:rsid w:val="007542FD"/>
    <w:rsid w:val="00755BB5"/>
    <w:rsid w:val="00756B9A"/>
    <w:rsid w:val="00756CE0"/>
    <w:rsid w:val="007573DF"/>
    <w:rsid w:val="0075788B"/>
    <w:rsid w:val="00757DB7"/>
    <w:rsid w:val="00757F26"/>
    <w:rsid w:val="00763289"/>
    <w:rsid w:val="00763468"/>
    <w:rsid w:val="00764BA1"/>
    <w:rsid w:val="00764D25"/>
    <w:rsid w:val="00765B1C"/>
    <w:rsid w:val="007666C8"/>
    <w:rsid w:val="00767392"/>
    <w:rsid w:val="00767B81"/>
    <w:rsid w:val="00767FD3"/>
    <w:rsid w:val="00767FD6"/>
    <w:rsid w:val="00770A8F"/>
    <w:rsid w:val="00771494"/>
    <w:rsid w:val="007714F8"/>
    <w:rsid w:val="00771FCF"/>
    <w:rsid w:val="00772FFC"/>
    <w:rsid w:val="007739D9"/>
    <w:rsid w:val="00774EED"/>
    <w:rsid w:val="00775027"/>
    <w:rsid w:val="00775774"/>
    <w:rsid w:val="00776521"/>
    <w:rsid w:val="0077687C"/>
    <w:rsid w:val="00777798"/>
    <w:rsid w:val="00777B77"/>
    <w:rsid w:val="0078288D"/>
    <w:rsid w:val="007847A4"/>
    <w:rsid w:val="007873D5"/>
    <w:rsid w:val="00787CB3"/>
    <w:rsid w:val="00790A09"/>
    <w:rsid w:val="007910B1"/>
    <w:rsid w:val="00791340"/>
    <w:rsid w:val="00791599"/>
    <w:rsid w:val="00793326"/>
    <w:rsid w:val="0079382B"/>
    <w:rsid w:val="00794441"/>
    <w:rsid w:val="007956C4"/>
    <w:rsid w:val="00795BBE"/>
    <w:rsid w:val="007971A0"/>
    <w:rsid w:val="00797EAC"/>
    <w:rsid w:val="007A06F1"/>
    <w:rsid w:val="007A0811"/>
    <w:rsid w:val="007A0F91"/>
    <w:rsid w:val="007A18BE"/>
    <w:rsid w:val="007A3172"/>
    <w:rsid w:val="007A32A5"/>
    <w:rsid w:val="007A4C90"/>
    <w:rsid w:val="007A5074"/>
    <w:rsid w:val="007A532B"/>
    <w:rsid w:val="007A548F"/>
    <w:rsid w:val="007A5625"/>
    <w:rsid w:val="007A5D76"/>
    <w:rsid w:val="007A6F05"/>
    <w:rsid w:val="007A70B8"/>
    <w:rsid w:val="007A7427"/>
    <w:rsid w:val="007A7712"/>
    <w:rsid w:val="007A7BDB"/>
    <w:rsid w:val="007A7ED4"/>
    <w:rsid w:val="007B113E"/>
    <w:rsid w:val="007B16E5"/>
    <w:rsid w:val="007B190D"/>
    <w:rsid w:val="007B1A52"/>
    <w:rsid w:val="007B1E6B"/>
    <w:rsid w:val="007B1ED2"/>
    <w:rsid w:val="007B2AF0"/>
    <w:rsid w:val="007B440C"/>
    <w:rsid w:val="007B4903"/>
    <w:rsid w:val="007B4EF4"/>
    <w:rsid w:val="007B7238"/>
    <w:rsid w:val="007C1BBC"/>
    <w:rsid w:val="007C2AE3"/>
    <w:rsid w:val="007C2F97"/>
    <w:rsid w:val="007C308A"/>
    <w:rsid w:val="007C438A"/>
    <w:rsid w:val="007C4454"/>
    <w:rsid w:val="007C6F6B"/>
    <w:rsid w:val="007C70F1"/>
    <w:rsid w:val="007D0ACC"/>
    <w:rsid w:val="007D15FB"/>
    <w:rsid w:val="007D2C9C"/>
    <w:rsid w:val="007D2F05"/>
    <w:rsid w:val="007D32C6"/>
    <w:rsid w:val="007D3379"/>
    <w:rsid w:val="007D51E2"/>
    <w:rsid w:val="007D6230"/>
    <w:rsid w:val="007D71F4"/>
    <w:rsid w:val="007D7BA1"/>
    <w:rsid w:val="007E0783"/>
    <w:rsid w:val="007E0903"/>
    <w:rsid w:val="007E09D1"/>
    <w:rsid w:val="007E0B53"/>
    <w:rsid w:val="007E0C13"/>
    <w:rsid w:val="007E0C8E"/>
    <w:rsid w:val="007E1436"/>
    <w:rsid w:val="007E220B"/>
    <w:rsid w:val="007E2527"/>
    <w:rsid w:val="007E3F31"/>
    <w:rsid w:val="007E511E"/>
    <w:rsid w:val="007E70C0"/>
    <w:rsid w:val="007E79D7"/>
    <w:rsid w:val="007E7E3F"/>
    <w:rsid w:val="007F0D4F"/>
    <w:rsid w:val="007F0DA3"/>
    <w:rsid w:val="007F2576"/>
    <w:rsid w:val="007F3A5A"/>
    <w:rsid w:val="007F3E37"/>
    <w:rsid w:val="007F490A"/>
    <w:rsid w:val="007F5000"/>
    <w:rsid w:val="007F5CC9"/>
    <w:rsid w:val="007F5D3B"/>
    <w:rsid w:val="007F67E3"/>
    <w:rsid w:val="007F6A7E"/>
    <w:rsid w:val="008005BF"/>
    <w:rsid w:val="0080179C"/>
    <w:rsid w:val="00801C0F"/>
    <w:rsid w:val="008020E5"/>
    <w:rsid w:val="008021E7"/>
    <w:rsid w:val="00802309"/>
    <w:rsid w:val="00802502"/>
    <w:rsid w:val="008035BB"/>
    <w:rsid w:val="008038A0"/>
    <w:rsid w:val="00803A86"/>
    <w:rsid w:val="00804701"/>
    <w:rsid w:val="00804D9F"/>
    <w:rsid w:val="0080554A"/>
    <w:rsid w:val="00806693"/>
    <w:rsid w:val="00807E6E"/>
    <w:rsid w:val="00810588"/>
    <w:rsid w:val="00810793"/>
    <w:rsid w:val="00811136"/>
    <w:rsid w:val="008114FD"/>
    <w:rsid w:val="00811D53"/>
    <w:rsid w:val="008134CB"/>
    <w:rsid w:val="00813B0C"/>
    <w:rsid w:val="00813F35"/>
    <w:rsid w:val="008140BC"/>
    <w:rsid w:val="00815FE5"/>
    <w:rsid w:val="00816BC5"/>
    <w:rsid w:val="00816DFA"/>
    <w:rsid w:val="00817465"/>
    <w:rsid w:val="008175E4"/>
    <w:rsid w:val="00817DBC"/>
    <w:rsid w:val="00820B73"/>
    <w:rsid w:val="0082101E"/>
    <w:rsid w:val="00821175"/>
    <w:rsid w:val="008216FD"/>
    <w:rsid w:val="00821C6D"/>
    <w:rsid w:val="00822634"/>
    <w:rsid w:val="00822ABB"/>
    <w:rsid w:val="008237C7"/>
    <w:rsid w:val="00824715"/>
    <w:rsid w:val="008248B6"/>
    <w:rsid w:val="00824AA2"/>
    <w:rsid w:val="00826503"/>
    <w:rsid w:val="008268B7"/>
    <w:rsid w:val="00826991"/>
    <w:rsid w:val="00826C63"/>
    <w:rsid w:val="00826F98"/>
    <w:rsid w:val="00827B39"/>
    <w:rsid w:val="00827F63"/>
    <w:rsid w:val="00830631"/>
    <w:rsid w:val="00830F09"/>
    <w:rsid w:val="00831B3D"/>
    <w:rsid w:val="008329C1"/>
    <w:rsid w:val="00833111"/>
    <w:rsid w:val="00835BDB"/>
    <w:rsid w:val="00835C53"/>
    <w:rsid w:val="00836B19"/>
    <w:rsid w:val="008372F3"/>
    <w:rsid w:val="00837402"/>
    <w:rsid w:val="00837612"/>
    <w:rsid w:val="00837642"/>
    <w:rsid w:val="00837A1B"/>
    <w:rsid w:val="00837B8C"/>
    <w:rsid w:val="00837DEE"/>
    <w:rsid w:val="00837E13"/>
    <w:rsid w:val="0084005E"/>
    <w:rsid w:val="008406F2"/>
    <w:rsid w:val="008407A5"/>
    <w:rsid w:val="0084086C"/>
    <w:rsid w:val="00841E65"/>
    <w:rsid w:val="008431BC"/>
    <w:rsid w:val="0084388F"/>
    <w:rsid w:val="00843D1E"/>
    <w:rsid w:val="00843DDD"/>
    <w:rsid w:val="00844DEE"/>
    <w:rsid w:val="00844FBC"/>
    <w:rsid w:val="008456C4"/>
    <w:rsid w:val="00845814"/>
    <w:rsid w:val="00845BBC"/>
    <w:rsid w:val="008467DC"/>
    <w:rsid w:val="008469D0"/>
    <w:rsid w:val="00846C38"/>
    <w:rsid w:val="0084757E"/>
    <w:rsid w:val="0085096F"/>
    <w:rsid w:val="0085337E"/>
    <w:rsid w:val="008541E2"/>
    <w:rsid w:val="00854665"/>
    <w:rsid w:val="00854C41"/>
    <w:rsid w:val="00856028"/>
    <w:rsid w:val="008565A1"/>
    <w:rsid w:val="00856F76"/>
    <w:rsid w:val="00857937"/>
    <w:rsid w:val="00860D99"/>
    <w:rsid w:val="00861680"/>
    <w:rsid w:val="00861AC9"/>
    <w:rsid w:val="00862292"/>
    <w:rsid w:val="00862771"/>
    <w:rsid w:val="00863293"/>
    <w:rsid w:val="0086374B"/>
    <w:rsid w:val="00863D0E"/>
    <w:rsid w:val="00863F3D"/>
    <w:rsid w:val="00864145"/>
    <w:rsid w:val="00864360"/>
    <w:rsid w:val="008643FE"/>
    <w:rsid w:val="0086528A"/>
    <w:rsid w:val="0086612F"/>
    <w:rsid w:val="0086663F"/>
    <w:rsid w:val="00867232"/>
    <w:rsid w:val="008672F6"/>
    <w:rsid w:val="0086762B"/>
    <w:rsid w:val="0086784E"/>
    <w:rsid w:val="008678D9"/>
    <w:rsid w:val="00867EA8"/>
    <w:rsid w:val="00870818"/>
    <w:rsid w:val="00871177"/>
    <w:rsid w:val="0087218A"/>
    <w:rsid w:val="008729CC"/>
    <w:rsid w:val="00872C8C"/>
    <w:rsid w:val="00873329"/>
    <w:rsid w:val="00874735"/>
    <w:rsid w:val="00874D6C"/>
    <w:rsid w:val="008761A1"/>
    <w:rsid w:val="0087768F"/>
    <w:rsid w:val="00877ABF"/>
    <w:rsid w:val="00880F92"/>
    <w:rsid w:val="00881423"/>
    <w:rsid w:val="00881BCE"/>
    <w:rsid w:val="00881F65"/>
    <w:rsid w:val="00882808"/>
    <w:rsid w:val="00883C51"/>
    <w:rsid w:val="0088499E"/>
    <w:rsid w:val="008849FA"/>
    <w:rsid w:val="00884D43"/>
    <w:rsid w:val="00886DB8"/>
    <w:rsid w:val="00887456"/>
    <w:rsid w:val="00887B91"/>
    <w:rsid w:val="00887FD6"/>
    <w:rsid w:val="00890EE1"/>
    <w:rsid w:val="00890F68"/>
    <w:rsid w:val="00892247"/>
    <w:rsid w:val="008955F2"/>
    <w:rsid w:val="008957E2"/>
    <w:rsid w:val="0089609C"/>
    <w:rsid w:val="00896182"/>
    <w:rsid w:val="008962B7"/>
    <w:rsid w:val="00896C88"/>
    <w:rsid w:val="00896F7E"/>
    <w:rsid w:val="00897CA3"/>
    <w:rsid w:val="008A0101"/>
    <w:rsid w:val="008A1104"/>
    <w:rsid w:val="008A1140"/>
    <w:rsid w:val="008A28C5"/>
    <w:rsid w:val="008A3297"/>
    <w:rsid w:val="008A4733"/>
    <w:rsid w:val="008A4D07"/>
    <w:rsid w:val="008A74D4"/>
    <w:rsid w:val="008A77E4"/>
    <w:rsid w:val="008A7DB0"/>
    <w:rsid w:val="008A7E96"/>
    <w:rsid w:val="008B0180"/>
    <w:rsid w:val="008B061D"/>
    <w:rsid w:val="008B09CC"/>
    <w:rsid w:val="008B1A8F"/>
    <w:rsid w:val="008B2197"/>
    <w:rsid w:val="008B2205"/>
    <w:rsid w:val="008B254C"/>
    <w:rsid w:val="008B2BFF"/>
    <w:rsid w:val="008B34E5"/>
    <w:rsid w:val="008B4CC2"/>
    <w:rsid w:val="008B5339"/>
    <w:rsid w:val="008B5793"/>
    <w:rsid w:val="008B61DC"/>
    <w:rsid w:val="008B73B0"/>
    <w:rsid w:val="008B774F"/>
    <w:rsid w:val="008C0638"/>
    <w:rsid w:val="008C2CCD"/>
    <w:rsid w:val="008C3688"/>
    <w:rsid w:val="008C4523"/>
    <w:rsid w:val="008C50E7"/>
    <w:rsid w:val="008C59B1"/>
    <w:rsid w:val="008C5F36"/>
    <w:rsid w:val="008D03A5"/>
    <w:rsid w:val="008D0CC5"/>
    <w:rsid w:val="008D320D"/>
    <w:rsid w:val="008D42B0"/>
    <w:rsid w:val="008D49FB"/>
    <w:rsid w:val="008D5239"/>
    <w:rsid w:val="008D5F3B"/>
    <w:rsid w:val="008D6B4E"/>
    <w:rsid w:val="008D70A4"/>
    <w:rsid w:val="008D7161"/>
    <w:rsid w:val="008D773B"/>
    <w:rsid w:val="008D7C92"/>
    <w:rsid w:val="008E016F"/>
    <w:rsid w:val="008E07A3"/>
    <w:rsid w:val="008E0859"/>
    <w:rsid w:val="008E09CB"/>
    <w:rsid w:val="008E0A15"/>
    <w:rsid w:val="008E2DB4"/>
    <w:rsid w:val="008E3374"/>
    <w:rsid w:val="008E33BA"/>
    <w:rsid w:val="008E3AC2"/>
    <w:rsid w:val="008E3DD1"/>
    <w:rsid w:val="008E404E"/>
    <w:rsid w:val="008E4EEF"/>
    <w:rsid w:val="008E500A"/>
    <w:rsid w:val="008E55F8"/>
    <w:rsid w:val="008E5A8C"/>
    <w:rsid w:val="008E6243"/>
    <w:rsid w:val="008E73EA"/>
    <w:rsid w:val="008E7BD8"/>
    <w:rsid w:val="008F0207"/>
    <w:rsid w:val="008F0F38"/>
    <w:rsid w:val="008F2C78"/>
    <w:rsid w:val="008F3978"/>
    <w:rsid w:val="008F4008"/>
    <w:rsid w:val="008F4670"/>
    <w:rsid w:val="008F4CA4"/>
    <w:rsid w:val="008F5505"/>
    <w:rsid w:val="008F596C"/>
    <w:rsid w:val="008F64B9"/>
    <w:rsid w:val="008F6E84"/>
    <w:rsid w:val="008F7841"/>
    <w:rsid w:val="009000A2"/>
    <w:rsid w:val="00900A63"/>
    <w:rsid w:val="00900ADD"/>
    <w:rsid w:val="0090181B"/>
    <w:rsid w:val="00901DE7"/>
    <w:rsid w:val="00902F51"/>
    <w:rsid w:val="0090354E"/>
    <w:rsid w:val="009044EE"/>
    <w:rsid w:val="00904FA7"/>
    <w:rsid w:val="00905A29"/>
    <w:rsid w:val="00905EE4"/>
    <w:rsid w:val="009102AA"/>
    <w:rsid w:val="00911396"/>
    <w:rsid w:val="00912346"/>
    <w:rsid w:val="009127E0"/>
    <w:rsid w:val="00913182"/>
    <w:rsid w:val="00913C85"/>
    <w:rsid w:val="00913DAE"/>
    <w:rsid w:val="00914178"/>
    <w:rsid w:val="0091499E"/>
    <w:rsid w:val="00914C72"/>
    <w:rsid w:val="00914D05"/>
    <w:rsid w:val="009155D7"/>
    <w:rsid w:val="00915C39"/>
    <w:rsid w:val="00916026"/>
    <w:rsid w:val="0091618C"/>
    <w:rsid w:val="009166E8"/>
    <w:rsid w:val="00916A5F"/>
    <w:rsid w:val="009173E6"/>
    <w:rsid w:val="0091751C"/>
    <w:rsid w:val="0091768B"/>
    <w:rsid w:val="009202C6"/>
    <w:rsid w:val="0092032B"/>
    <w:rsid w:val="00920759"/>
    <w:rsid w:val="00920A90"/>
    <w:rsid w:val="0092172E"/>
    <w:rsid w:val="00921A6D"/>
    <w:rsid w:val="00922151"/>
    <w:rsid w:val="009221D8"/>
    <w:rsid w:val="0092281B"/>
    <w:rsid w:val="0092326E"/>
    <w:rsid w:val="00924123"/>
    <w:rsid w:val="00924AD6"/>
    <w:rsid w:val="00925A68"/>
    <w:rsid w:val="00925A81"/>
    <w:rsid w:val="00925BC7"/>
    <w:rsid w:val="00926CEF"/>
    <w:rsid w:val="00926DE7"/>
    <w:rsid w:val="009271C7"/>
    <w:rsid w:val="0093015F"/>
    <w:rsid w:val="00930B75"/>
    <w:rsid w:val="00932D42"/>
    <w:rsid w:val="00932F67"/>
    <w:rsid w:val="00933859"/>
    <w:rsid w:val="00934D14"/>
    <w:rsid w:val="00935852"/>
    <w:rsid w:val="009360DC"/>
    <w:rsid w:val="00936446"/>
    <w:rsid w:val="00940C2E"/>
    <w:rsid w:val="00941919"/>
    <w:rsid w:val="00943874"/>
    <w:rsid w:val="00944A87"/>
    <w:rsid w:val="00944DE5"/>
    <w:rsid w:val="00944FE0"/>
    <w:rsid w:val="0094537A"/>
    <w:rsid w:val="00945416"/>
    <w:rsid w:val="00945821"/>
    <w:rsid w:val="00945933"/>
    <w:rsid w:val="00945F87"/>
    <w:rsid w:val="009472C4"/>
    <w:rsid w:val="009506A2"/>
    <w:rsid w:val="00952008"/>
    <w:rsid w:val="0095289A"/>
    <w:rsid w:val="00952A6E"/>
    <w:rsid w:val="00953163"/>
    <w:rsid w:val="00953F4C"/>
    <w:rsid w:val="009541F9"/>
    <w:rsid w:val="00954D07"/>
    <w:rsid w:val="00955129"/>
    <w:rsid w:val="009569B4"/>
    <w:rsid w:val="00961606"/>
    <w:rsid w:val="00962497"/>
    <w:rsid w:val="00962E91"/>
    <w:rsid w:val="00963590"/>
    <w:rsid w:val="009641D3"/>
    <w:rsid w:val="00965466"/>
    <w:rsid w:val="0096617C"/>
    <w:rsid w:val="009664AD"/>
    <w:rsid w:val="00966931"/>
    <w:rsid w:val="009670A3"/>
    <w:rsid w:val="00967AB8"/>
    <w:rsid w:val="0097148A"/>
    <w:rsid w:val="00971E7C"/>
    <w:rsid w:val="00972D0A"/>
    <w:rsid w:val="00972DA3"/>
    <w:rsid w:val="009746F8"/>
    <w:rsid w:val="00974B63"/>
    <w:rsid w:val="00975289"/>
    <w:rsid w:val="0097581E"/>
    <w:rsid w:val="009804BE"/>
    <w:rsid w:val="00980830"/>
    <w:rsid w:val="00980D2D"/>
    <w:rsid w:val="00980EBB"/>
    <w:rsid w:val="00982280"/>
    <w:rsid w:val="00982632"/>
    <w:rsid w:val="009826D4"/>
    <w:rsid w:val="00983498"/>
    <w:rsid w:val="00983BD6"/>
    <w:rsid w:val="00984D82"/>
    <w:rsid w:val="00985831"/>
    <w:rsid w:val="009860A6"/>
    <w:rsid w:val="009866AB"/>
    <w:rsid w:val="009866BE"/>
    <w:rsid w:val="00986FE2"/>
    <w:rsid w:val="009871C6"/>
    <w:rsid w:val="00991E71"/>
    <w:rsid w:val="00993312"/>
    <w:rsid w:val="00993B9B"/>
    <w:rsid w:val="00993F0B"/>
    <w:rsid w:val="00995721"/>
    <w:rsid w:val="00995E10"/>
    <w:rsid w:val="009962EE"/>
    <w:rsid w:val="00996E00"/>
    <w:rsid w:val="0099784C"/>
    <w:rsid w:val="009A079C"/>
    <w:rsid w:val="009A133E"/>
    <w:rsid w:val="009A1342"/>
    <w:rsid w:val="009A158C"/>
    <w:rsid w:val="009A188B"/>
    <w:rsid w:val="009A20AD"/>
    <w:rsid w:val="009A2E0D"/>
    <w:rsid w:val="009A3062"/>
    <w:rsid w:val="009A42F1"/>
    <w:rsid w:val="009A48F3"/>
    <w:rsid w:val="009A4B6B"/>
    <w:rsid w:val="009A5042"/>
    <w:rsid w:val="009A54B6"/>
    <w:rsid w:val="009A55A8"/>
    <w:rsid w:val="009A5E1B"/>
    <w:rsid w:val="009B0221"/>
    <w:rsid w:val="009B122B"/>
    <w:rsid w:val="009B1C83"/>
    <w:rsid w:val="009B33A2"/>
    <w:rsid w:val="009B33A5"/>
    <w:rsid w:val="009B3F55"/>
    <w:rsid w:val="009B4C8E"/>
    <w:rsid w:val="009B5E28"/>
    <w:rsid w:val="009B61FE"/>
    <w:rsid w:val="009B62ED"/>
    <w:rsid w:val="009B6320"/>
    <w:rsid w:val="009B6CDF"/>
    <w:rsid w:val="009B7154"/>
    <w:rsid w:val="009C16A5"/>
    <w:rsid w:val="009C185A"/>
    <w:rsid w:val="009C362A"/>
    <w:rsid w:val="009C4F67"/>
    <w:rsid w:val="009C5213"/>
    <w:rsid w:val="009C71E7"/>
    <w:rsid w:val="009C751C"/>
    <w:rsid w:val="009C7914"/>
    <w:rsid w:val="009C7A28"/>
    <w:rsid w:val="009C7DD8"/>
    <w:rsid w:val="009D01BC"/>
    <w:rsid w:val="009D283D"/>
    <w:rsid w:val="009D3061"/>
    <w:rsid w:val="009D329E"/>
    <w:rsid w:val="009D3545"/>
    <w:rsid w:val="009D5463"/>
    <w:rsid w:val="009D5B31"/>
    <w:rsid w:val="009D64E0"/>
    <w:rsid w:val="009D6D72"/>
    <w:rsid w:val="009D70AE"/>
    <w:rsid w:val="009E0495"/>
    <w:rsid w:val="009E0DF4"/>
    <w:rsid w:val="009E21C6"/>
    <w:rsid w:val="009E3017"/>
    <w:rsid w:val="009E35E6"/>
    <w:rsid w:val="009E3D39"/>
    <w:rsid w:val="009E4081"/>
    <w:rsid w:val="009E469D"/>
    <w:rsid w:val="009E4AB1"/>
    <w:rsid w:val="009E5DB5"/>
    <w:rsid w:val="009E6004"/>
    <w:rsid w:val="009E6592"/>
    <w:rsid w:val="009E6EB3"/>
    <w:rsid w:val="009E7195"/>
    <w:rsid w:val="009E74C0"/>
    <w:rsid w:val="009F0D20"/>
    <w:rsid w:val="009F1559"/>
    <w:rsid w:val="009F27CB"/>
    <w:rsid w:val="009F359B"/>
    <w:rsid w:val="009F445F"/>
    <w:rsid w:val="009F6493"/>
    <w:rsid w:val="009F6C51"/>
    <w:rsid w:val="009F70D8"/>
    <w:rsid w:val="009F7BE1"/>
    <w:rsid w:val="00A008D9"/>
    <w:rsid w:val="00A0096E"/>
    <w:rsid w:val="00A00EDF"/>
    <w:rsid w:val="00A01328"/>
    <w:rsid w:val="00A01F0F"/>
    <w:rsid w:val="00A0291A"/>
    <w:rsid w:val="00A03021"/>
    <w:rsid w:val="00A0321F"/>
    <w:rsid w:val="00A03379"/>
    <w:rsid w:val="00A03CCE"/>
    <w:rsid w:val="00A047B6"/>
    <w:rsid w:val="00A04D8C"/>
    <w:rsid w:val="00A05CAD"/>
    <w:rsid w:val="00A062DF"/>
    <w:rsid w:val="00A06DF2"/>
    <w:rsid w:val="00A0719C"/>
    <w:rsid w:val="00A073B8"/>
    <w:rsid w:val="00A116BC"/>
    <w:rsid w:val="00A11FD8"/>
    <w:rsid w:val="00A12097"/>
    <w:rsid w:val="00A14430"/>
    <w:rsid w:val="00A14F5B"/>
    <w:rsid w:val="00A1550F"/>
    <w:rsid w:val="00A15872"/>
    <w:rsid w:val="00A15CC1"/>
    <w:rsid w:val="00A17B4E"/>
    <w:rsid w:val="00A17BBE"/>
    <w:rsid w:val="00A20F4B"/>
    <w:rsid w:val="00A22AC4"/>
    <w:rsid w:val="00A23AF4"/>
    <w:rsid w:val="00A241BB"/>
    <w:rsid w:val="00A24458"/>
    <w:rsid w:val="00A2464A"/>
    <w:rsid w:val="00A249AB"/>
    <w:rsid w:val="00A278F7"/>
    <w:rsid w:val="00A30901"/>
    <w:rsid w:val="00A30EC7"/>
    <w:rsid w:val="00A31079"/>
    <w:rsid w:val="00A319C9"/>
    <w:rsid w:val="00A3240B"/>
    <w:rsid w:val="00A327FB"/>
    <w:rsid w:val="00A34A04"/>
    <w:rsid w:val="00A35A1D"/>
    <w:rsid w:val="00A36123"/>
    <w:rsid w:val="00A362C1"/>
    <w:rsid w:val="00A365BC"/>
    <w:rsid w:val="00A3701A"/>
    <w:rsid w:val="00A419F9"/>
    <w:rsid w:val="00A41ACC"/>
    <w:rsid w:val="00A42AC0"/>
    <w:rsid w:val="00A42D8A"/>
    <w:rsid w:val="00A43CB4"/>
    <w:rsid w:val="00A44793"/>
    <w:rsid w:val="00A45AE6"/>
    <w:rsid w:val="00A45B1E"/>
    <w:rsid w:val="00A46918"/>
    <w:rsid w:val="00A46E43"/>
    <w:rsid w:val="00A4738B"/>
    <w:rsid w:val="00A51AE1"/>
    <w:rsid w:val="00A51F86"/>
    <w:rsid w:val="00A526DF"/>
    <w:rsid w:val="00A52A47"/>
    <w:rsid w:val="00A53CBD"/>
    <w:rsid w:val="00A54354"/>
    <w:rsid w:val="00A545AE"/>
    <w:rsid w:val="00A556FF"/>
    <w:rsid w:val="00A56476"/>
    <w:rsid w:val="00A564AC"/>
    <w:rsid w:val="00A56C24"/>
    <w:rsid w:val="00A56C5F"/>
    <w:rsid w:val="00A56D6F"/>
    <w:rsid w:val="00A573C0"/>
    <w:rsid w:val="00A575CB"/>
    <w:rsid w:val="00A57612"/>
    <w:rsid w:val="00A5770B"/>
    <w:rsid w:val="00A60088"/>
    <w:rsid w:val="00A60176"/>
    <w:rsid w:val="00A61E3A"/>
    <w:rsid w:val="00A66355"/>
    <w:rsid w:val="00A66443"/>
    <w:rsid w:val="00A668CE"/>
    <w:rsid w:val="00A676A2"/>
    <w:rsid w:val="00A6792F"/>
    <w:rsid w:val="00A70000"/>
    <w:rsid w:val="00A712AC"/>
    <w:rsid w:val="00A726CF"/>
    <w:rsid w:val="00A72A3A"/>
    <w:rsid w:val="00A74A88"/>
    <w:rsid w:val="00A74B92"/>
    <w:rsid w:val="00A77566"/>
    <w:rsid w:val="00A77B81"/>
    <w:rsid w:val="00A8253A"/>
    <w:rsid w:val="00A83190"/>
    <w:rsid w:val="00A83B58"/>
    <w:rsid w:val="00A83F82"/>
    <w:rsid w:val="00A85A9F"/>
    <w:rsid w:val="00A85FE3"/>
    <w:rsid w:val="00A864F1"/>
    <w:rsid w:val="00A86E76"/>
    <w:rsid w:val="00A9067B"/>
    <w:rsid w:val="00A90CB7"/>
    <w:rsid w:val="00A91227"/>
    <w:rsid w:val="00A919F2"/>
    <w:rsid w:val="00A92345"/>
    <w:rsid w:val="00A92BD3"/>
    <w:rsid w:val="00A92D92"/>
    <w:rsid w:val="00A92F71"/>
    <w:rsid w:val="00A93668"/>
    <w:rsid w:val="00A937DC"/>
    <w:rsid w:val="00A93C17"/>
    <w:rsid w:val="00A94F44"/>
    <w:rsid w:val="00A9578C"/>
    <w:rsid w:val="00A966CA"/>
    <w:rsid w:val="00A975B3"/>
    <w:rsid w:val="00AA0D06"/>
    <w:rsid w:val="00AA0EFE"/>
    <w:rsid w:val="00AA12ED"/>
    <w:rsid w:val="00AA1A9B"/>
    <w:rsid w:val="00AA2687"/>
    <w:rsid w:val="00AA27BE"/>
    <w:rsid w:val="00AA397A"/>
    <w:rsid w:val="00AA4889"/>
    <w:rsid w:val="00AA54BB"/>
    <w:rsid w:val="00AA5C04"/>
    <w:rsid w:val="00AA5DC9"/>
    <w:rsid w:val="00AA67CC"/>
    <w:rsid w:val="00AA6E09"/>
    <w:rsid w:val="00AB02E7"/>
    <w:rsid w:val="00AB11CF"/>
    <w:rsid w:val="00AB3830"/>
    <w:rsid w:val="00AB391D"/>
    <w:rsid w:val="00AB41AD"/>
    <w:rsid w:val="00AB45B7"/>
    <w:rsid w:val="00AB4E81"/>
    <w:rsid w:val="00AB5077"/>
    <w:rsid w:val="00AB55A1"/>
    <w:rsid w:val="00AB5D4A"/>
    <w:rsid w:val="00AB696B"/>
    <w:rsid w:val="00AB6A42"/>
    <w:rsid w:val="00AC0993"/>
    <w:rsid w:val="00AC12D1"/>
    <w:rsid w:val="00AC1650"/>
    <w:rsid w:val="00AC270E"/>
    <w:rsid w:val="00AC47E5"/>
    <w:rsid w:val="00AC4B69"/>
    <w:rsid w:val="00AC4E3F"/>
    <w:rsid w:val="00AC5F51"/>
    <w:rsid w:val="00AC6D6C"/>
    <w:rsid w:val="00AC74EA"/>
    <w:rsid w:val="00AD0415"/>
    <w:rsid w:val="00AD09FF"/>
    <w:rsid w:val="00AD0AF6"/>
    <w:rsid w:val="00AD1057"/>
    <w:rsid w:val="00AD14DC"/>
    <w:rsid w:val="00AD1553"/>
    <w:rsid w:val="00AD1D0C"/>
    <w:rsid w:val="00AD23A5"/>
    <w:rsid w:val="00AD2F15"/>
    <w:rsid w:val="00AD40E5"/>
    <w:rsid w:val="00AD4543"/>
    <w:rsid w:val="00AD4F60"/>
    <w:rsid w:val="00AD5402"/>
    <w:rsid w:val="00AD5F8D"/>
    <w:rsid w:val="00AD6390"/>
    <w:rsid w:val="00AD72EF"/>
    <w:rsid w:val="00AE0A51"/>
    <w:rsid w:val="00AE1608"/>
    <w:rsid w:val="00AE1A2C"/>
    <w:rsid w:val="00AE272B"/>
    <w:rsid w:val="00AE2DC4"/>
    <w:rsid w:val="00AE2EBB"/>
    <w:rsid w:val="00AE3181"/>
    <w:rsid w:val="00AE32B6"/>
    <w:rsid w:val="00AE41D7"/>
    <w:rsid w:val="00AE46A8"/>
    <w:rsid w:val="00AE5656"/>
    <w:rsid w:val="00AE5C65"/>
    <w:rsid w:val="00AE7055"/>
    <w:rsid w:val="00AE7189"/>
    <w:rsid w:val="00AF0284"/>
    <w:rsid w:val="00AF14AF"/>
    <w:rsid w:val="00AF1523"/>
    <w:rsid w:val="00AF2351"/>
    <w:rsid w:val="00AF2430"/>
    <w:rsid w:val="00AF4943"/>
    <w:rsid w:val="00AF5F57"/>
    <w:rsid w:val="00AF6DA1"/>
    <w:rsid w:val="00AF7F46"/>
    <w:rsid w:val="00B00322"/>
    <w:rsid w:val="00B00898"/>
    <w:rsid w:val="00B00E95"/>
    <w:rsid w:val="00B01194"/>
    <w:rsid w:val="00B0276C"/>
    <w:rsid w:val="00B02E8C"/>
    <w:rsid w:val="00B03913"/>
    <w:rsid w:val="00B03C08"/>
    <w:rsid w:val="00B04897"/>
    <w:rsid w:val="00B04EF9"/>
    <w:rsid w:val="00B06897"/>
    <w:rsid w:val="00B06BF5"/>
    <w:rsid w:val="00B06E13"/>
    <w:rsid w:val="00B07BA4"/>
    <w:rsid w:val="00B07C25"/>
    <w:rsid w:val="00B07D58"/>
    <w:rsid w:val="00B07E18"/>
    <w:rsid w:val="00B109A3"/>
    <w:rsid w:val="00B11665"/>
    <w:rsid w:val="00B116B7"/>
    <w:rsid w:val="00B118D7"/>
    <w:rsid w:val="00B1197E"/>
    <w:rsid w:val="00B126F7"/>
    <w:rsid w:val="00B127A0"/>
    <w:rsid w:val="00B12CA0"/>
    <w:rsid w:val="00B13790"/>
    <w:rsid w:val="00B13D09"/>
    <w:rsid w:val="00B13E33"/>
    <w:rsid w:val="00B14539"/>
    <w:rsid w:val="00B15168"/>
    <w:rsid w:val="00B169F1"/>
    <w:rsid w:val="00B17AAD"/>
    <w:rsid w:val="00B20C3F"/>
    <w:rsid w:val="00B21914"/>
    <w:rsid w:val="00B21BD9"/>
    <w:rsid w:val="00B21E1D"/>
    <w:rsid w:val="00B22340"/>
    <w:rsid w:val="00B224AD"/>
    <w:rsid w:val="00B2399A"/>
    <w:rsid w:val="00B24DCF"/>
    <w:rsid w:val="00B25009"/>
    <w:rsid w:val="00B254AE"/>
    <w:rsid w:val="00B2646A"/>
    <w:rsid w:val="00B301AF"/>
    <w:rsid w:val="00B30A72"/>
    <w:rsid w:val="00B30B04"/>
    <w:rsid w:val="00B31015"/>
    <w:rsid w:val="00B31C09"/>
    <w:rsid w:val="00B33A00"/>
    <w:rsid w:val="00B33C68"/>
    <w:rsid w:val="00B33D67"/>
    <w:rsid w:val="00B33EE2"/>
    <w:rsid w:val="00B357C4"/>
    <w:rsid w:val="00B35B2F"/>
    <w:rsid w:val="00B36168"/>
    <w:rsid w:val="00B364AE"/>
    <w:rsid w:val="00B36C6A"/>
    <w:rsid w:val="00B37DB7"/>
    <w:rsid w:val="00B40990"/>
    <w:rsid w:val="00B4103D"/>
    <w:rsid w:val="00B4156C"/>
    <w:rsid w:val="00B41BAD"/>
    <w:rsid w:val="00B43453"/>
    <w:rsid w:val="00B44532"/>
    <w:rsid w:val="00B4461E"/>
    <w:rsid w:val="00B447EC"/>
    <w:rsid w:val="00B449B9"/>
    <w:rsid w:val="00B45256"/>
    <w:rsid w:val="00B45959"/>
    <w:rsid w:val="00B45EB7"/>
    <w:rsid w:val="00B46270"/>
    <w:rsid w:val="00B46A36"/>
    <w:rsid w:val="00B47885"/>
    <w:rsid w:val="00B478AF"/>
    <w:rsid w:val="00B507B2"/>
    <w:rsid w:val="00B52381"/>
    <w:rsid w:val="00B52FB7"/>
    <w:rsid w:val="00B5313D"/>
    <w:rsid w:val="00B539B0"/>
    <w:rsid w:val="00B539CA"/>
    <w:rsid w:val="00B5465E"/>
    <w:rsid w:val="00B54F5A"/>
    <w:rsid w:val="00B55083"/>
    <w:rsid w:val="00B554D6"/>
    <w:rsid w:val="00B55ADB"/>
    <w:rsid w:val="00B57073"/>
    <w:rsid w:val="00B57316"/>
    <w:rsid w:val="00B573F7"/>
    <w:rsid w:val="00B60AA9"/>
    <w:rsid w:val="00B61BFD"/>
    <w:rsid w:val="00B61C64"/>
    <w:rsid w:val="00B61F9B"/>
    <w:rsid w:val="00B62954"/>
    <w:rsid w:val="00B63326"/>
    <w:rsid w:val="00B63B9D"/>
    <w:rsid w:val="00B64F14"/>
    <w:rsid w:val="00B65670"/>
    <w:rsid w:val="00B664A5"/>
    <w:rsid w:val="00B668D3"/>
    <w:rsid w:val="00B70868"/>
    <w:rsid w:val="00B712AE"/>
    <w:rsid w:val="00B71D25"/>
    <w:rsid w:val="00B72428"/>
    <w:rsid w:val="00B7258E"/>
    <w:rsid w:val="00B72ACC"/>
    <w:rsid w:val="00B74421"/>
    <w:rsid w:val="00B74CF7"/>
    <w:rsid w:val="00B75AA8"/>
    <w:rsid w:val="00B75B1D"/>
    <w:rsid w:val="00B75F96"/>
    <w:rsid w:val="00B768C1"/>
    <w:rsid w:val="00B8224C"/>
    <w:rsid w:val="00B8314B"/>
    <w:rsid w:val="00B83281"/>
    <w:rsid w:val="00B832DC"/>
    <w:rsid w:val="00B8433B"/>
    <w:rsid w:val="00B85356"/>
    <w:rsid w:val="00B863E4"/>
    <w:rsid w:val="00B87167"/>
    <w:rsid w:val="00B878EE"/>
    <w:rsid w:val="00B87A1E"/>
    <w:rsid w:val="00B913A9"/>
    <w:rsid w:val="00B91F04"/>
    <w:rsid w:val="00B9200C"/>
    <w:rsid w:val="00B920AA"/>
    <w:rsid w:val="00B92A99"/>
    <w:rsid w:val="00B93D6B"/>
    <w:rsid w:val="00B94FE1"/>
    <w:rsid w:val="00B951CE"/>
    <w:rsid w:val="00B964DC"/>
    <w:rsid w:val="00B96638"/>
    <w:rsid w:val="00B966E8"/>
    <w:rsid w:val="00B96AAE"/>
    <w:rsid w:val="00B96E59"/>
    <w:rsid w:val="00B970AF"/>
    <w:rsid w:val="00B97F17"/>
    <w:rsid w:val="00BA187C"/>
    <w:rsid w:val="00BA1C4D"/>
    <w:rsid w:val="00BA2F94"/>
    <w:rsid w:val="00BA357A"/>
    <w:rsid w:val="00BA3A35"/>
    <w:rsid w:val="00BA3EC3"/>
    <w:rsid w:val="00BA57CC"/>
    <w:rsid w:val="00BA5A25"/>
    <w:rsid w:val="00BA5D73"/>
    <w:rsid w:val="00BA7512"/>
    <w:rsid w:val="00BA7572"/>
    <w:rsid w:val="00BA7652"/>
    <w:rsid w:val="00BB002F"/>
    <w:rsid w:val="00BB01E4"/>
    <w:rsid w:val="00BB087F"/>
    <w:rsid w:val="00BB1910"/>
    <w:rsid w:val="00BB24E7"/>
    <w:rsid w:val="00BB30C5"/>
    <w:rsid w:val="00BB4227"/>
    <w:rsid w:val="00BB587D"/>
    <w:rsid w:val="00BB5D66"/>
    <w:rsid w:val="00BB7337"/>
    <w:rsid w:val="00BB77F2"/>
    <w:rsid w:val="00BC0E90"/>
    <w:rsid w:val="00BC1FB4"/>
    <w:rsid w:val="00BC449B"/>
    <w:rsid w:val="00BC50A8"/>
    <w:rsid w:val="00BC61C1"/>
    <w:rsid w:val="00BC6DEA"/>
    <w:rsid w:val="00BD0448"/>
    <w:rsid w:val="00BD1550"/>
    <w:rsid w:val="00BD1DCF"/>
    <w:rsid w:val="00BD2280"/>
    <w:rsid w:val="00BD2ADE"/>
    <w:rsid w:val="00BD3F5F"/>
    <w:rsid w:val="00BD5AF4"/>
    <w:rsid w:val="00BD5D75"/>
    <w:rsid w:val="00BD72E6"/>
    <w:rsid w:val="00BD75F9"/>
    <w:rsid w:val="00BD7BFB"/>
    <w:rsid w:val="00BE059B"/>
    <w:rsid w:val="00BE0888"/>
    <w:rsid w:val="00BE0C5A"/>
    <w:rsid w:val="00BE13A9"/>
    <w:rsid w:val="00BE14AF"/>
    <w:rsid w:val="00BE1AD3"/>
    <w:rsid w:val="00BE1C43"/>
    <w:rsid w:val="00BE1F33"/>
    <w:rsid w:val="00BE26B1"/>
    <w:rsid w:val="00BE2D2B"/>
    <w:rsid w:val="00BE2D91"/>
    <w:rsid w:val="00BE3D22"/>
    <w:rsid w:val="00BE3E6A"/>
    <w:rsid w:val="00BE5137"/>
    <w:rsid w:val="00BE51C5"/>
    <w:rsid w:val="00BE67BA"/>
    <w:rsid w:val="00BE7194"/>
    <w:rsid w:val="00BF07B0"/>
    <w:rsid w:val="00BF0F76"/>
    <w:rsid w:val="00BF1129"/>
    <w:rsid w:val="00BF1B8C"/>
    <w:rsid w:val="00BF2BA2"/>
    <w:rsid w:val="00BF2F7B"/>
    <w:rsid w:val="00BF372D"/>
    <w:rsid w:val="00BF3F69"/>
    <w:rsid w:val="00BF4A8A"/>
    <w:rsid w:val="00BF4B06"/>
    <w:rsid w:val="00BF513D"/>
    <w:rsid w:val="00BF76A0"/>
    <w:rsid w:val="00C0014F"/>
    <w:rsid w:val="00C003B0"/>
    <w:rsid w:val="00C005D1"/>
    <w:rsid w:val="00C05A38"/>
    <w:rsid w:val="00C06131"/>
    <w:rsid w:val="00C06293"/>
    <w:rsid w:val="00C06A60"/>
    <w:rsid w:val="00C07590"/>
    <w:rsid w:val="00C07687"/>
    <w:rsid w:val="00C10354"/>
    <w:rsid w:val="00C10EE8"/>
    <w:rsid w:val="00C12019"/>
    <w:rsid w:val="00C1282C"/>
    <w:rsid w:val="00C12E47"/>
    <w:rsid w:val="00C14ECC"/>
    <w:rsid w:val="00C152B2"/>
    <w:rsid w:val="00C16926"/>
    <w:rsid w:val="00C21D94"/>
    <w:rsid w:val="00C22C26"/>
    <w:rsid w:val="00C233AF"/>
    <w:rsid w:val="00C2356A"/>
    <w:rsid w:val="00C23614"/>
    <w:rsid w:val="00C23888"/>
    <w:rsid w:val="00C23F8E"/>
    <w:rsid w:val="00C24B23"/>
    <w:rsid w:val="00C25494"/>
    <w:rsid w:val="00C2693E"/>
    <w:rsid w:val="00C31B06"/>
    <w:rsid w:val="00C32424"/>
    <w:rsid w:val="00C327DF"/>
    <w:rsid w:val="00C32B90"/>
    <w:rsid w:val="00C33DDE"/>
    <w:rsid w:val="00C33E87"/>
    <w:rsid w:val="00C347A1"/>
    <w:rsid w:val="00C347AA"/>
    <w:rsid w:val="00C3515E"/>
    <w:rsid w:val="00C359C1"/>
    <w:rsid w:val="00C36823"/>
    <w:rsid w:val="00C377FD"/>
    <w:rsid w:val="00C40712"/>
    <w:rsid w:val="00C41910"/>
    <w:rsid w:val="00C44195"/>
    <w:rsid w:val="00C4759F"/>
    <w:rsid w:val="00C50806"/>
    <w:rsid w:val="00C5085C"/>
    <w:rsid w:val="00C50AC8"/>
    <w:rsid w:val="00C50E68"/>
    <w:rsid w:val="00C515DE"/>
    <w:rsid w:val="00C517E9"/>
    <w:rsid w:val="00C53549"/>
    <w:rsid w:val="00C54F9B"/>
    <w:rsid w:val="00C554FD"/>
    <w:rsid w:val="00C5617E"/>
    <w:rsid w:val="00C572B9"/>
    <w:rsid w:val="00C5736D"/>
    <w:rsid w:val="00C57529"/>
    <w:rsid w:val="00C57532"/>
    <w:rsid w:val="00C57B63"/>
    <w:rsid w:val="00C57BE7"/>
    <w:rsid w:val="00C57C80"/>
    <w:rsid w:val="00C612C9"/>
    <w:rsid w:val="00C61D68"/>
    <w:rsid w:val="00C622B6"/>
    <w:rsid w:val="00C62572"/>
    <w:rsid w:val="00C634EF"/>
    <w:rsid w:val="00C63CC7"/>
    <w:rsid w:val="00C6548E"/>
    <w:rsid w:val="00C65D09"/>
    <w:rsid w:val="00C67995"/>
    <w:rsid w:val="00C70964"/>
    <w:rsid w:val="00C7128E"/>
    <w:rsid w:val="00C7293E"/>
    <w:rsid w:val="00C7459D"/>
    <w:rsid w:val="00C745C0"/>
    <w:rsid w:val="00C75C92"/>
    <w:rsid w:val="00C75EAD"/>
    <w:rsid w:val="00C76902"/>
    <w:rsid w:val="00C76A03"/>
    <w:rsid w:val="00C772BA"/>
    <w:rsid w:val="00C811CE"/>
    <w:rsid w:val="00C82C5D"/>
    <w:rsid w:val="00C8381E"/>
    <w:rsid w:val="00C86937"/>
    <w:rsid w:val="00C876B2"/>
    <w:rsid w:val="00C915AD"/>
    <w:rsid w:val="00C91B56"/>
    <w:rsid w:val="00C92121"/>
    <w:rsid w:val="00C93619"/>
    <w:rsid w:val="00C93CDC"/>
    <w:rsid w:val="00C9419E"/>
    <w:rsid w:val="00C94373"/>
    <w:rsid w:val="00C9459A"/>
    <w:rsid w:val="00C95FE0"/>
    <w:rsid w:val="00C96235"/>
    <w:rsid w:val="00C96EDB"/>
    <w:rsid w:val="00C9700F"/>
    <w:rsid w:val="00C9707C"/>
    <w:rsid w:val="00C97AA2"/>
    <w:rsid w:val="00C97C64"/>
    <w:rsid w:val="00CA0350"/>
    <w:rsid w:val="00CA0944"/>
    <w:rsid w:val="00CA1226"/>
    <w:rsid w:val="00CA2887"/>
    <w:rsid w:val="00CA380E"/>
    <w:rsid w:val="00CA393A"/>
    <w:rsid w:val="00CA39F5"/>
    <w:rsid w:val="00CA4174"/>
    <w:rsid w:val="00CA4E4E"/>
    <w:rsid w:val="00CA50CC"/>
    <w:rsid w:val="00CA51B6"/>
    <w:rsid w:val="00CA5DEA"/>
    <w:rsid w:val="00CA72EB"/>
    <w:rsid w:val="00CA771B"/>
    <w:rsid w:val="00CB0F9D"/>
    <w:rsid w:val="00CB1695"/>
    <w:rsid w:val="00CB2EBC"/>
    <w:rsid w:val="00CB2F56"/>
    <w:rsid w:val="00CB3B19"/>
    <w:rsid w:val="00CB470B"/>
    <w:rsid w:val="00CB5265"/>
    <w:rsid w:val="00CB5625"/>
    <w:rsid w:val="00CB7666"/>
    <w:rsid w:val="00CC0E91"/>
    <w:rsid w:val="00CC181E"/>
    <w:rsid w:val="00CC1DCE"/>
    <w:rsid w:val="00CC1EFA"/>
    <w:rsid w:val="00CC2107"/>
    <w:rsid w:val="00CC3FB8"/>
    <w:rsid w:val="00CC61F4"/>
    <w:rsid w:val="00CC796C"/>
    <w:rsid w:val="00CD1C49"/>
    <w:rsid w:val="00CD2EBA"/>
    <w:rsid w:val="00CD3085"/>
    <w:rsid w:val="00CD3A89"/>
    <w:rsid w:val="00CD3CFD"/>
    <w:rsid w:val="00CD4D3A"/>
    <w:rsid w:val="00CD50D3"/>
    <w:rsid w:val="00CD5428"/>
    <w:rsid w:val="00CD6007"/>
    <w:rsid w:val="00CD658A"/>
    <w:rsid w:val="00CD682B"/>
    <w:rsid w:val="00CD69BA"/>
    <w:rsid w:val="00CE034E"/>
    <w:rsid w:val="00CE08D0"/>
    <w:rsid w:val="00CE0EB0"/>
    <w:rsid w:val="00CE192F"/>
    <w:rsid w:val="00CE2E08"/>
    <w:rsid w:val="00CE3573"/>
    <w:rsid w:val="00CE3BC1"/>
    <w:rsid w:val="00CE4186"/>
    <w:rsid w:val="00CE76E8"/>
    <w:rsid w:val="00CE7C6C"/>
    <w:rsid w:val="00CF0516"/>
    <w:rsid w:val="00CF10E1"/>
    <w:rsid w:val="00CF1BC7"/>
    <w:rsid w:val="00CF25AC"/>
    <w:rsid w:val="00CF25CF"/>
    <w:rsid w:val="00CF3B1F"/>
    <w:rsid w:val="00CF3D7F"/>
    <w:rsid w:val="00CF41DE"/>
    <w:rsid w:val="00CF46D2"/>
    <w:rsid w:val="00CF4C0B"/>
    <w:rsid w:val="00CF5025"/>
    <w:rsid w:val="00CF5782"/>
    <w:rsid w:val="00CF602A"/>
    <w:rsid w:val="00CF6381"/>
    <w:rsid w:val="00CF64C1"/>
    <w:rsid w:val="00CF65EE"/>
    <w:rsid w:val="00CF692F"/>
    <w:rsid w:val="00CF7FE4"/>
    <w:rsid w:val="00D001EA"/>
    <w:rsid w:val="00D0025E"/>
    <w:rsid w:val="00D004B2"/>
    <w:rsid w:val="00D00E1F"/>
    <w:rsid w:val="00D00E2A"/>
    <w:rsid w:val="00D01ADD"/>
    <w:rsid w:val="00D02CCB"/>
    <w:rsid w:val="00D02F9A"/>
    <w:rsid w:val="00D03528"/>
    <w:rsid w:val="00D03B62"/>
    <w:rsid w:val="00D03F44"/>
    <w:rsid w:val="00D044A0"/>
    <w:rsid w:val="00D0519A"/>
    <w:rsid w:val="00D05A44"/>
    <w:rsid w:val="00D06053"/>
    <w:rsid w:val="00D07669"/>
    <w:rsid w:val="00D079E4"/>
    <w:rsid w:val="00D114E4"/>
    <w:rsid w:val="00D132CC"/>
    <w:rsid w:val="00D144C9"/>
    <w:rsid w:val="00D160C6"/>
    <w:rsid w:val="00D16EEE"/>
    <w:rsid w:val="00D172B1"/>
    <w:rsid w:val="00D20272"/>
    <w:rsid w:val="00D21D31"/>
    <w:rsid w:val="00D2213D"/>
    <w:rsid w:val="00D22DD9"/>
    <w:rsid w:val="00D22FA4"/>
    <w:rsid w:val="00D2313C"/>
    <w:rsid w:val="00D23568"/>
    <w:rsid w:val="00D23961"/>
    <w:rsid w:val="00D23C40"/>
    <w:rsid w:val="00D252F2"/>
    <w:rsid w:val="00D25883"/>
    <w:rsid w:val="00D25F6A"/>
    <w:rsid w:val="00D26CC6"/>
    <w:rsid w:val="00D26E2F"/>
    <w:rsid w:val="00D2732B"/>
    <w:rsid w:val="00D27EF6"/>
    <w:rsid w:val="00D27F6A"/>
    <w:rsid w:val="00D303D2"/>
    <w:rsid w:val="00D30A28"/>
    <w:rsid w:val="00D31C91"/>
    <w:rsid w:val="00D323D3"/>
    <w:rsid w:val="00D33197"/>
    <w:rsid w:val="00D3329E"/>
    <w:rsid w:val="00D3340E"/>
    <w:rsid w:val="00D34F77"/>
    <w:rsid w:val="00D34FC7"/>
    <w:rsid w:val="00D35283"/>
    <w:rsid w:val="00D35320"/>
    <w:rsid w:val="00D35E76"/>
    <w:rsid w:val="00D36C51"/>
    <w:rsid w:val="00D37EAE"/>
    <w:rsid w:val="00D415B3"/>
    <w:rsid w:val="00D4277C"/>
    <w:rsid w:val="00D431DA"/>
    <w:rsid w:val="00D4352F"/>
    <w:rsid w:val="00D45380"/>
    <w:rsid w:val="00D45D34"/>
    <w:rsid w:val="00D46590"/>
    <w:rsid w:val="00D466AD"/>
    <w:rsid w:val="00D4683B"/>
    <w:rsid w:val="00D468E7"/>
    <w:rsid w:val="00D46E77"/>
    <w:rsid w:val="00D46F75"/>
    <w:rsid w:val="00D474BF"/>
    <w:rsid w:val="00D50104"/>
    <w:rsid w:val="00D50493"/>
    <w:rsid w:val="00D511FC"/>
    <w:rsid w:val="00D52072"/>
    <w:rsid w:val="00D5396E"/>
    <w:rsid w:val="00D53EDE"/>
    <w:rsid w:val="00D54B16"/>
    <w:rsid w:val="00D55B7E"/>
    <w:rsid w:val="00D56331"/>
    <w:rsid w:val="00D57293"/>
    <w:rsid w:val="00D57621"/>
    <w:rsid w:val="00D6040B"/>
    <w:rsid w:val="00D60AD4"/>
    <w:rsid w:val="00D6140F"/>
    <w:rsid w:val="00D616B6"/>
    <w:rsid w:val="00D63AFE"/>
    <w:rsid w:val="00D63EFC"/>
    <w:rsid w:val="00D64B1D"/>
    <w:rsid w:val="00D64E2B"/>
    <w:rsid w:val="00D65600"/>
    <w:rsid w:val="00D65DD7"/>
    <w:rsid w:val="00D66898"/>
    <w:rsid w:val="00D67744"/>
    <w:rsid w:val="00D7056E"/>
    <w:rsid w:val="00D70E34"/>
    <w:rsid w:val="00D7261F"/>
    <w:rsid w:val="00D72B8C"/>
    <w:rsid w:val="00D72D65"/>
    <w:rsid w:val="00D72F14"/>
    <w:rsid w:val="00D73147"/>
    <w:rsid w:val="00D735C5"/>
    <w:rsid w:val="00D73FBD"/>
    <w:rsid w:val="00D7490B"/>
    <w:rsid w:val="00D74FE3"/>
    <w:rsid w:val="00D75A91"/>
    <w:rsid w:val="00D75AF8"/>
    <w:rsid w:val="00D763C2"/>
    <w:rsid w:val="00D76BDA"/>
    <w:rsid w:val="00D76F6F"/>
    <w:rsid w:val="00D77C98"/>
    <w:rsid w:val="00D801F2"/>
    <w:rsid w:val="00D8134A"/>
    <w:rsid w:val="00D81445"/>
    <w:rsid w:val="00D81966"/>
    <w:rsid w:val="00D81F2F"/>
    <w:rsid w:val="00D82096"/>
    <w:rsid w:val="00D82647"/>
    <w:rsid w:val="00D8304B"/>
    <w:rsid w:val="00D83C16"/>
    <w:rsid w:val="00D83F70"/>
    <w:rsid w:val="00D8404B"/>
    <w:rsid w:val="00D84311"/>
    <w:rsid w:val="00D84554"/>
    <w:rsid w:val="00D900CA"/>
    <w:rsid w:val="00D90124"/>
    <w:rsid w:val="00D9095B"/>
    <w:rsid w:val="00D90F49"/>
    <w:rsid w:val="00D910F3"/>
    <w:rsid w:val="00D91C0B"/>
    <w:rsid w:val="00D92DB5"/>
    <w:rsid w:val="00D94897"/>
    <w:rsid w:val="00D94AE6"/>
    <w:rsid w:val="00D95377"/>
    <w:rsid w:val="00D9572E"/>
    <w:rsid w:val="00D96146"/>
    <w:rsid w:val="00D966FB"/>
    <w:rsid w:val="00D974AE"/>
    <w:rsid w:val="00DA0B46"/>
    <w:rsid w:val="00DA0E28"/>
    <w:rsid w:val="00DA11B7"/>
    <w:rsid w:val="00DA1320"/>
    <w:rsid w:val="00DA1374"/>
    <w:rsid w:val="00DA1B8A"/>
    <w:rsid w:val="00DA1C79"/>
    <w:rsid w:val="00DA2776"/>
    <w:rsid w:val="00DA2F07"/>
    <w:rsid w:val="00DA3131"/>
    <w:rsid w:val="00DA4D71"/>
    <w:rsid w:val="00DA5195"/>
    <w:rsid w:val="00DB013F"/>
    <w:rsid w:val="00DB06D9"/>
    <w:rsid w:val="00DB1148"/>
    <w:rsid w:val="00DB2766"/>
    <w:rsid w:val="00DB28E7"/>
    <w:rsid w:val="00DB51B9"/>
    <w:rsid w:val="00DB5625"/>
    <w:rsid w:val="00DB56B7"/>
    <w:rsid w:val="00DB5D5E"/>
    <w:rsid w:val="00DB63D3"/>
    <w:rsid w:val="00DB6CAC"/>
    <w:rsid w:val="00DB7875"/>
    <w:rsid w:val="00DB7E87"/>
    <w:rsid w:val="00DC10C3"/>
    <w:rsid w:val="00DC2152"/>
    <w:rsid w:val="00DC2DF5"/>
    <w:rsid w:val="00DC3236"/>
    <w:rsid w:val="00DC3EB7"/>
    <w:rsid w:val="00DC3EBD"/>
    <w:rsid w:val="00DC4E27"/>
    <w:rsid w:val="00DC522A"/>
    <w:rsid w:val="00DC5964"/>
    <w:rsid w:val="00DC5D25"/>
    <w:rsid w:val="00DC62AA"/>
    <w:rsid w:val="00DC6B25"/>
    <w:rsid w:val="00DC742F"/>
    <w:rsid w:val="00DC78CB"/>
    <w:rsid w:val="00DC7B0A"/>
    <w:rsid w:val="00DD1758"/>
    <w:rsid w:val="00DD1A0A"/>
    <w:rsid w:val="00DD1F2E"/>
    <w:rsid w:val="00DD27E2"/>
    <w:rsid w:val="00DD3048"/>
    <w:rsid w:val="00DD41EB"/>
    <w:rsid w:val="00DD5423"/>
    <w:rsid w:val="00DD628F"/>
    <w:rsid w:val="00DD7118"/>
    <w:rsid w:val="00DE0B6D"/>
    <w:rsid w:val="00DE0E85"/>
    <w:rsid w:val="00DE11B8"/>
    <w:rsid w:val="00DE3611"/>
    <w:rsid w:val="00DE3B4B"/>
    <w:rsid w:val="00DE4761"/>
    <w:rsid w:val="00DE56F0"/>
    <w:rsid w:val="00DE694C"/>
    <w:rsid w:val="00DE7327"/>
    <w:rsid w:val="00DE7BF5"/>
    <w:rsid w:val="00DF16AE"/>
    <w:rsid w:val="00DF183E"/>
    <w:rsid w:val="00DF1A50"/>
    <w:rsid w:val="00DF1A74"/>
    <w:rsid w:val="00DF224E"/>
    <w:rsid w:val="00DF2F18"/>
    <w:rsid w:val="00DF5305"/>
    <w:rsid w:val="00DF5B68"/>
    <w:rsid w:val="00DF7F9B"/>
    <w:rsid w:val="00E00442"/>
    <w:rsid w:val="00E01733"/>
    <w:rsid w:val="00E01C02"/>
    <w:rsid w:val="00E029CE"/>
    <w:rsid w:val="00E02A94"/>
    <w:rsid w:val="00E02E74"/>
    <w:rsid w:val="00E045D2"/>
    <w:rsid w:val="00E047D6"/>
    <w:rsid w:val="00E062D2"/>
    <w:rsid w:val="00E06CF6"/>
    <w:rsid w:val="00E075BB"/>
    <w:rsid w:val="00E077B0"/>
    <w:rsid w:val="00E07E32"/>
    <w:rsid w:val="00E10276"/>
    <w:rsid w:val="00E11258"/>
    <w:rsid w:val="00E11664"/>
    <w:rsid w:val="00E1296F"/>
    <w:rsid w:val="00E129F6"/>
    <w:rsid w:val="00E12AEA"/>
    <w:rsid w:val="00E13AA5"/>
    <w:rsid w:val="00E13E92"/>
    <w:rsid w:val="00E14966"/>
    <w:rsid w:val="00E16BC8"/>
    <w:rsid w:val="00E1790D"/>
    <w:rsid w:val="00E17E16"/>
    <w:rsid w:val="00E203EA"/>
    <w:rsid w:val="00E205DC"/>
    <w:rsid w:val="00E21244"/>
    <w:rsid w:val="00E217FD"/>
    <w:rsid w:val="00E21875"/>
    <w:rsid w:val="00E22980"/>
    <w:rsid w:val="00E22F16"/>
    <w:rsid w:val="00E23AC9"/>
    <w:rsid w:val="00E23B50"/>
    <w:rsid w:val="00E24896"/>
    <w:rsid w:val="00E248BF"/>
    <w:rsid w:val="00E25727"/>
    <w:rsid w:val="00E25CEF"/>
    <w:rsid w:val="00E277AA"/>
    <w:rsid w:val="00E319CF"/>
    <w:rsid w:val="00E3259D"/>
    <w:rsid w:val="00E3298C"/>
    <w:rsid w:val="00E32D2B"/>
    <w:rsid w:val="00E36453"/>
    <w:rsid w:val="00E36F77"/>
    <w:rsid w:val="00E370E3"/>
    <w:rsid w:val="00E3777B"/>
    <w:rsid w:val="00E4078A"/>
    <w:rsid w:val="00E42278"/>
    <w:rsid w:val="00E42351"/>
    <w:rsid w:val="00E42732"/>
    <w:rsid w:val="00E42D80"/>
    <w:rsid w:val="00E4302D"/>
    <w:rsid w:val="00E43AA0"/>
    <w:rsid w:val="00E43F9E"/>
    <w:rsid w:val="00E4436F"/>
    <w:rsid w:val="00E4479A"/>
    <w:rsid w:val="00E4559C"/>
    <w:rsid w:val="00E4607B"/>
    <w:rsid w:val="00E46190"/>
    <w:rsid w:val="00E46B5D"/>
    <w:rsid w:val="00E46E3A"/>
    <w:rsid w:val="00E47B7F"/>
    <w:rsid w:val="00E50264"/>
    <w:rsid w:val="00E50343"/>
    <w:rsid w:val="00E50527"/>
    <w:rsid w:val="00E510E3"/>
    <w:rsid w:val="00E5142E"/>
    <w:rsid w:val="00E514D9"/>
    <w:rsid w:val="00E5170D"/>
    <w:rsid w:val="00E518D0"/>
    <w:rsid w:val="00E52381"/>
    <w:rsid w:val="00E52725"/>
    <w:rsid w:val="00E54AE8"/>
    <w:rsid w:val="00E55CFE"/>
    <w:rsid w:val="00E567B2"/>
    <w:rsid w:val="00E56AF6"/>
    <w:rsid w:val="00E570A8"/>
    <w:rsid w:val="00E60D45"/>
    <w:rsid w:val="00E60D83"/>
    <w:rsid w:val="00E615DD"/>
    <w:rsid w:val="00E619EA"/>
    <w:rsid w:val="00E63797"/>
    <w:rsid w:val="00E63EE8"/>
    <w:rsid w:val="00E641FB"/>
    <w:rsid w:val="00E64612"/>
    <w:rsid w:val="00E6517F"/>
    <w:rsid w:val="00E653A0"/>
    <w:rsid w:val="00E65C73"/>
    <w:rsid w:val="00E66246"/>
    <w:rsid w:val="00E66247"/>
    <w:rsid w:val="00E66A79"/>
    <w:rsid w:val="00E679F2"/>
    <w:rsid w:val="00E67E6F"/>
    <w:rsid w:val="00E70DDE"/>
    <w:rsid w:val="00E70FED"/>
    <w:rsid w:val="00E7180A"/>
    <w:rsid w:val="00E71839"/>
    <w:rsid w:val="00E718D3"/>
    <w:rsid w:val="00E727D1"/>
    <w:rsid w:val="00E73485"/>
    <w:rsid w:val="00E73B6A"/>
    <w:rsid w:val="00E74128"/>
    <w:rsid w:val="00E74CB6"/>
    <w:rsid w:val="00E75DD3"/>
    <w:rsid w:val="00E7652B"/>
    <w:rsid w:val="00E77152"/>
    <w:rsid w:val="00E77B37"/>
    <w:rsid w:val="00E77CBE"/>
    <w:rsid w:val="00E80DFD"/>
    <w:rsid w:val="00E811F1"/>
    <w:rsid w:val="00E81289"/>
    <w:rsid w:val="00E8354D"/>
    <w:rsid w:val="00E83927"/>
    <w:rsid w:val="00E8483D"/>
    <w:rsid w:val="00E851F7"/>
    <w:rsid w:val="00E864C5"/>
    <w:rsid w:val="00E8680B"/>
    <w:rsid w:val="00E87877"/>
    <w:rsid w:val="00E87C93"/>
    <w:rsid w:val="00E9413A"/>
    <w:rsid w:val="00E953CB"/>
    <w:rsid w:val="00E9545E"/>
    <w:rsid w:val="00E95CE1"/>
    <w:rsid w:val="00E95FF3"/>
    <w:rsid w:val="00E960FB"/>
    <w:rsid w:val="00E9797E"/>
    <w:rsid w:val="00E97F5C"/>
    <w:rsid w:val="00E97FA5"/>
    <w:rsid w:val="00EA011C"/>
    <w:rsid w:val="00EA051E"/>
    <w:rsid w:val="00EA27BB"/>
    <w:rsid w:val="00EA37E8"/>
    <w:rsid w:val="00EA3BB3"/>
    <w:rsid w:val="00EA3FF1"/>
    <w:rsid w:val="00EA4511"/>
    <w:rsid w:val="00EA4B8A"/>
    <w:rsid w:val="00EA4E64"/>
    <w:rsid w:val="00EA5E47"/>
    <w:rsid w:val="00EA683B"/>
    <w:rsid w:val="00EA6C76"/>
    <w:rsid w:val="00EA7C36"/>
    <w:rsid w:val="00EB0564"/>
    <w:rsid w:val="00EB1C0B"/>
    <w:rsid w:val="00EB22A1"/>
    <w:rsid w:val="00EB24B4"/>
    <w:rsid w:val="00EB3139"/>
    <w:rsid w:val="00EB41CD"/>
    <w:rsid w:val="00EB6A07"/>
    <w:rsid w:val="00EB6C83"/>
    <w:rsid w:val="00EB76F3"/>
    <w:rsid w:val="00EB7A6F"/>
    <w:rsid w:val="00EB7D21"/>
    <w:rsid w:val="00EC1B7B"/>
    <w:rsid w:val="00EC3420"/>
    <w:rsid w:val="00EC36EF"/>
    <w:rsid w:val="00EC4430"/>
    <w:rsid w:val="00EC6D5B"/>
    <w:rsid w:val="00EC6FF4"/>
    <w:rsid w:val="00EC757D"/>
    <w:rsid w:val="00EC797E"/>
    <w:rsid w:val="00ED013D"/>
    <w:rsid w:val="00ED0AAD"/>
    <w:rsid w:val="00ED2046"/>
    <w:rsid w:val="00ED29C9"/>
    <w:rsid w:val="00ED2C13"/>
    <w:rsid w:val="00ED45CC"/>
    <w:rsid w:val="00ED5160"/>
    <w:rsid w:val="00ED5AC3"/>
    <w:rsid w:val="00ED626F"/>
    <w:rsid w:val="00ED68A3"/>
    <w:rsid w:val="00EE085E"/>
    <w:rsid w:val="00EE16CA"/>
    <w:rsid w:val="00EE252C"/>
    <w:rsid w:val="00EE2624"/>
    <w:rsid w:val="00EE303F"/>
    <w:rsid w:val="00EE30E8"/>
    <w:rsid w:val="00EE316A"/>
    <w:rsid w:val="00EE3751"/>
    <w:rsid w:val="00EE44F9"/>
    <w:rsid w:val="00EE6744"/>
    <w:rsid w:val="00EF09F7"/>
    <w:rsid w:val="00EF108B"/>
    <w:rsid w:val="00EF1673"/>
    <w:rsid w:val="00EF17B7"/>
    <w:rsid w:val="00EF1DAB"/>
    <w:rsid w:val="00EF2111"/>
    <w:rsid w:val="00EF250F"/>
    <w:rsid w:val="00EF2D73"/>
    <w:rsid w:val="00EF3003"/>
    <w:rsid w:val="00EF38CB"/>
    <w:rsid w:val="00EF3A07"/>
    <w:rsid w:val="00EF3B84"/>
    <w:rsid w:val="00EF3EC7"/>
    <w:rsid w:val="00F0069C"/>
    <w:rsid w:val="00F022A7"/>
    <w:rsid w:val="00F02815"/>
    <w:rsid w:val="00F03B05"/>
    <w:rsid w:val="00F04BE7"/>
    <w:rsid w:val="00F06184"/>
    <w:rsid w:val="00F0668B"/>
    <w:rsid w:val="00F06AEF"/>
    <w:rsid w:val="00F06F7E"/>
    <w:rsid w:val="00F07876"/>
    <w:rsid w:val="00F07D78"/>
    <w:rsid w:val="00F1232D"/>
    <w:rsid w:val="00F12506"/>
    <w:rsid w:val="00F13442"/>
    <w:rsid w:val="00F13822"/>
    <w:rsid w:val="00F13C10"/>
    <w:rsid w:val="00F142CA"/>
    <w:rsid w:val="00F14542"/>
    <w:rsid w:val="00F15AF3"/>
    <w:rsid w:val="00F15B6F"/>
    <w:rsid w:val="00F15F27"/>
    <w:rsid w:val="00F16130"/>
    <w:rsid w:val="00F172C1"/>
    <w:rsid w:val="00F175E5"/>
    <w:rsid w:val="00F17904"/>
    <w:rsid w:val="00F21199"/>
    <w:rsid w:val="00F21640"/>
    <w:rsid w:val="00F2221B"/>
    <w:rsid w:val="00F22EE1"/>
    <w:rsid w:val="00F23AB1"/>
    <w:rsid w:val="00F252A7"/>
    <w:rsid w:val="00F2543C"/>
    <w:rsid w:val="00F2556F"/>
    <w:rsid w:val="00F26333"/>
    <w:rsid w:val="00F2723F"/>
    <w:rsid w:val="00F277DF"/>
    <w:rsid w:val="00F323E6"/>
    <w:rsid w:val="00F3376F"/>
    <w:rsid w:val="00F33AA0"/>
    <w:rsid w:val="00F33AF9"/>
    <w:rsid w:val="00F3405C"/>
    <w:rsid w:val="00F341DB"/>
    <w:rsid w:val="00F35085"/>
    <w:rsid w:val="00F35507"/>
    <w:rsid w:val="00F35B23"/>
    <w:rsid w:val="00F35BCA"/>
    <w:rsid w:val="00F37CCA"/>
    <w:rsid w:val="00F4054A"/>
    <w:rsid w:val="00F406B6"/>
    <w:rsid w:val="00F40E94"/>
    <w:rsid w:val="00F41700"/>
    <w:rsid w:val="00F41CBF"/>
    <w:rsid w:val="00F433C1"/>
    <w:rsid w:val="00F43680"/>
    <w:rsid w:val="00F455FF"/>
    <w:rsid w:val="00F4567C"/>
    <w:rsid w:val="00F45E07"/>
    <w:rsid w:val="00F462CD"/>
    <w:rsid w:val="00F47F9F"/>
    <w:rsid w:val="00F506A0"/>
    <w:rsid w:val="00F52224"/>
    <w:rsid w:val="00F52642"/>
    <w:rsid w:val="00F52659"/>
    <w:rsid w:val="00F539FD"/>
    <w:rsid w:val="00F53AC9"/>
    <w:rsid w:val="00F53DF8"/>
    <w:rsid w:val="00F54268"/>
    <w:rsid w:val="00F551F9"/>
    <w:rsid w:val="00F5521C"/>
    <w:rsid w:val="00F55282"/>
    <w:rsid w:val="00F5593E"/>
    <w:rsid w:val="00F55B8C"/>
    <w:rsid w:val="00F56623"/>
    <w:rsid w:val="00F56D3A"/>
    <w:rsid w:val="00F574AA"/>
    <w:rsid w:val="00F60406"/>
    <w:rsid w:val="00F61E94"/>
    <w:rsid w:val="00F63B47"/>
    <w:rsid w:val="00F646F3"/>
    <w:rsid w:val="00F65128"/>
    <w:rsid w:val="00F652F4"/>
    <w:rsid w:val="00F659DC"/>
    <w:rsid w:val="00F6652A"/>
    <w:rsid w:val="00F6685D"/>
    <w:rsid w:val="00F66B30"/>
    <w:rsid w:val="00F70C2D"/>
    <w:rsid w:val="00F70E6C"/>
    <w:rsid w:val="00F70F9A"/>
    <w:rsid w:val="00F71C43"/>
    <w:rsid w:val="00F71C48"/>
    <w:rsid w:val="00F71CE5"/>
    <w:rsid w:val="00F71F07"/>
    <w:rsid w:val="00F72004"/>
    <w:rsid w:val="00F7275B"/>
    <w:rsid w:val="00F728A8"/>
    <w:rsid w:val="00F72DDD"/>
    <w:rsid w:val="00F73D8F"/>
    <w:rsid w:val="00F76969"/>
    <w:rsid w:val="00F76AA5"/>
    <w:rsid w:val="00F76FF5"/>
    <w:rsid w:val="00F77320"/>
    <w:rsid w:val="00F8094E"/>
    <w:rsid w:val="00F81E14"/>
    <w:rsid w:val="00F8221A"/>
    <w:rsid w:val="00F82B41"/>
    <w:rsid w:val="00F83AD4"/>
    <w:rsid w:val="00F85509"/>
    <w:rsid w:val="00F863EA"/>
    <w:rsid w:val="00F87035"/>
    <w:rsid w:val="00F87640"/>
    <w:rsid w:val="00F87660"/>
    <w:rsid w:val="00F91175"/>
    <w:rsid w:val="00F92797"/>
    <w:rsid w:val="00F9554F"/>
    <w:rsid w:val="00F968B3"/>
    <w:rsid w:val="00F96936"/>
    <w:rsid w:val="00F97CB1"/>
    <w:rsid w:val="00FA0972"/>
    <w:rsid w:val="00FA0E35"/>
    <w:rsid w:val="00FA1C62"/>
    <w:rsid w:val="00FA1C75"/>
    <w:rsid w:val="00FA2C33"/>
    <w:rsid w:val="00FA2CF1"/>
    <w:rsid w:val="00FA387A"/>
    <w:rsid w:val="00FA3F75"/>
    <w:rsid w:val="00FA4475"/>
    <w:rsid w:val="00FA4643"/>
    <w:rsid w:val="00FA4F83"/>
    <w:rsid w:val="00FA5D57"/>
    <w:rsid w:val="00FA7490"/>
    <w:rsid w:val="00FA7A9F"/>
    <w:rsid w:val="00FB006C"/>
    <w:rsid w:val="00FB06AB"/>
    <w:rsid w:val="00FB0AF6"/>
    <w:rsid w:val="00FB0BD9"/>
    <w:rsid w:val="00FB11C7"/>
    <w:rsid w:val="00FB21DD"/>
    <w:rsid w:val="00FB25D0"/>
    <w:rsid w:val="00FB2BA2"/>
    <w:rsid w:val="00FB3400"/>
    <w:rsid w:val="00FB3600"/>
    <w:rsid w:val="00FB3BB4"/>
    <w:rsid w:val="00FB64C9"/>
    <w:rsid w:val="00FB6ABC"/>
    <w:rsid w:val="00FB7916"/>
    <w:rsid w:val="00FC0133"/>
    <w:rsid w:val="00FC0F00"/>
    <w:rsid w:val="00FC1BDC"/>
    <w:rsid w:val="00FC2984"/>
    <w:rsid w:val="00FC3EBA"/>
    <w:rsid w:val="00FC516C"/>
    <w:rsid w:val="00FC5430"/>
    <w:rsid w:val="00FC5B5D"/>
    <w:rsid w:val="00FC5F25"/>
    <w:rsid w:val="00FC6199"/>
    <w:rsid w:val="00FC654F"/>
    <w:rsid w:val="00FC7721"/>
    <w:rsid w:val="00FC786C"/>
    <w:rsid w:val="00FC7A6D"/>
    <w:rsid w:val="00FD2602"/>
    <w:rsid w:val="00FD2BFB"/>
    <w:rsid w:val="00FD3368"/>
    <w:rsid w:val="00FD37C7"/>
    <w:rsid w:val="00FD3FC1"/>
    <w:rsid w:val="00FD3FF9"/>
    <w:rsid w:val="00FD4C5F"/>
    <w:rsid w:val="00FD51C6"/>
    <w:rsid w:val="00FD591B"/>
    <w:rsid w:val="00FD5B11"/>
    <w:rsid w:val="00FD5F7D"/>
    <w:rsid w:val="00FD744E"/>
    <w:rsid w:val="00FE00B1"/>
    <w:rsid w:val="00FE21E7"/>
    <w:rsid w:val="00FE23E6"/>
    <w:rsid w:val="00FE3AB5"/>
    <w:rsid w:val="00FE578E"/>
    <w:rsid w:val="00FE6731"/>
    <w:rsid w:val="00FE735C"/>
    <w:rsid w:val="00FE7423"/>
    <w:rsid w:val="00FE7633"/>
    <w:rsid w:val="00FE78A2"/>
    <w:rsid w:val="00FE78E9"/>
    <w:rsid w:val="00FE7D0B"/>
    <w:rsid w:val="00FF0CFC"/>
    <w:rsid w:val="00FF0FE3"/>
    <w:rsid w:val="00FF1195"/>
    <w:rsid w:val="00FF1875"/>
    <w:rsid w:val="00FF3BBB"/>
    <w:rsid w:val="00FF4CBB"/>
    <w:rsid w:val="00FF5378"/>
    <w:rsid w:val="00FF5471"/>
    <w:rsid w:val="00FF5C24"/>
    <w:rsid w:val="00FF6DC5"/>
    <w:rsid w:val="00FF77A1"/>
    <w:rsid w:val="03102821"/>
    <w:rsid w:val="046F6F7A"/>
    <w:rsid w:val="05505ADB"/>
    <w:rsid w:val="06643D3F"/>
    <w:rsid w:val="06A42827"/>
    <w:rsid w:val="08735B38"/>
    <w:rsid w:val="09C06A41"/>
    <w:rsid w:val="0B6E7083"/>
    <w:rsid w:val="0BCA0D04"/>
    <w:rsid w:val="0C2B79B9"/>
    <w:rsid w:val="0DD75FF9"/>
    <w:rsid w:val="0E415A82"/>
    <w:rsid w:val="0E8A125B"/>
    <w:rsid w:val="0F017A58"/>
    <w:rsid w:val="10716F42"/>
    <w:rsid w:val="122B47E8"/>
    <w:rsid w:val="123165F5"/>
    <w:rsid w:val="134B0DA8"/>
    <w:rsid w:val="15235841"/>
    <w:rsid w:val="16043DD1"/>
    <w:rsid w:val="18EF07C0"/>
    <w:rsid w:val="1A8358C8"/>
    <w:rsid w:val="1C67247F"/>
    <w:rsid w:val="1DF177AD"/>
    <w:rsid w:val="22123982"/>
    <w:rsid w:val="22700216"/>
    <w:rsid w:val="25543045"/>
    <w:rsid w:val="283C44C8"/>
    <w:rsid w:val="2A801278"/>
    <w:rsid w:val="2B5D2C25"/>
    <w:rsid w:val="2C7F6499"/>
    <w:rsid w:val="36133DF0"/>
    <w:rsid w:val="36CE5AA8"/>
    <w:rsid w:val="382A71CD"/>
    <w:rsid w:val="392C4981"/>
    <w:rsid w:val="3A67781F"/>
    <w:rsid w:val="3E4D29A8"/>
    <w:rsid w:val="401446CF"/>
    <w:rsid w:val="42DF4DA5"/>
    <w:rsid w:val="45325EE1"/>
    <w:rsid w:val="45D60C8D"/>
    <w:rsid w:val="46614C85"/>
    <w:rsid w:val="47DC382C"/>
    <w:rsid w:val="4A720E11"/>
    <w:rsid w:val="4B567B67"/>
    <w:rsid w:val="4DF8572C"/>
    <w:rsid w:val="4FBB4C21"/>
    <w:rsid w:val="53DB10FA"/>
    <w:rsid w:val="53F83F48"/>
    <w:rsid w:val="54315780"/>
    <w:rsid w:val="54421E42"/>
    <w:rsid w:val="5529163F"/>
    <w:rsid w:val="582D7388"/>
    <w:rsid w:val="5B021118"/>
    <w:rsid w:val="5E89174E"/>
    <w:rsid w:val="5F14226F"/>
    <w:rsid w:val="5F3E2926"/>
    <w:rsid w:val="608C605F"/>
    <w:rsid w:val="622B4C85"/>
    <w:rsid w:val="62FB33C2"/>
    <w:rsid w:val="63812FEA"/>
    <w:rsid w:val="659C2643"/>
    <w:rsid w:val="68310BF7"/>
    <w:rsid w:val="69F02740"/>
    <w:rsid w:val="6BA419FC"/>
    <w:rsid w:val="72B16127"/>
    <w:rsid w:val="734E2997"/>
    <w:rsid w:val="73741A3A"/>
    <w:rsid w:val="77E445E6"/>
    <w:rsid w:val="781E09CC"/>
    <w:rsid w:val="7884242D"/>
    <w:rsid w:val="79A75453"/>
    <w:rsid w:val="7C3958AF"/>
    <w:rsid w:val="7CF252A7"/>
    <w:rsid w:val="7EDC04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mbria" w:hAnsi="Cambria" w:eastAsia="宋体" w:cs="Times New Roman"/>
      <w:kern w:val="2"/>
      <w:sz w:val="24"/>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paragraph" w:customStyle="1" w:styleId="7">
    <w:name w:val=" Char"/>
    <w:basedOn w:val="1"/>
    <w:qFormat/>
    <w:uiPriority w:val="0"/>
    <w:pPr>
      <w:snapToGrid w:val="0"/>
      <w:spacing w:line="360" w:lineRule="auto"/>
      <w:ind w:firstLine="200" w:firstLineChars="200"/>
    </w:pPr>
    <w:rPr>
      <w:rFonts w:ascii="Times New Roman" w:hAnsi="Times New Roman"/>
      <w:sz w:val="21"/>
    </w:rPr>
  </w:style>
  <w:style w:type="character" w:customStyle="1" w:styleId="8">
    <w:name w:val=" Char Char"/>
    <w:basedOn w:val="4"/>
    <w:link w:val="2"/>
    <w:qFormat/>
    <w:uiPriority w:val="99"/>
    <w:rPr>
      <w:rFonts w:ascii="Cambria" w:hAnsi="Cambria"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1469</Words>
  <Characters>8376</Characters>
  <Lines>69</Lines>
  <Paragraphs>19</Paragraphs>
  <ScaleCrop>false</ScaleCrop>
  <LinksUpToDate>false</LinksUpToDate>
  <CharactersWithSpaces>9826</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2017-10-09T09:02:00Z</dcterms:created>
  <dc:creator>Administrator</dc:creator>
  <cp:lastModifiedBy>黄茜</cp:lastModifiedBy>
  <cp:lastPrinted>2018-12-26T08:24:00Z</cp:lastPrinted>
  <dcterms:modified xsi:type="dcterms:W3CDTF">2019-01-02T02:15:11Z</dcterms:modified>
  <dc:title>深府〔2017〕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