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jc w:val="center"/>
        <w:textAlignment w:val="auto"/>
        <w:outlineLvl w:val="9"/>
        <w:rPr>
          <w:rFonts w:ascii="黑体" w:hAnsi="黑体" w:eastAsia="黑体" w:cs="黑体"/>
          <w:color w:val="000000"/>
          <w:sz w:val="28"/>
        </w:rPr>
      </w:pPr>
      <w:r>
        <w:rPr>
          <w:rFonts w:hint="eastAsia" w:ascii="黑体" w:hAnsi="黑体" w:eastAsia="黑体" w:cs="黑体"/>
          <w:color w:val="000000"/>
          <w:sz w:val="28"/>
          <w:lang w:val="en-US" w:eastAsia="zh-CN"/>
        </w:rPr>
        <w:t>福田区沙头街道办事处2018年</w:t>
      </w:r>
      <w:r>
        <w:rPr>
          <w:rFonts w:ascii="黑体" w:hAnsi="黑体" w:eastAsia="黑体" w:cs="黑体"/>
          <w:color w:val="000000"/>
          <w:sz w:val="28"/>
        </w:rPr>
        <w:t>“三公”经费财政拨款预算情况</w:t>
      </w: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jc w:val="both"/>
        <w:textAlignment w:val="auto"/>
        <w:outlineLvl w:val="9"/>
        <w:rPr>
          <w:rFonts w:ascii="黑体" w:hAnsi="黑体" w:eastAsia="黑体" w:cs="黑体"/>
          <w:color w:val="000000"/>
          <w:sz w:val="28"/>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firstLine="482" w:firstLineChars="200"/>
        <w:textAlignment w:val="auto"/>
        <w:outlineLvl w:val="9"/>
        <w:rPr>
          <w:color w:val="000000"/>
          <w:sz w:val="24"/>
          <w:szCs w:val="24"/>
        </w:rPr>
      </w:pPr>
      <w:r>
        <w:rPr>
          <w:rFonts w:ascii="宋体" w:hAnsi="宋体" w:eastAsia="宋体" w:cs="宋体"/>
          <w:b/>
          <w:color w:val="000000"/>
          <w:sz w:val="24"/>
          <w:szCs w:val="24"/>
        </w:rPr>
        <w:t>一、“三公”经费的单位范围</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firstLine="420"/>
        <w:textAlignment w:val="auto"/>
        <w:outlineLvl w:val="9"/>
        <w:rPr>
          <w:rFonts w:ascii="宋体" w:hAnsi="宋体" w:eastAsia="宋体" w:cs="宋体"/>
          <w:color w:val="000000"/>
          <w:sz w:val="24"/>
          <w:szCs w:val="24"/>
        </w:rPr>
      </w:pPr>
      <w:r>
        <w:rPr>
          <w:rFonts w:hint="eastAsia" w:ascii="宋体" w:hAnsi="宋体" w:cs="宋体"/>
          <w:color w:val="000000"/>
          <w:sz w:val="24"/>
          <w:szCs w:val="24"/>
          <w:lang w:val="en-US" w:eastAsia="zh-CN"/>
        </w:rPr>
        <w:t>深圳市福田区沙头街道办事处因公出国（境）费用、公务接待费、公务用车购置和运行维护费开支单位包括深圳市福田区沙头街道办事处（本级）共 1 家单位</w:t>
      </w:r>
      <w:r>
        <w:rPr>
          <w:rFonts w:hint="eastAsia" w:ascii="宋体" w:hAnsi="宋体" w:eastAsia="宋体" w:cs="宋体"/>
          <w:color w:val="000000"/>
          <w:sz w:val="24"/>
          <w:szCs w:val="24"/>
          <w:lang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left="2" w:right="0" w:rightChars="0" w:firstLine="482" w:firstLineChars="200"/>
        <w:textAlignment w:val="auto"/>
        <w:outlineLvl w:val="9"/>
        <w:rPr>
          <w:color w:val="000000"/>
          <w:sz w:val="24"/>
          <w:szCs w:val="24"/>
        </w:rPr>
      </w:pPr>
      <w:r>
        <w:rPr>
          <w:rFonts w:ascii="宋体" w:hAnsi="宋体" w:eastAsia="宋体" w:cs="宋体"/>
          <w:b/>
          <w:color w:val="000000"/>
          <w:sz w:val="24"/>
          <w:szCs w:val="24"/>
        </w:rPr>
        <w:t>二、“三公”经费财政拨款预算情况说明</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firstLine="480" w:firstLineChars="200"/>
        <w:textAlignment w:val="auto"/>
        <w:outlineLvl w:val="9"/>
        <w:rPr>
          <w:color w:val="000000"/>
          <w:sz w:val="24"/>
          <w:szCs w:val="24"/>
        </w:rPr>
      </w:pPr>
      <w:r>
        <w:rPr>
          <w:rFonts w:hint="eastAsia" w:ascii="宋体" w:hAnsi="宋体" w:cs="宋体"/>
          <w:color w:val="000000"/>
          <w:sz w:val="24"/>
          <w:szCs w:val="24"/>
          <w:lang w:eastAsia="zh-CN"/>
        </w:rPr>
        <w:t>2018</w:t>
      </w:r>
      <w:r>
        <w:rPr>
          <w:rFonts w:ascii="宋体" w:hAnsi="宋体" w:eastAsia="宋体" w:cs="宋体"/>
          <w:color w:val="000000"/>
          <w:sz w:val="24"/>
          <w:szCs w:val="24"/>
        </w:rPr>
        <w:t>年“三公”经费财政拨款预算</w:t>
      </w:r>
      <w:r>
        <w:rPr>
          <w:rFonts w:hint="eastAsia" w:ascii="宋体" w:hAnsi="宋体" w:cs="宋体"/>
          <w:color w:val="000000"/>
          <w:sz w:val="24"/>
          <w:szCs w:val="24"/>
          <w:lang w:val="en-US" w:eastAsia="zh-CN"/>
        </w:rPr>
        <w:t>45.50</w:t>
      </w:r>
      <w:r>
        <w:rPr>
          <w:rFonts w:ascii="宋体" w:hAnsi="宋体" w:eastAsia="宋体" w:cs="宋体"/>
          <w:color w:val="000000"/>
          <w:sz w:val="24"/>
          <w:szCs w:val="24"/>
        </w:rPr>
        <w:t>万元，与</w:t>
      </w:r>
      <w:r>
        <w:rPr>
          <w:rFonts w:hint="eastAsia" w:ascii="宋体" w:hAnsi="宋体" w:cs="宋体"/>
          <w:color w:val="000000"/>
          <w:sz w:val="24"/>
          <w:szCs w:val="24"/>
          <w:lang w:eastAsia="zh-CN"/>
        </w:rPr>
        <w:t>2017</w:t>
      </w:r>
      <w:r>
        <w:rPr>
          <w:rFonts w:ascii="宋体" w:hAnsi="宋体" w:eastAsia="宋体" w:cs="宋体"/>
          <w:color w:val="000000"/>
          <w:sz w:val="24"/>
          <w:szCs w:val="24"/>
        </w:rPr>
        <w:t>年“三公”经费财政拨款预算持平。</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firstLine="482" w:firstLineChars="200"/>
        <w:textAlignment w:val="auto"/>
        <w:outlineLvl w:val="9"/>
        <w:rPr>
          <w:color w:val="000000"/>
          <w:sz w:val="24"/>
          <w:szCs w:val="24"/>
        </w:rPr>
      </w:pPr>
      <w:r>
        <w:rPr>
          <w:rFonts w:ascii="宋体" w:hAnsi="宋体" w:eastAsia="宋体" w:cs="宋体"/>
          <w:b/>
          <w:color w:val="000000"/>
          <w:sz w:val="24"/>
          <w:szCs w:val="24"/>
        </w:rPr>
        <w:t>（一）因公出国（境）费用。</w:t>
      </w:r>
      <w:r>
        <w:rPr>
          <w:rFonts w:hint="eastAsia" w:ascii="宋体" w:hAnsi="宋体" w:cs="宋体"/>
          <w:color w:val="000000"/>
          <w:sz w:val="24"/>
          <w:szCs w:val="24"/>
          <w:lang w:eastAsia="zh-CN"/>
        </w:rPr>
        <w:t>2018</w:t>
      </w:r>
      <w:r>
        <w:rPr>
          <w:rFonts w:ascii="宋体" w:hAnsi="宋体" w:eastAsia="宋体" w:cs="宋体"/>
          <w:color w:val="000000"/>
          <w:sz w:val="24"/>
          <w:szCs w:val="24"/>
        </w:rPr>
        <w:t>年预算数</w:t>
      </w:r>
      <w:r>
        <w:rPr>
          <w:rFonts w:hint="eastAsia" w:ascii="宋体" w:hAnsi="宋体" w:cs="宋体"/>
          <w:color w:val="000000"/>
          <w:sz w:val="24"/>
          <w:szCs w:val="24"/>
          <w:lang w:val="en-US" w:eastAsia="zh-CN"/>
        </w:rPr>
        <w:t>0</w:t>
      </w:r>
      <w:r>
        <w:rPr>
          <w:rFonts w:ascii="宋体" w:hAnsi="宋体" w:eastAsia="宋体" w:cs="宋体"/>
          <w:color w:val="000000"/>
          <w:sz w:val="24"/>
          <w:szCs w:val="24"/>
        </w:rPr>
        <w:t>万元。为进一步规范因公出国（境）经费管理，我区因公出国（境）经费完全按零基预算的原则根据市因公出国计划预审会议审定计划动态调配使用，因此</w:t>
      </w:r>
      <w:r>
        <w:rPr>
          <w:rFonts w:hint="eastAsia" w:ascii="宋体" w:hAnsi="宋体" w:cs="宋体"/>
          <w:color w:val="000000"/>
          <w:sz w:val="24"/>
          <w:szCs w:val="24"/>
          <w:lang w:eastAsia="zh-CN"/>
        </w:rPr>
        <w:t>我</w:t>
      </w:r>
      <w:r>
        <w:rPr>
          <w:rFonts w:ascii="宋体" w:hAnsi="宋体" w:eastAsia="宋体" w:cs="宋体"/>
          <w:color w:val="000000"/>
          <w:sz w:val="24"/>
          <w:szCs w:val="24"/>
        </w:rPr>
        <w:t>单位</w:t>
      </w:r>
      <w:r>
        <w:rPr>
          <w:rFonts w:hint="eastAsia" w:ascii="宋体" w:hAnsi="宋体" w:cs="宋体"/>
          <w:color w:val="000000"/>
          <w:sz w:val="24"/>
          <w:szCs w:val="24"/>
          <w:lang w:eastAsia="zh-CN"/>
        </w:rPr>
        <w:t>2018</w:t>
      </w:r>
      <w:r>
        <w:rPr>
          <w:rFonts w:ascii="宋体" w:hAnsi="宋体" w:eastAsia="宋体" w:cs="宋体"/>
          <w:color w:val="000000"/>
          <w:sz w:val="24"/>
          <w:szCs w:val="24"/>
        </w:rPr>
        <w:t>年因公出国（境）经费预算数为零，在实际执行中根据计划据实调配。</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firstLine="482" w:firstLineChars="200"/>
        <w:textAlignment w:val="auto"/>
        <w:outlineLvl w:val="9"/>
        <w:rPr>
          <w:color w:val="000000"/>
          <w:sz w:val="24"/>
          <w:szCs w:val="24"/>
        </w:rPr>
      </w:pPr>
      <w:r>
        <w:rPr>
          <w:rFonts w:ascii="宋体" w:hAnsi="宋体" w:eastAsia="宋体" w:cs="宋体"/>
          <w:b/>
          <w:color w:val="000000"/>
          <w:sz w:val="24"/>
          <w:szCs w:val="24"/>
        </w:rPr>
        <w:t>（二）公务接待费。</w:t>
      </w:r>
      <w:r>
        <w:rPr>
          <w:rFonts w:hint="eastAsia" w:ascii="宋体" w:hAnsi="宋体" w:cs="宋体"/>
          <w:color w:val="000000"/>
          <w:sz w:val="24"/>
          <w:szCs w:val="24"/>
          <w:lang w:eastAsia="zh-CN"/>
        </w:rPr>
        <w:t>2018</w:t>
      </w:r>
      <w:r>
        <w:rPr>
          <w:rFonts w:ascii="宋体" w:hAnsi="宋体" w:eastAsia="宋体" w:cs="宋体"/>
          <w:color w:val="000000"/>
          <w:sz w:val="24"/>
          <w:szCs w:val="24"/>
        </w:rPr>
        <w:t>年预算数</w:t>
      </w:r>
      <w:r>
        <w:rPr>
          <w:rFonts w:hint="eastAsia" w:ascii="宋体" w:hAnsi="宋体" w:cs="宋体"/>
          <w:color w:val="000000"/>
          <w:sz w:val="24"/>
          <w:szCs w:val="24"/>
          <w:lang w:val="en-US" w:eastAsia="zh-CN"/>
        </w:rPr>
        <w:t>5</w:t>
      </w:r>
      <w:r>
        <w:rPr>
          <w:rFonts w:ascii="宋体" w:hAnsi="宋体" w:eastAsia="宋体" w:cs="宋体"/>
          <w:color w:val="000000"/>
          <w:sz w:val="24"/>
          <w:szCs w:val="24"/>
        </w:rPr>
        <w:t>万元，与</w:t>
      </w:r>
      <w:r>
        <w:rPr>
          <w:rFonts w:hint="eastAsia" w:ascii="宋体" w:hAnsi="宋体" w:cs="宋体"/>
          <w:color w:val="000000"/>
          <w:sz w:val="24"/>
          <w:szCs w:val="24"/>
          <w:lang w:eastAsia="zh-CN"/>
        </w:rPr>
        <w:t>2017</w:t>
      </w:r>
      <w:r>
        <w:rPr>
          <w:rFonts w:ascii="宋体" w:hAnsi="宋体" w:eastAsia="宋体" w:cs="宋体"/>
          <w:color w:val="000000"/>
          <w:sz w:val="24"/>
          <w:szCs w:val="24"/>
        </w:rPr>
        <w:t>年预算数持平。</w:t>
      </w:r>
      <w:r>
        <w:rPr>
          <w:rFonts w:hint="eastAsia" w:ascii="宋体" w:hAnsi="宋体" w:eastAsia="宋体" w:cs="宋体"/>
          <w:color w:val="000000"/>
          <w:sz w:val="24"/>
          <w:szCs w:val="24"/>
        </w:rPr>
        <w:t>主要用于考察调研、学习交流、检查指导等业务活动开支的接待支出</w:t>
      </w:r>
      <w:r>
        <w:rPr>
          <w:rFonts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textAlignment w:val="auto"/>
        <w:outlineLvl w:val="9"/>
        <w:rPr>
          <w:rFonts w:ascii="宋体" w:hAnsi="宋体" w:eastAsia="宋体" w:cs="宋体"/>
          <w:color w:val="000000"/>
          <w:sz w:val="24"/>
          <w:szCs w:val="24"/>
        </w:rPr>
      </w:pPr>
      <w:bookmarkStart w:id="0" w:name="_GoBack"/>
      <w:bookmarkEnd w:id="0"/>
      <w:r>
        <w:rPr>
          <w:rFonts w:ascii="宋体" w:hAnsi="宋体" w:eastAsia="宋体" w:cs="宋体"/>
          <w:b/>
          <w:color w:val="000000"/>
          <w:sz w:val="24"/>
          <w:szCs w:val="24"/>
        </w:rPr>
        <w:t>（三）公务用车购置和运行维护费。</w:t>
      </w:r>
      <w:r>
        <w:rPr>
          <w:rFonts w:hint="eastAsia" w:ascii="宋体" w:hAnsi="宋体" w:cs="宋体"/>
          <w:color w:val="000000"/>
          <w:sz w:val="24"/>
          <w:szCs w:val="24"/>
          <w:lang w:eastAsia="zh-CN"/>
        </w:rPr>
        <w:t>2018</w:t>
      </w:r>
      <w:r>
        <w:rPr>
          <w:rFonts w:ascii="宋体" w:hAnsi="宋体" w:eastAsia="宋体" w:cs="宋体"/>
          <w:color w:val="000000"/>
          <w:sz w:val="24"/>
          <w:szCs w:val="24"/>
        </w:rPr>
        <w:t>年预算数</w:t>
      </w:r>
      <w:r>
        <w:rPr>
          <w:rFonts w:hint="eastAsia" w:ascii="宋体" w:hAnsi="宋体" w:cs="宋体"/>
          <w:color w:val="000000"/>
          <w:sz w:val="24"/>
          <w:szCs w:val="24"/>
          <w:lang w:val="en-US" w:eastAsia="zh-CN"/>
        </w:rPr>
        <w:t>40.50</w:t>
      </w:r>
      <w:r>
        <w:rPr>
          <w:rFonts w:ascii="宋体" w:hAnsi="宋体" w:eastAsia="宋体" w:cs="宋体"/>
          <w:color w:val="000000"/>
          <w:sz w:val="24"/>
          <w:szCs w:val="24"/>
        </w:rPr>
        <w:t>万元，其中：公务用车购置费</w:t>
      </w:r>
      <w:r>
        <w:rPr>
          <w:rFonts w:hint="eastAsia" w:ascii="宋体" w:hAnsi="宋体" w:cs="宋体"/>
          <w:color w:val="000000"/>
          <w:sz w:val="24"/>
          <w:szCs w:val="24"/>
          <w:lang w:eastAsia="zh-CN"/>
        </w:rPr>
        <w:t>2018</w:t>
      </w:r>
      <w:r>
        <w:rPr>
          <w:rFonts w:ascii="宋体" w:hAnsi="宋体" w:eastAsia="宋体" w:cs="宋体"/>
          <w:color w:val="000000"/>
          <w:sz w:val="24"/>
          <w:szCs w:val="24"/>
        </w:rPr>
        <w:t>年预算数</w:t>
      </w:r>
      <w:r>
        <w:rPr>
          <w:rFonts w:hint="eastAsia" w:ascii="宋体" w:hAnsi="宋体" w:cs="宋体"/>
          <w:color w:val="000000"/>
          <w:sz w:val="24"/>
          <w:szCs w:val="24"/>
          <w:lang w:val="en-US" w:eastAsia="zh-CN"/>
        </w:rPr>
        <w:t>0</w:t>
      </w:r>
      <w:r>
        <w:rPr>
          <w:rFonts w:ascii="宋体" w:hAnsi="宋体" w:eastAsia="宋体" w:cs="宋体"/>
          <w:color w:val="000000"/>
          <w:sz w:val="24"/>
          <w:szCs w:val="24"/>
        </w:rPr>
        <w:t>万元，与</w:t>
      </w:r>
      <w:r>
        <w:rPr>
          <w:rFonts w:hint="eastAsia" w:ascii="宋体" w:hAnsi="宋体" w:cs="宋体"/>
          <w:color w:val="000000"/>
          <w:sz w:val="24"/>
          <w:szCs w:val="24"/>
          <w:lang w:eastAsia="zh-CN"/>
        </w:rPr>
        <w:t>2017</w:t>
      </w:r>
      <w:r>
        <w:rPr>
          <w:rFonts w:ascii="宋体" w:hAnsi="宋体" w:eastAsia="宋体" w:cs="宋体"/>
          <w:color w:val="000000"/>
          <w:sz w:val="24"/>
          <w:szCs w:val="24"/>
        </w:rPr>
        <w:t>年预算数持平</w:t>
      </w:r>
      <w:r>
        <w:rPr>
          <w:rFonts w:hint="eastAsia" w:ascii="宋体" w:hAnsi="宋体" w:eastAsia="宋体"/>
          <w:sz w:val="24"/>
          <w:szCs w:val="24"/>
        </w:rPr>
        <w:t>；本单位公务用车</w:t>
      </w:r>
      <w:r>
        <w:rPr>
          <w:rFonts w:hint="eastAsia" w:ascii="宋体" w:hAnsi="宋体"/>
          <w:sz w:val="24"/>
          <w:szCs w:val="24"/>
          <w:lang w:val="en-US" w:eastAsia="zh-CN"/>
        </w:rPr>
        <w:t>12</w:t>
      </w:r>
      <w:r>
        <w:rPr>
          <w:rFonts w:hint="eastAsia" w:ascii="宋体" w:hAnsi="宋体" w:eastAsia="宋体"/>
          <w:sz w:val="24"/>
          <w:szCs w:val="24"/>
        </w:rPr>
        <w:t xml:space="preserve"> 台，</w:t>
      </w:r>
      <w:r>
        <w:rPr>
          <w:rFonts w:ascii="宋体" w:hAnsi="宋体" w:eastAsia="宋体" w:cs="宋体"/>
          <w:color w:val="000000"/>
          <w:sz w:val="24"/>
          <w:szCs w:val="24"/>
        </w:rPr>
        <w:t>公务用车运行维护费</w:t>
      </w:r>
      <w:r>
        <w:rPr>
          <w:rFonts w:hint="eastAsia" w:ascii="宋体" w:hAnsi="宋体" w:cs="宋体"/>
          <w:color w:val="000000"/>
          <w:sz w:val="24"/>
          <w:szCs w:val="24"/>
          <w:lang w:eastAsia="zh-CN"/>
        </w:rPr>
        <w:t>2018</w:t>
      </w:r>
      <w:r>
        <w:rPr>
          <w:rFonts w:ascii="宋体" w:hAnsi="宋体" w:eastAsia="宋体" w:cs="宋体"/>
          <w:color w:val="000000"/>
          <w:sz w:val="24"/>
          <w:szCs w:val="24"/>
        </w:rPr>
        <w:t>年预算数</w:t>
      </w:r>
      <w:r>
        <w:rPr>
          <w:rFonts w:hint="eastAsia" w:ascii="宋体" w:hAnsi="宋体" w:cs="宋体"/>
          <w:color w:val="000000"/>
          <w:sz w:val="24"/>
          <w:szCs w:val="24"/>
          <w:lang w:val="en-US" w:eastAsia="zh-CN"/>
        </w:rPr>
        <w:t>40.50</w:t>
      </w:r>
      <w:r>
        <w:rPr>
          <w:rFonts w:ascii="宋体" w:hAnsi="宋体" w:eastAsia="宋体" w:cs="宋体"/>
          <w:color w:val="000000"/>
          <w:sz w:val="24"/>
          <w:szCs w:val="24"/>
        </w:rPr>
        <w:t>万元，</w:t>
      </w:r>
      <w:r>
        <w:rPr>
          <w:rFonts w:hint="eastAsia" w:ascii="宋体" w:hAnsi="宋体" w:cs="宋体"/>
          <w:color w:val="000000"/>
          <w:sz w:val="24"/>
          <w:szCs w:val="24"/>
          <w:lang w:eastAsia="zh-CN"/>
        </w:rPr>
        <w:t>与 2017 年持平，主要用于日常执法、城市管理、安全监察、机要通信等业务活动开支的公务用车运行支出</w:t>
      </w:r>
      <w:r>
        <w:rPr>
          <w:rFonts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ascii="宋体" w:hAnsi="宋体" w:eastAsia="宋体" w:cs="宋体"/>
          <w:color w:val="000000"/>
          <w:sz w:val="24"/>
          <w:szCs w:val="24"/>
        </w:rPr>
      </w:pPr>
    </w:p>
    <w:p>
      <w:pPr>
        <w:jc w:val="center"/>
        <w:rPr>
          <w:b/>
          <w:bCs/>
          <w:color w:val="000000"/>
          <w:sz w:val="24"/>
          <w:szCs w:val="24"/>
        </w:rPr>
      </w:pPr>
      <w:r>
        <w:rPr>
          <w:rFonts w:hint="eastAsia" w:ascii="宋体" w:hAnsi="宋体" w:cs="宋体"/>
          <w:b/>
          <w:color w:val="000000"/>
          <w:sz w:val="24"/>
          <w:szCs w:val="24"/>
          <w:lang w:eastAsia="zh-CN"/>
        </w:rPr>
        <w:t>附表：</w:t>
      </w:r>
      <w:r>
        <w:rPr>
          <w:rFonts w:hint="eastAsia" w:ascii="宋体" w:hAnsi="宋体" w:cs="宋体"/>
          <w:b/>
          <w:color w:val="000000"/>
          <w:sz w:val="24"/>
          <w:szCs w:val="24"/>
          <w:lang w:val="en-US" w:eastAsia="zh-CN"/>
        </w:rPr>
        <w:t>2018年</w:t>
      </w:r>
      <w:r>
        <w:rPr>
          <w:rFonts w:hint="eastAsia" w:ascii="宋体" w:hAnsi="宋体" w:eastAsia="宋体" w:cs="宋体"/>
          <w:b/>
          <w:color w:val="000000"/>
          <w:sz w:val="24"/>
          <w:szCs w:val="24"/>
        </w:rPr>
        <w:t>“三公”经费财政拨款预算情况表</w:t>
      </w:r>
    </w:p>
    <w:tbl>
      <w:tblPr>
        <w:tblStyle w:val="4"/>
        <w:tblW w:w="906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595"/>
        <w:gridCol w:w="843"/>
        <w:gridCol w:w="1092"/>
        <w:gridCol w:w="939"/>
        <w:gridCol w:w="937"/>
        <w:gridCol w:w="948"/>
        <w:gridCol w:w="872"/>
        <w:gridCol w:w="83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135" w:hRule="atLeast"/>
          <w:jc w:val="center"/>
        </w:trPr>
        <w:tc>
          <w:tcPr>
            <w:tcW w:w="6406" w:type="dxa"/>
            <w:gridSpan w:val="5"/>
            <w:tcBorders>
              <w:top w:val="nil"/>
              <w:left w:val="nil"/>
              <w:bottom w:val="single" w:color="auto" w:sz="4" w:space="0"/>
              <w:right w:val="nil"/>
            </w:tcBorders>
            <w:vAlign w:val="center"/>
          </w:tcPr>
          <w:p>
            <w:pPr>
              <w:pBdr>
                <w:top w:val="none" w:color="000000" w:sz="0" w:space="0"/>
                <w:left w:val="none" w:color="000000" w:sz="0" w:space="0"/>
                <w:bottom w:val="none" w:color="000000" w:sz="0" w:space="0"/>
                <w:right w:val="none" w:color="000000" w:sz="0" w:space="0"/>
                <w:between w:val="none" w:color="000000" w:sz="0" w:space="0"/>
              </w:pBdr>
              <w:jc w:val="left"/>
              <w:rPr>
                <w:rFonts w:hint="eastAsia" w:asciiTheme="minorEastAsia" w:hAnsiTheme="minorEastAsia" w:eastAsiaTheme="minorEastAsia" w:cstheme="minorEastAsia"/>
                <w:color w:val="000000"/>
                <w:kern w:val="0"/>
                <w:sz w:val="20"/>
                <w:szCs w:val="20"/>
                <w:lang w:eastAsia="zh-CN" w:bidi="en-US"/>
              </w:rPr>
            </w:pPr>
            <w:r>
              <w:rPr>
                <w:rFonts w:hint="eastAsia" w:asciiTheme="minorEastAsia" w:hAnsiTheme="minorEastAsia" w:eastAsiaTheme="minorEastAsia" w:cstheme="minorEastAsia"/>
                <w:color w:val="000000"/>
                <w:kern w:val="0"/>
                <w:sz w:val="20"/>
                <w:szCs w:val="20"/>
                <w:lang w:eastAsia="zh-CN" w:bidi="en-US"/>
              </w:rPr>
              <w:t>单位名称：</w:t>
            </w:r>
            <w:r>
              <w:rPr>
                <w:rFonts w:hint="eastAsia" w:asciiTheme="minorEastAsia" w:hAnsiTheme="minorEastAsia" w:eastAsiaTheme="minorEastAsia" w:cstheme="minorEastAsia"/>
                <w:color w:val="000000"/>
                <w:kern w:val="0"/>
                <w:sz w:val="20"/>
                <w:szCs w:val="20"/>
                <w:lang w:val="en-US" w:eastAsia="zh-CN" w:bidi="en-US"/>
              </w:rPr>
              <w:t>深圳市福田区沙头街道办事处</w:t>
            </w:r>
          </w:p>
        </w:tc>
        <w:tc>
          <w:tcPr>
            <w:tcW w:w="2654" w:type="dxa"/>
            <w:gridSpan w:val="3"/>
            <w:tcBorders>
              <w:top w:val="nil"/>
              <w:left w:val="nil"/>
              <w:bottom w:val="single" w:color="auto" w:sz="4" w:space="0"/>
              <w:right w:val="nil"/>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eastAsia="en-US" w:bidi="en-US"/>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145" w:hRule="atLeast"/>
          <w:jc w:val="center"/>
        </w:trPr>
        <w:tc>
          <w:tcPr>
            <w:tcW w:w="2595" w:type="dxa"/>
            <w:vMerge w:val="restart"/>
            <w:tcBorders>
              <w:top w:val="single" w:color="auto" w:sz="4" w:space="0"/>
              <w:bottom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eastAsia="en-US" w:bidi="en-US"/>
              </w:rPr>
              <w:t>预算单位</w:t>
            </w:r>
          </w:p>
        </w:tc>
        <w:tc>
          <w:tcPr>
            <w:tcW w:w="843" w:type="dxa"/>
            <w:vMerge w:val="restart"/>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eastAsia="en-US" w:bidi="en-US"/>
              </w:rPr>
              <w:t>年度</w:t>
            </w:r>
          </w:p>
        </w:tc>
        <w:tc>
          <w:tcPr>
            <w:tcW w:w="1092" w:type="dxa"/>
            <w:vMerge w:val="restart"/>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zh-CN" w:bidi="en-US"/>
              </w:rPr>
            </w:pPr>
            <w:r>
              <w:rPr>
                <w:rFonts w:hint="eastAsia" w:asciiTheme="minorEastAsia" w:hAnsiTheme="minorEastAsia" w:eastAsiaTheme="minorEastAsia" w:cstheme="minorEastAsia"/>
                <w:color w:val="000000"/>
                <w:kern w:val="0"/>
                <w:sz w:val="20"/>
                <w:szCs w:val="20"/>
                <w:lang w:eastAsia="zh-CN" w:bidi="en-US"/>
              </w:rPr>
              <w:t>“三公”经费财政拨款预算总额</w:t>
            </w:r>
          </w:p>
        </w:tc>
        <w:tc>
          <w:tcPr>
            <w:tcW w:w="939" w:type="dxa"/>
            <w:vMerge w:val="restart"/>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eastAsia="en-US" w:bidi="en-US"/>
              </w:rPr>
              <w:t>因公出国(境)费</w:t>
            </w:r>
          </w:p>
        </w:tc>
        <w:tc>
          <w:tcPr>
            <w:tcW w:w="937" w:type="dxa"/>
            <w:vMerge w:val="restart"/>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eastAsia="en-US" w:bidi="en-US"/>
              </w:rPr>
              <w:t>公务接待费</w:t>
            </w:r>
          </w:p>
        </w:tc>
        <w:tc>
          <w:tcPr>
            <w:tcW w:w="2654" w:type="dxa"/>
            <w:gridSpan w:val="3"/>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zh-CN" w:bidi="en-US"/>
              </w:rPr>
            </w:pPr>
            <w:r>
              <w:rPr>
                <w:rFonts w:hint="eastAsia" w:asciiTheme="minorEastAsia" w:hAnsiTheme="minorEastAsia" w:eastAsiaTheme="minorEastAsia" w:cstheme="minorEastAsia"/>
                <w:color w:val="000000"/>
                <w:kern w:val="0"/>
                <w:sz w:val="20"/>
                <w:szCs w:val="20"/>
                <w:lang w:eastAsia="zh-CN" w:bidi="en-US"/>
              </w:rPr>
              <w:t>公务用车购置及运行维护费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05" w:hRule="atLeast"/>
          <w:jc w:val="center"/>
        </w:trPr>
        <w:tc>
          <w:tcPr>
            <w:tcW w:w="2595"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zh-CN" w:bidi="en-US"/>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zh-CN" w:bidi="en-US"/>
              </w:rPr>
            </w:pPr>
          </w:p>
        </w:tc>
        <w:tc>
          <w:tcPr>
            <w:tcW w:w="1092"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zh-CN" w:bidi="en-US"/>
              </w:rPr>
            </w:pPr>
          </w:p>
        </w:tc>
        <w:tc>
          <w:tcPr>
            <w:tcW w:w="939"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zh-CN" w:bidi="en-US"/>
              </w:rPr>
            </w:pPr>
          </w:p>
        </w:tc>
        <w:tc>
          <w:tcPr>
            <w:tcW w:w="937"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zh-CN" w:bidi="en-US"/>
              </w:rPr>
            </w:pPr>
          </w:p>
        </w:tc>
        <w:tc>
          <w:tcPr>
            <w:tcW w:w="948" w:type="dxa"/>
            <w:tcBorders>
              <w:top w:val="single" w:color="auto" w:sz="4" w:space="0"/>
              <w:lef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eastAsia="en-US" w:bidi="en-US"/>
              </w:rPr>
              <w:t>小计</w:t>
            </w:r>
          </w:p>
        </w:tc>
        <w:tc>
          <w:tcPr>
            <w:tcW w:w="872" w:type="dxa"/>
            <w:tcBorders>
              <w:top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eastAsia="en-US" w:bidi="en-US"/>
              </w:rPr>
              <w:t>公务用车购置费</w:t>
            </w:r>
          </w:p>
        </w:tc>
        <w:tc>
          <w:tcPr>
            <w:tcW w:w="834" w:type="dxa"/>
            <w:tcBorders>
              <w:top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eastAsia="en-US" w:bidi="en-US"/>
              </w:rPr>
              <w:t>公务用车运行维护费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340" w:hRule="exact"/>
          <w:jc w:val="center"/>
        </w:trPr>
        <w:tc>
          <w:tcPr>
            <w:tcW w:w="2595"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rPr>
                <w:rFonts w:hint="eastAsia" w:asciiTheme="minorEastAsia" w:hAnsiTheme="minorEastAsia" w:eastAsiaTheme="minorEastAsia" w:cstheme="minorEastAsia"/>
                <w:color w:val="000000"/>
                <w:kern w:val="0"/>
                <w:sz w:val="20"/>
                <w:lang w:eastAsia="zh-CN" w:bidi="en-US"/>
              </w:rPr>
            </w:pPr>
            <w:r>
              <w:rPr>
                <w:rFonts w:hint="eastAsia" w:asciiTheme="minorEastAsia" w:hAnsiTheme="minorEastAsia" w:eastAsiaTheme="minorEastAsia" w:cstheme="minorEastAsia"/>
                <w:color w:val="000000"/>
                <w:kern w:val="0"/>
                <w:sz w:val="20"/>
                <w:lang w:eastAsia="zh-CN" w:bidi="en-US"/>
              </w:rPr>
              <w:t>沙头街道办事处</w:t>
            </w:r>
          </w:p>
        </w:tc>
        <w:tc>
          <w:tcPr>
            <w:tcW w:w="843"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zh-CN" w:bidi="en-US"/>
              </w:rPr>
            </w:pPr>
            <w:r>
              <w:rPr>
                <w:rFonts w:hint="eastAsia" w:asciiTheme="minorEastAsia" w:hAnsiTheme="minorEastAsia" w:eastAsiaTheme="minorEastAsia" w:cstheme="minorEastAsia"/>
                <w:color w:val="000000"/>
                <w:kern w:val="0"/>
                <w:sz w:val="20"/>
                <w:szCs w:val="20"/>
                <w:lang w:eastAsia="zh-CN" w:bidi="en-US"/>
              </w:rPr>
              <w:t>2017</w:t>
            </w:r>
          </w:p>
        </w:tc>
        <w:tc>
          <w:tcPr>
            <w:tcW w:w="1092"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val="en-US" w:eastAsia="zh-CN" w:bidi="en-US"/>
              </w:rPr>
            </w:pPr>
            <w:r>
              <w:rPr>
                <w:rFonts w:hint="eastAsia" w:asciiTheme="minorEastAsia" w:hAnsiTheme="minorEastAsia" w:eastAsiaTheme="minorEastAsia" w:cstheme="minorEastAsia"/>
                <w:color w:val="000000"/>
                <w:kern w:val="0"/>
                <w:sz w:val="20"/>
                <w:szCs w:val="20"/>
                <w:lang w:val="en-US" w:eastAsia="zh-CN" w:bidi="en-US"/>
              </w:rPr>
              <w:t>45.50</w:t>
            </w:r>
          </w:p>
        </w:tc>
        <w:tc>
          <w:tcPr>
            <w:tcW w:w="939"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val="en-US" w:eastAsia="zh-CN" w:bidi="en-US"/>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val="en-US" w:eastAsia="zh-CN" w:bidi="en-US"/>
              </w:rPr>
              <w:t>5.00</w:t>
            </w:r>
          </w:p>
        </w:tc>
        <w:tc>
          <w:tcPr>
            <w:tcW w:w="948"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val="en-US" w:eastAsia="zh-CN" w:bidi="en-US"/>
              </w:rPr>
              <w:t>40.50</w:t>
            </w:r>
          </w:p>
        </w:tc>
        <w:tc>
          <w:tcPr>
            <w:tcW w:w="872"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val="en-US" w:eastAsia="zh-CN" w:bidi="en-US"/>
              </w:rPr>
              <w:t>0.00</w:t>
            </w:r>
          </w:p>
        </w:tc>
        <w:tc>
          <w:tcPr>
            <w:tcW w:w="834"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val="en-US" w:eastAsia="zh-CN" w:bidi="en-US"/>
              </w:rPr>
              <w:t>40.50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340" w:hRule="exact"/>
          <w:jc w:val="center"/>
        </w:trPr>
        <w:tc>
          <w:tcPr>
            <w:tcW w:w="2595"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rPr>
                <w:rFonts w:hint="eastAsia" w:asciiTheme="minorEastAsia" w:hAnsiTheme="minorEastAsia" w:eastAsiaTheme="minorEastAsia" w:cstheme="minorEastAsia"/>
                <w:color w:val="000000"/>
                <w:kern w:val="0"/>
                <w:sz w:val="20"/>
                <w:lang w:eastAsia="zh-CN" w:bidi="en-US"/>
              </w:rPr>
            </w:pPr>
            <w:r>
              <w:rPr>
                <w:rFonts w:hint="eastAsia" w:asciiTheme="minorEastAsia" w:hAnsiTheme="minorEastAsia" w:eastAsiaTheme="minorEastAsia" w:cstheme="minorEastAsia"/>
                <w:color w:val="000000"/>
                <w:kern w:val="0"/>
                <w:sz w:val="20"/>
                <w:lang w:eastAsia="zh-CN" w:bidi="en-US"/>
              </w:rPr>
              <w:t>沙头街道办事处</w:t>
            </w:r>
          </w:p>
        </w:tc>
        <w:tc>
          <w:tcPr>
            <w:tcW w:w="843"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zh-CN" w:bidi="en-US"/>
              </w:rPr>
            </w:pPr>
            <w:r>
              <w:rPr>
                <w:rFonts w:hint="eastAsia" w:asciiTheme="minorEastAsia" w:hAnsiTheme="minorEastAsia" w:eastAsiaTheme="minorEastAsia" w:cstheme="minorEastAsia"/>
                <w:color w:val="000000"/>
                <w:kern w:val="0"/>
                <w:sz w:val="20"/>
                <w:szCs w:val="20"/>
                <w:lang w:eastAsia="zh-CN" w:bidi="en-US"/>
              </w:rPr>
              <w:t>2018</w:t>
            </w:r>
          </w:p>
        </w:tc>
        <w:tc>
          <w:tcPr>
            <w:tcW w:w="1092"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val="en-US" w:eastAsia="zh-CN" w:bidi="en-US"/>
              </w:rPr>
            </w:pPr>
            <w:r>
              <w:rPr>
                <w:rFonts w:hint="eastAsia" w:asciiTheme="minorEastAsia" w:hAnsiTheme="minorEastAsia" w:eastAsiaTheme="minorEastAsia" w:cstheme="minorEastAsia"/>
                <w:color w:val="000000"/>
                <w:kern w:val="0"/>
                <w:sz w:val="20"/>
                <w:szCs w:val="20"/>
                <w:lang w:val="en-US" w:eastAsia="zh-CN" w:bidi="en-US"/>
              </w:rPr>
              <w:t>45.50</w:t>
            </w:r>
          </w:p>
        </w:tc>
        <w:tc>
          <w:tcPr>
            <w:tcW w:w="939"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val="en-US" w:eastAsia="zh-CN" w:bidi="en-US"/>
              </w:rPr>
            </w:pPr>
            <w:r>
              <w:rPr>
                <w:rFonts w:hint="eastAsia" w:asciiTheme="minorEastAsia" w:hAnsiTheme="minorEastAsia" w:eastAsiaTheme="minorEastAsia" w:cstheme="minorEastAsia"/>
                <w:color w:val="000000"/>
                <w:kern w:val="0"/>
                <w:sz w:val="20"/>
                <w:szCs w:val="20"/>
                <w:lang w:val="en-US" w:eastAsia="zh-CN" w:bidi="en-US"/>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val="en-US" w:eastAsia="zh-CN" w:bidi="en-US"/>
              </w:rPr>
            </w:pPr>
            <w:r>
              <w:rPr>
                <w:rFonts w:hint="eastAsia" w:asciiTheme="minorEastAsia" w:hAnsiTheme="minorEastAsia" w:eastAsiaTheme="minorEastAsia" w:cstheme="minorEastAsia"/>
                <w:color w:val="000000"/>
                <w:kern w:val="0"/>
                <w:sz w:val="20"/>
                <w:szCs w:val="20"/>
                <w:lang w:val="en-US" w:eastAsia="zh-CN" w:bidi="en-US"/>
              </w:rPr>
              <w:t>5.00</w:t>
            </w:r>
          </w:p>
        </w:tc>
        <w:tc>
          <w:tcPr>
            <w:tcW w:w="948"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val="en-US" w:eastAsia="zh-CN" w:bidi="en-US"/>
              </w:rPr>
            </w:pPr>
            <w:r>
              <w:rPr>
                <w:rFonts w:hint="eastAsia" w:asciiTheme="minorEastAsia" w:hAnsiTheme="minorEastAsia" w:eastAsiaTheme="minorEastAsia" w:cstheme="minorEastAsia"/>
                <w:color w:val="000000"/>
                <w:kern w:val="0"/>
                <w:sz w:val="20"/>
                <w:szCs w:val="20"/>
                <w:lang w:val="en-US" w:eastAsia="zh-CN" w:bidi="en-US"/>
              </w:rPr>
              <w:t>40.50</w:t>
            </w:r>
          </w:p>
        </w:tc>
        <w:tc>
          <w:tcPr>
            <w:tcW w:w="872"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val="en-US" w:eastAsia="zh-CN" w:bidi="en-US"/>
              </w:rPr>
            </w:pPr>
            <w:r>
              <w:rPr>
                <w:rFonts w:hint="eastAsia" w:asciiTheme="minorEastAsia" w:hAnsiTheme="minorEastAsia" w:eastAsiaTheme="minorEastAsia" w:cstheme="minorEastAsia"/>
                <w:color w:val="000000"/>
                <w:kern w:val="0"/>
                <w:sz w:val="20"/>
                <w:szCs w:val="20"/>
                <w:lang w:val="en-US" w:eastAsia="zh-CN" w:bidi="en-US"/>
              </w:rPr>
              <w:t>0.00</w:t>
            </w:r>
          </w:p>
        </w:tc>
        <w:tc>
          <w:tcPr>
            <w:tcW w:w="834"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val="en-US" w:eastAsia="zh-CN" w:bidi="en-US"/>
              </w:rPr>
            </w:pPr>
            <w:r>
              <w:rPr>
                <w:rFonts w:hint="eastAsia" w:asciiTheme="minorEastAsia" w:hAnsiTheme="minorEastAsia" w:eastAsiaTheme="minorEastAsia" w:cstheme="minorEastAsia"/>
                <w:color w:val="000000"/>
                <w:kern w:val="0"/>
                <w:sz w:val="20"/>
                <w:szCs w:val="20"/>
                <w:lang w:val="en-US" w:eastAsia="zh-CN" w:bidi="en-US"/>
              </w:rPr>
              <w:t>40.50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4508B"/>
    <w:rsid w:val="01EF1E64"/>
    <w:rsid w:val="0574508B"/>
    <w:rsid w:val="255C0CD1"/>
    <w:rsid w:val="259526E7"/>
    <w:rsid w:val="265E5C1C"/>
    <w:rsid w:val="2A5D32A7"/>
    <w:rsid w:val="2BBF03C9"/>
    <w:rsid w:val="2C4F1F49"/>
    <w:rsid w:val="2EC36F10"/>
    <w:rsid w:val="2F5C4C9A"/>
    <w:rsid w:val="30374C17"/>
    <w:rsid w:val="318B2D07"/>
    <w:rsid w:val="37871D58"/>
    <w:rsid w:val="3EEA4A8D"/>
    <w:rsid w:val="415F3542"/>
    <w:rsid w:val="46680373"/>
    <w:rsid w:val="4B833F6C"/>
    <w:rsid w:val="4CF97351"/>
    <w:rsid w:val="5A3D5DCA"/>
    <w:rsid w:val="5E632730"/>
    <w:rsid w:val="60621DE3"/>
    <w:rsid w:val="649D7789"/>
    <w:rsid w:val="6D647560"/>
    <w:rsid w:val="79B2491D"/>
    <w:rsid w:val="7ECF2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lang w:eastAsia="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2019-08-07T06:08:00Z</dcterms:created>
  <dc:creator>null</dc:creator>
  <cp:lastModifiedBy>Administrator</cp:lastModifiedBy>
  <dcterms:modified xsi:type="dcterms:W3CDTF">2019-08-09T03:09:41Z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