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pPr>
      <w:r>
        <w:rPr>
          <w:rFonts w:ascii="方正小标宋简体" w:hAnsi="黑体" w:eastAsia="方正小标宋简体"/>
          <w:bCs/>
          <w:kern w:val="44"/>
          <w:sz w:val="44"/>
          <w:szCs w:val="44"/>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798830</wp:posOffset>
                </wp:positionV>
                <wp:extent cx="5943600" cy="635"/>
                <wp:effectExtent l="0" t="28575" r="0" b="4699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29.85pt;margin-top:62.9pt;height:0.05pt;width:468pt;z-index:251659264;mso-width-relative:page;mso-height-relative:page;" filled="f" stroked="t" coordsize="21600,21600" o:gfxdata="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MvUidYAAAALAQAADwAAAAAAAAABACAAAAAiAAAAZHJzL2Rvd25yZXYueG1sUEsBAhQA&#10;FAAAAAgAh07iQAr9i0y7AQAAZQMAAA4AAAAAAAAAAQAgAAAAJQEAAGRycy9lMm9Eb2MueG1sUEsF&#10;BgAAAAAGAAYAWQEAAFIFAAAAAA==&#10;">
                <v:fill on="f" focussize="0,0"/>
                <v:stroke weight="4.5pt" color="#FF0000" linestyle="thickThin" joinstyle="round"/>
                <v:imagedata o:title=""/>
                <o:lock v:ext="edit" aspectratio="f"/>
              </v:line>
            </w:pict>
          </mc:Fallback>
        </mc:AlternateContent>
      </w:r>
      <w:r>
        <w:rPr>
          <w:rFonts w:hint="eastAsia" w:ascii="方正大标宋简体" w:hAnsi="方正大标宋简体" w:eastAsia="方正大标宋简体" w:cs="方正大标宋简体"/>
          <w:color w:val="FF0000"/>
          <w:spacing w:val="-43"/>
          <w:w w:val="82"/>
          <w:kern w:val="40"/>
          <w:sz w:val="84"/>
          <w:szCs w:val="84"/>
        </w:rPr>
        <w:t>深圳市福田区发展研究中心</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sz w:val="44"/>
          <w:szCs w:val="44"/>
        </w:rPr>
      </w:pPr>
      <w:r>
        <w:rPr>
          <w:rFonts w:hint="eastAsia" w:ascii="方正小标宋_GBK" w:hAnsi="方正小标宋_GBK" w:eastAsia="方正小标宋_GBK" w:cs="方正小标宋_GBK"/>
          <w:sz w:val="44"/>
          <w:szCs w:val="44"/>
        </w:rPr>
        <w:t>福田区发展研究中心关于对</w:t>
      </w:r>
      <w:bookmarkStart w:id="3" w:name="_GoBack"/>
      <w:r>
        <w:rPr>
          <w:rFonts w:hint="eastAsia" w:ascii="方正小标宋_GBK" w:hAnsi="方正小标宋_GBK" w:eastAsia="方正小标宋_GBK" w:cs="方正小标宋_GBK"/>
          <w:sz w:val="44"/>
          <w:szCs w:val="44"/>
        </w:rPr>
        <w:t>福田区政协五</w:t>
      </w:r>
      <w:bookmarkEnd w:id="3"/>
      <w:r>
        <w:rPr>
          <w:rFonts w:hint="eastAsia" w:ascii="方正小标宋_GBK" w:hAnsi="方正小标宋_GBK" w:eastAsia="方正小标宋_GBK" w:cs="方正小标宋_GBK"/>
          <w:sz w:val="44"/>
          <w:szCs w:val="44"/>
        </w:rPr>
        <w:t>届六次会议第20200097号提案的答复</w:t>
      </w:r>
    </w:p>
    <w:p>
      <w:pPr>
        <w:autoSpaceDE w:val="0"/>
        <w:spacing w:line="560" w:lineRule="exact"/>
        <w:ind w:firstLine="640" w:firstLineChars="200"/>
        <w:rPr>
          <w:rFonts w:ascii="仿宋_GB2312" w:hAnsi="Calibri" w:eastAsia="仿宋_GB2312"/>
          <w:lang w:bidi="ar"/>
        </w:rPr>
      </w:pPr>
    </w:p>
    <w:p>
      <w:pPr>
        <w:autoSpaceDE w:val="0"/>
        <w:spacing w:line="560" w:lineRule="exact"/>
        <w:rPr>
          <w:rFonts w:ascii="仿宋_GB2312" w:hAnsi="Calibri" w:eastAsia="仿宋_GB2312"/>
        </w:rPr>
      </w:pPr>
      <w:r>
        <w:rPr>
          <w:rFonts w:hint="eastAsia" w:ascii="仿宋_GB2312" w:hAnsi="Calibri" w:eastAsia="仿宋_GB2312"/>
          <w:lang w:bidi="ar"/>
        </w:rPr>
        <w:t>尊敬的委员：</w:t>
      </w:r>
    </w:p>
    <w:p>
      <w:pPr>
        <w:autoSpaceDE w:val="0"/>
        <w:spacing w:line="560" w:lineRule="exact"/>
        <w:ind w:firstLine="640" w:firstLineChars="200"/>
        <w:rPr>
          <w:rFonts w:ascii="仿宋_GB2312" w:hAnsi="Calibri" w:eastAsia="仿宋_GB2312"/>
          <w:lang w:bidi="ar"/>
        </w:rPr>
      </w:pPr>
      <w:r>
        <w:rPr>
          <w:rFonts w:hint="eastAsia" w:ascii="仿宋_GB2312" w:hAnsi="Calibri" w:eastAsia="仿宋_GB2312"/>
          <w:lang w:bidi="ar"/>
        </w:rPr>
        <w:t>您好！您在区政协五届六次会议上提出的《</w:t>
      </w:r>
      <w:bookmarkStart w:id="0" w:name="_Hlk47305009"/>
      <w:r>
        <w:rPr>
          <w:rFonts w:hint="eastAsia" w:ascii="仿宋_GB2312" w:hAnsi="Calibri" w:eastAsia="仿宋_GB2312"/>
          <w:lang w:bidi="ar"/>
        </w:rPr>
        <w:t>引导及发挥企业和广泛的社会力量，助力加快建设</w:t>
      </w:r>
      <w:bookmarkStart w:id="1" w:name="_Hlk47305075"/>
      <w:r>
        <w:rPr>
          <w:rFonts w:hint="eastAsia" w:ascii="仿宋_GB2312" w:hAnsi="Calibri" w:eastAsia="仿宋_GB2312"/>
          <w:lang w:bidi="ar"/>
        </w:rPr>
        <w:t>中国特色社会主义现代化典范城区</w:t>
      </w:r>
      <w:bookmarkEnd w:id="0"/>
      <w:bookmarkEnd w:id="1"/>
      <w:r>
        <w:rPr>
          <w:rFonts w:hint="eastAsia" w:ascii="仿宋_GB2312" w:hAnsi="Calibri" w:eastAsia="仿宋_GB2312"/>
          <w:lang w:bidi="ar"/>
        </w:rPr>
        <w:t>》收悉，您对福田区经济社会发展的关心和支持，我们表示衷心感谢。您在提案中对我区加快建设中国特色社会主义现代化典范城区的实施路径进行了深入清晰的思考和分析，我们深表认同和支持。您关于引导及发挥企业和广泛的社会力量，助力加快建设中国特色社会主义现代化典范城区的具体建议，对我区新形势下深入推进中国特色社会主义现代化典范城区具有重要的启发和指导作用。经区发展研究中心认真研究，并结合区委宣传部、区发改局、区教育局、区工信局、区科创局、区民政局等单位的汇办意见，现提出如下答复意见：</w:t>
      </w:r>
    </w:p>
    <w:p>
      <w:pPr>
        <w:autoSpaceDE w:val="0"/>
        <w:spacing w:line="560" w:lineRule="exact"/>
        <w:ind w:firstLine="640" w:firstLineChars="200"/>
        <w:rPr>
          <w:rFonts w:ascii="黑体" w:hAnsi="黑体" w:eastAsia="黑体" w:cs="黑体"/>
          <w:lang w:bidi="ar"/>
        </w:rPr>
      </w:pPr>
      <w:r>
        <w:rPr>
          <w:rFonts w:hint="eastAsia" w:ascii="黑体" w:hAnsi="黑体" w:eastAsia="黑体" w:cs="黑体"/>
          <w:lang w:bidi="ar"/>
        </w:rPr>
        <w:t>一、关于</w:t>
      </w:r>
      <w:r>
        <w:rPr>
          <w:rFonts w:ascii="黑体" w:hAnsi="黑体" w:eastAsia="黑体" w:cs="黑体"/>
          <w:lang w:bidi="ar"/>
        </w:rPr>
        <w:t>明确建设中国特色社会主义先行示范区的福田方案</w:t>
      </w:r>
    </w:p>
    <w:p>
      <w:pPr>
        <w:pStyle w:val="2"/>
        <w:spacing w:before="0" w:beforeAutospacing="0" w:after="0" w:afterAutospacing="0" w:line="560" w:lineRule="exact"/>
        <w:ind w:firstLine="640" w:firstLineChars="200"/>
        <w:rPr>
          <w:rFonts w:hint="default" w:ascii="仿宋_GB2312" w:hAnsi="Times New Roman" w:eastAsia="仿宋_GB2312" w:cs="Times New Roman"/>
          <w:kern w:val="2"/>
          <w:sz w:val="32"/>
          <w:szCs w:val="32"/>
        </w:rPr>
      </w:pPr>
      <w:r>
        <w:rPr>
          <w:rFonts w:ascii="仿宋_GB2312" w:hAnsi="Times New Roman" w:eastAsia="仿宋_GB2312" w:cs="Times New Roman"/>
          <w:b w:val="0"/>
          <w:bCs/>
          <w:kern w:val="2"/>
          <w:sz w:val="32"/>
          <w:szCs w:val="32"/>
        </w:rPr>
        <w:t>您在提案中提出：</w:t>
      </w:r>
      <w:r>
        <w:rPr>
          <w:rFonts w:ascii="仿宋_GB2312" w:hAnsi="Times New Roman" w:eastAsia="仿宋_GB2312" w:cs="Times New Roman"/>
          <w:kern w:val="2"/>
          <w:sz w:val="32"/>
          <w:szCs w:val="32"/>
        </w:rPr>
        <w:t>明确建设中国特色社会主义先行示范区的福田方案，特别要突出典范城区的信念、担当和决心。建立“党委领导、政府主导、企业协助、全民参与”的系统工程联动机制。必须坚持区委总揽全局的重大原则，政府及各部门落实责任分工和绩效考核，引导及鼓励企业协助以及发动全民参与的事项及规则，在部署党政部门的任务的同时，制订企业及全民参与清单。</w:t>
      </w:r>
    </w:p>
    <w:p>
      <w:pPr>
        <w:pStyle w:val="2"/>
        <w:spacing w:before="0" w:beforeAutospacing="0" w:after="0" w:afterAutospacing="0" w:line="560" w:lineRule="exact"/>
        <w:ind w:firstLine="640" w:firstLineChars="200"/>
        <w:jc w:val="both"/>
        <w:rPr>
          <w:rFonts w:hint="default" w:ascii="仿宋_GB2312" w:hAnsi="Times New Roman" w:eastAsia="仿宋_GB2312" w:cs="Times New Roman"/>
          <w:b w:val="0"/>
          <w:bCs/>
          <w:kern w:val="2"/>
          <w:sz w:val="32"/>
          <w:szCs w:val="32"/>
        </w:rPr>
      </w:pPr>
      <w:r>
        <w:rPr>
          <w:rFonts w:ascii="仿宋_GB2312" w:hAnsi="Times New Roman" w:eastAsia="仿宋_GB2312" w:cs="Times New Roman"/>
          <w:b w:val="0"/>
          <w:bCs/>
          <w:kern w:val="2"/>
          <w:sz w:val="32"/>
          <w:szCs w:val="32"/>
        </w:rPr>
        <w:t>为深入贯彻落实《中共中央国务院关于支持深圳建设中国特色社会主义先行示范区的意见》（以下简称《意见》）以及《深圳市建设中国特色社会主义先行示范区的行动方案（2019-2025年）》，福田区于2019年12月8日正式印发了《福田区关于落实〈中共中央、国务院关于支持深圳建设中国特色社会主义先行示范区的意见〉全力打造“四大中心”加快建设社会主义现代化典范城区的行动方案（2019—2025年）》。</w:t>
      </w:r>
    </w:p>
    <w:p>
      <w:pPr>
        <w:adjustRightInd w:val="0"/>
        <w:snapToGrid w:val="0"/>
        <w:spacing w:line="560" w:lineRule="exact"/>
        <w:ind w:firstLine="643" w:firstLineChars="200"/>
        <w:rPr>
          <w:rFonts w:ascii="仿宋_GB2312" w:hAnsi="仿宋_GB2312" w:eastAsia="仿宋_GB2312"/>
        </w:rPr>
      </w:pPr>
      <w:r>
        <w:rPr>
          <w:rFonts w:hint="eastAsia" w:ascii="仿宋_GB2312" w:hAnsi="仿宋_GB2312" w:eastAsia="仿宋_GB2312"/>
          <w:b/>
          <w:bCs/>
        </w:rPr>
        <w:t>一是坚持全面贯彻落实，做到每项工作有人抓可落地。</w:t>
      </w:r>
      <w:r>
        <w:rPr>
          <w:rFonts w:hint="eastAsia" w:ascii="仿宋_GB2312" w:hAnsi="仿宋_GB2312" w:eastAsia="仿宋_GB2312"/>
        </w:rPr>
        <w:t>《行动方案》紧扣《意见》及市《行动方案》原文，通篇围绕先行示范区建设的工作任务逐项分解落实，将市《行动方案》提出的126项具体任务，其中福田能够承接的91项全部或部分内容纳入到我区行动方案中。比如，“建设综合性国家科学中心开放创新枢纽区”“加快建设深港科技创新合作区”等都是我区的重点工作。</w:t>
      </w:r>
    </w:p>
    <w:p>
      <w:pPr>
        <w:adjustRightInd w:val="0"/>
        <w:snapToGrid w:val="0"/>
        <w:spacing w:line="560" w:lineRule="exact"/>
        <w:ind w:firstLine="643" w:firstLineChars="200"/>
        <w:rPr>
          <w:rFonts w:ascii="仿宋_GB2312" w:hAnsi="仿宋_GB2312" w:eastAsia="仿宋_GB2312"/>
        </w:rPr>
      </w:pPr>
      <w:r>
        <w:rPr>
          <w:rFonts w:hint="eastAsia" w:ascii="仿宋_GB2312" w:hAnsi="仿宋_GB2312" w:eastAsia="仿宋_GB2312"/>
          <w:b/>
          <w:bCs/>
        </w:rPr>
        <w:t>二是坚持改革创新，切实体现中心区的勇于担当和主动作为。</w:t>
      </w:r>
      <w:r>
        <w:rPr>
          <w:rFonts w:hint="eastAsia" w:ascii="仿宋_GB2312" w:hAnsi="仿宋_GB2312" w:eastAsia="仿宋_GB2312"/>
        </w:rPr>
        <w:t>中央《意见》篇幅不长但内涵丰富，每一句话都包含一项甚至一系列开创性的工作，市《行动方案》也采用思路性、原则性表述规划到2025年的工作任务。对照文件，我区坚持改革创新，以勇担尖兵的精神，自加压力、主动作为，创造性地开展工作，比如，提出了“</w:t>
      </w:r>
      <w:r>
        <w:rPr>
          <w:rFonts w:hint="eastAsia" w:ascii="仿宋_GB2312" w:hAnsi="Times New Roman" w:eastAsia="仿宋_GB2312" w:cs="Times New Roman"/>
        </w:rPr>
        <w:t>创建高端制造业创新中心</w:t>
      </w:r>
      <w:r>
        <w:rPr>
          <w:rFonts w:hint="eastAsia" w:ascii="仿宋_GB2312" w:hAnsi="仿宋_GB2312" w:eastAsia="仿宋_GB2312"/>
        </w:rPr>
        <w:t>”“</w:t>
      </w:r>
      <w:r>
        <w:rPr>
          <w:rFonts w:hint="eastAsia" w:ascii="仿宋_GB2312" w:hAnsi="Times New Roman" w:eastAsia="仿宋_GB2312" w:cs="Times New Roman"/>
        </w:rPr>
        <w:t>先行先试教育体制改革</w:t>
      </w:r>
      <w:r>
        <w:rPr>
          <w:rFonts w:hint="eastAsia" w:ascii="仿宋_GB2312" w:hAnsi="仿宋_GB2312" w:eastAsia="仿宋_GB2312"/>
        </w:rPr>
        <w:t>”等。</w:t>
      </w:r>
    </w:p>
    <w:p>
      <w:pPr>
        <w:adjustRightInd w:val="0"/>
        <w:snapToGrid w:val="0"/>
        <w:spacing w:line="560" w:lineRule="exact"/>
        <w:ind w:firstLine="643" w:firstLineChars="200"/>
        <w:rPr>
          <w:rFonts w:ascii="仿宋_GB2312" w:hAnsi="仿宋_GB2312" w:eastAsia="仿宋_GB2312"/>
        </w:rPr>
      </w:pPr>
      <w:r>
        <w:rPr>
          <w:rFonts w:hint="eastAsia" w:ascii="仿宋_GB2312" w:hAnsi="仿宋_GB2312" w:eastAsia="仿宋_GB2312"/>
          <w:b/>
          <w:bCs/>
        </w:rPr>
        <w:t>三是坚持与“四大中心”建设紧密结合，提升重点工作的系统性和全局性。</w:t>
      </w:r>
      <w:r>
        <w:rPr>
          <w:rFonts w:hint="eastAsia" w:ascii="仿宋_GB2312" w:hAnsi="仿宋_GB2312" w:eastAsia="仿宋_GB2312"/>
        </w:rPr>
        <w:t>福田提出全力打造“四大中心”，是贯彻落实《意见》的重要举措，是加快建设高质量发展的社会主义现代化典范城区的重大战略行动。《行动方案》紧密结合“四大中心”建设的重大项目，比如“升级打造中心城区2.0版本”等。</w:t>
      </w:r>
    </w:p>
    <w:p>
      <w:pPr>
        <w:tabs>
          <w:tab w:val="left" w:pos="1440"/>
        </w:tabs>
        <w:snapToGrid w:val="0"/>
        <w:spacing w:line="560" w:lineRule="exact"/>
        <w:ind w:firstLine="643" w:firstLineChars="200"/>
        <w:rPr>
          <w:rFonts w:ascii="仿宋_GB2312" w:hAnsi="仿宋_GB2312" w:eastAsia="仿宋_GB2312"/>
        </w:rPr>
      </w:pPr>
      <w:r>
        <w:rPr>
          <w:rFonts w:hint="eastAsia" w:ascii="仿宋_GB2312" w:hAnsi="仿宋_GB2312" w:eastAsia="仿宋_GB2312"/>
          <w:b/>
          <w:bCs/>
        </w:rPr>
        <w:t>四是坚持抓重点有时序，突出强调现阶段要推动的若干项重大牵引性工作。</w:t>
      </w:r>
      <w:r>
        <w:rPr>
          <w:rFonts w:hint="eastAsia" w:ascii="仿宋_GB2312" w:hAnsi="仿宋_GB2312" w:eastAsia="仿宋_GB2312"/>
        </w:rPr>
        <w:t>《意见》远期规划到本世纪中叶，做好《意见》的贯彻落实，关键是抓住当前和未来几年的工作重点，分阶段突破先行示范区建设过程中的重大问题。《行动方案》坚持把握重点与全面推进相统一，突出强调当前和未来几年的重大项目、重大改革、重大政策、重大举措，是福田贯彻落实《意见》及市《行动方案》的具体施工图。</w:t>
      </w:r>
    </w:p>
    <w:p>
      <w:pPr>
        <w:pStyle w:val="2"/>
        <w:spacing w:before="0" w:beforeAutospacing="0" w:after="0" w:afterAutospacing="0" w:line="560" w:lineRule="exact"/>
        <w:ind w:firstLine="643" w:firstLineChars="200"/>
        <w:rPr>
          <w:rFonts w:ascii="仿宋_GB2312" w:hAnsi="仿宋_GB2312" w:eastAsia="仿宋_GB2312" w:cs="仿宋_GB2312"/>
          <w:b w:val="0"/>
          <w:kern w:val="2"/>
          <w:sz w:val="32"/>
          <w:szCs w:val="32"/>
        </w:rPr>
      </w:pPr>
      <w:r>
        <w:rPr>
          <w:rFonts w:ascii="仿宋_GB2312" w:hAnsi="仿宋_GB2312" w:eastAsia="仿宋_GB2312" w:cs="仿宋_GB2312"/>
          <w:bCs/>
          <w:kern w:val="2"/>
          <w:sz w:val="32"/>
          <w:szCs w:val="32"/>
        </w:rPr>
        <w:t>五是将加强督促检查和考核评估。</w:t>
      </w:r>
      <w:r>
        <w:rPr>
          <w:rFonts w:ascii="仿宋_GB2312" w:hAnsi="仿宋_GB2312" w:eastAsia="仿宋_GB2312" w:cs="仿宋_GB2312"/>
          <w:b w:val="0"/>
          <w:kern w:val="2"/>
          <w:sz w:val="32"/>
          <w:szCs w:val="32"/>
        </w:rPr>
        <w:t>健全多层次考核机制，进一步明确典范城区的标准，压实落细打造“四大中心”各项任务、专项行动和重点举措，确保工作责任落实到位。建立全过程督促检查机制，建立工作推进责任清单、问题清单、措施清单制度，定期跟踪督查推进落实情况，加快形成激励约束机制。完善开放式评估评价机制，综合运用第三方评估、社会监督评价等方式，建立评价体系和指标体系，委托专业机构适时开展评估评测，充分发挥绩效考核和科学评估对贯彻落实《意见》和相关工作的推动作用。</w:t>
      </w:r>
    </w:p>
    <w:p>
      <w:pPr>
        <w:spacing w:line="560" w:lineRule="exact"/>
        <w:ind w:firstLine="640" w:firstLineChars="200"/>
        <w:rPr>
          <w:rFonts w:ascii="黑体" w:hAnsi="黑体" w:eastAsia="黑体" w:cs="黑体"/>
        </w:rPr>
      </w:pPr>
      <w:r>
        <w:rPr>
          <w:rFonts w:hint="eastAsia" w:ascii="黑体" w:hAnsi="黑体" w:eastAsia="黑体" w:cs="黑体"/>
        </w:rPr>
        <w:t>二、关于</w:t>
      </w:r>
      <w:r>
        <w:rPr>
          <w:rFonts w:hint="eastAsia" w:ascii="黑体" w:hAnsi="黑体" w:eastAsia="黑体"/>
        </w:rPr>
        <w:t>现代化典范城区建设宣传推介及舆论引导</w:t>
      </w:r>
    </w:p>
    <w:p>
      <w:pPr>
        <w:spacing w:line="560" w:lineRule="exact"/>
        <w:ind w:firstLine="640" w:firstLineChars="200"/>
        <w:rPr>
          <w:rFonts w:ascii="黑体" w:hAnsi="黑体" w:eastAsia="黑体" w:cs="黑体"/>
        </w:rPr>
      </w:pPr>
      <w:r>
        <w:rPr>
          <w:rFonts w:ascii="仿宋_GB2312" w:hAnsi="Times New Roman" w:eastAsia="仿宋_GB2312" w:cs="Times New Roman"/>
          <w:bCs/>
        </w:rPr>
        <w:t>您在提案中提出：</w:t>
      </w:r>
      <w:r>
        <w:rPr>
          <w:rFonts w:hint="eastAsia" w:ascii="仿宋_GB2312" w:hAnsi="仿宋_GB2312" w:eastAsia="仿宋_GB2312"/>
          <w:b/>
          <w:bCs/>
        </w:rPr>
        <w:t>建议以区委区政府的名义向辖区企业和居民发出“福田区加快建设中国特色社会主义现代化典范城区倡议书”，把我们的宗旨、目的、意义以及呼吁辖区企业和全社会一起齐心协力，创造共同努力的良好氛围。</w:t>
      </w:r>
    </w:p>
    <w:p>
      <w:pPr>
        <w:spacing w:line="560" w:lineRule="exact"/>
        <w:ind w:firstLine="640" w:firstLineChars="200"/>
        <w:rPr>
          <w:rFonts w:ascii="仿宋_GB2312" w:eastAsia="仿宋_GB2312"/>
        </w:rPr>
      </w:pPr>
      <w:r>
        <w:rPr>
          <w:rFonts w:hint="eastAsia" w:ascii="仿宋_GB2312" w:hAnsi="仿宋_GB2312" w:eastAsia="仿宋_GB2312"/>
        </w:rPr>
        <w:t>该项建议我们十分认同，也认为非常有必要。福田区加快建设中国特色社会主义现代化典范城区，离不开企业和居民的积极参与和配合。为此，福田区就加强</w:t>
      </w:r>
      <w:r>
        <w:rPr>
          <w:rFonts w:ascii="仿宋_GB2312" w:hAnsi="仿宋_GB2312" w:eastAsia="仿宋_GB2312"/>
        </w:rPr>
        <w:t>社会主义现代化典范城区</w:t>
      </w:r>
      <w:r>
        <w:rPr>
          <w:rFonts w:hint="eastAsia" w:ascii="仿宋_GB2312" w:hAnsi="仿宋_GB2312" w:eastAsia="仿宋_GB2312"/>
        </w:rPr>
        <w:t>建设，已提出由区委宣传部牵头落实</w:t>
      </w:r>
      <w:r>
        <w:rPr>
          <w:rFonts w:hint="eastAsia" w:ascii="仿宋_GB2312" w:eastAsia="仿宋_GB2312"/>
        </w:rPr>
        <w:t>宣传推介和舆论引导。</w:t>
      </w:r>
      <w:r>
        <w:rPr>
          <w:rFonts w:hint="eastAsia" w:ascii="仿宋_GB2312" w:eastAsia="仿宋_GB2312"/>
          <w:b/>
          <w:bCs/>
        </w:rPr>
        <w:t>一是</w:t>
      </w:r>
      <w:r>
        <w:rPr>
          <w:rFonts w:hint="eastAsia" w:ascii="仿宋_GB2312" w:eastAsia="仿宋_GB2312"/>
        </w:rPr>
        <w:t>加强政策宣传。组织开展灵活多样的贯彻落实《意见》、打造“四大中心”等相关政策宣传解读，着力提高政策知晓度和执行力。</w:t>
      </w:r>
      <w:r>
        <w:rPr>
          <w:rFonts w:hint="eastAsia" w:ascii="仿宋_GB2312" w:eastAsia="仿宋_GB2312"/>
          <w:b/>
          <w:bCs/>
        </w:rPr>
        <w:t>二是</w:t>
      </w:r>
      <w:r>
        <w:rPr>
          <w:rFonts w:hint="eastAsia" w:ascii="仿宋_GB2312" w:eastAsia="仿宋_GB2312"/>
        </w:rPr>
        <w:t>加强舆论引导。充分发挥广播电视、平面媒体、互联网等媒体作用，开办宣传专版，介绍福田的改革创新实践，总结推介贯彻落实《意见》、打造“四大中心”的成功经验和典型案例。</w:t>
      </w:r>
      <w:r>
        <w:rPr>
          <w:rFonts w:hint="eastAsia" w:ascii="仿宋_GB2312" w:eastAsia="仿宋_GB2312"/>
          <w:b/>
          <w:bCs/>
        </w:rPr>
        <w:t>三是</w:t>
      </w:r>
      <w:r>
        <w:rPr>
          <w:rFonts w:hint="eastAsia" w:ascii="仿宋_GB2312" w:eastAsia="仿宋_GB2312"/>
        </w:rPr>
        <w:t>积极开展专题研究、宣传推介和理论研讨，扩大福田“四大中心”知名度和影响力，为福田区</w:t>
      </w:r>
      <w:r>
        <w:rPr>
          <w:rFonts w:hint="eastAsia" w:ascii="仿宋_GB2312" w:hAnsi="仿宋_GB2312" w:eastAsia="仿宋_GB2312"/>
        </w:rPr>
        <w:t>加快建设中国特色社会主义现代化典范城区营造良好氛围。</w:t>
      </w:r>
    </w:p>
    <w:p>
      <w:pPr>
        <w:spacing w:line="560" w:lineRule="exact"/>
        <w:ind w:firstLine="640" w:firstLineChars="200"/>
        <w:rPr>
          <w:rFonts w:ascii="黑体" w:hAnsi="黑体" w:eastAsia="黑体" w:cs="黑体"/>
        </w:rPr>
      </w:pPr>
      <w:r>
        <w:rPr>
          <w:rFonts w:hint="eastAsia" w:ascii="黑体" w:hAnsi="黑体" w:eastAsia="黑体" w:cs="黑体"/>
        </w:rPr>
        <w:t>三、关于辖区企业作用发挥</w:t>
      </w:r>
    </w:p>
    <w:p>
      <w:pPr>
        <w:spacing w:line="560" w:lineRule="exact"/>
        <w:ind w:firstLine="640" w:firstLineChars="200"/>
        <w:rPr>
          <w:rFonts w:ascii="仿宋_GB2312" w:hAnsi="楷体_GB2312" w:eastAsia="仿宋_GB2312" w:cs="楷体_GB2312"/>
          <w:b/>
          <w:bCs/>
        </w:rPr>
      </w:pPr>
      <w:r>
        <w:rPr>
          <w:rFonts w:hint="eastAsia" w:ascii="仿宋_GB2312" w:hAnsi="黑体" w:eastAsia="仿宋_GB2312" w:cs="黑体"/>
        </w:rPr>
        <w:t>您在提案中提出：</w:t>
      </w:r>
      <w:r>
        <w:rPr>
          <w:rFonts w:hint="eastAsia" w:ascii="仿宋_GB2312" w:hAnsi="黑体" w:eastAsia="仿宋_GB2312" w:cs="黑体"/>
          <w:b/>
          <w:bCs/>
        </w:rPr>
        <w:t>本主题所指的企业包括驻区国有企业、集体企业、外资企业及民营内资企业等，根据福田区的实际情况，因福田是中心区，众多国家级特别市属国有企业主要办公场所都集中在福田区，因此要充分发挥近水楼台先得月以及抢占投资及公共服务等得天独厚的资源优势，根据建设内容、指标体系等对接领域，逐个与各驻区国有企业落实并签订相关战略合作协议。</w:t>
      </w:r>
    </w:p>
    <w:p>
      <w:pPr>
        <w:pStyle w:val="3"/>
        <w:adjustRightInd w:val="0"/>
        <w:snapToGrid w:val="0"/>
        <w:spacing w:line="560" w:lineRule="exact"/>
        <w:ind w:firstLine="640" w:firstLineChars="200"/>
        <w:rPr>
          <w:rFonts w:hint="default" w:ascii="仿宋_GB2312" w:hAnsi="仿宋_GB2312" w:eastAsia="仿宋_GB2312"/>
        </w:rPr>
      </w:pPr>
      <w:r>
        <w:rPr>
          <w:rFonts w:ascii="仿宋_GB2312" w:hAnsi="仿宋_GB2312" w:eastAsia="仿宋_GB2312"/>
        </w:rPr>
        <w:t>为充分挖掘我区企业聚集市场资源及公共服务等资源优势，全力推进</w:t>
      </w:r>
      <w:r>
        <w:rPr>
          <w:rFonts w:ascii="仿宋_GB2312" w:hAnsi="黑体" w:eastAsia="仿宋_GB2312" w:cs="黑体"/>
        </w:rPr>
        <w:t>辖区企业参与建设中国特色社会主义现代化典范城区建设，</w:t>
      </w:r>
      <w:r>
        <w:rPr>
          <w:rFonts w:ascii="仿宋_GB2312" w:hAnsi="仿宋_GB2312" w:eastAsia="仿宋_GB2312"/>
        </w:rPr>
        <w:t>我区做了以下工作：</w:t>
      </w:r>
    </w:p>
    <w:p>
      <w:pPr>
        <w:pStyle w:val="3"/>
        <w:adjustRightInd w:val="0"/>
        <w:snapToGrid w:val="0"/>
        <w:spacing w:line="560" w:lineRule="exact"/>
        <w:ind w:firstLine="643" w:firstLineChars="200"/>
        <w:rPr>
          <w:rFonts w:hint="default" w:ascii="仿宋_GB2312" w:hAnsi="仿宋_GB2312" w:eastAsia="仿宋_GB2312"/>
        </w:rPr>
      </w:pPr>
      <w:r>
        <w:rPr>
          <w:rFonts w:ascii="仿宋_GB2312" w:hAnsi="仿宋_GB2312" w:eastAsia="仿宋_GB2312"/>
          <w:b/>
          <w:bCs/>
        </w:rPr>
        <w:t>一是积极探索政府与社会资本多元化、可持续的合作模式。</w:t>
      </w:r>
      <w:r>
        <w:rPr>
          <w:rFonts w:ascii="仿宋_GB2312" w:hAnsi="仿宋_GB2312" w:eastAsia="仿宋_GB2312"/>
        </w:rPr>
        <w:t>出台《福田区政府与社会资本合作项目实施办法（试行）》，大力</w:t>
      </w:r>
      <w:r>
        <w:rPr>
          <w:rFonts w:hint="default" w:ascii="仿宋_GB2312" w:hAnsi="仿宋_GB2312" w:eastAsia="仿宋_GB2312"/>
        </w:rPr>
        <w:t>推广</w:t>
      </w:r>
      <w:r>
        <w:rPr>
          <w:rFonts w:ascii="仿宋_GB2312" w:hAnsi="仿宋_GB2312" w:eastAsia="仿宋_GB2312"/>
        </w:rPr>
        <w:t>PPT模式</w:t>
      </w:r>
      <w:r>
        <w:rPr>
          <w:rFonts w:hint="default" w:ascii="仿宋_GB2312" w:hAnsi="仿宋_GB2312" w:eastAsia="仿宋_GB2312"/>
        </w:rPr>
        <w:t>，</w:t>
      </w:r>
      <w:r>
        <w:rPr>
          <w:rFonts w:ascii="仿宋_GB2312" w:hAnsi="仿宋_GB2312" w:eastAsia="仿宋_GB2312"/>
        </w:rPr>
        <w:t>引导符合条件的基础设施和公共服务领域项目向社会资本开放。</w:t>
      </w:r>
      <w:r>
        <w:rPr>
          <w:rFonts w:ascii="仿宋_GB2312" w:hAnsi="仿宋_GB2312" w:eastAsia="仿宋_GB2312"/>
          <w:color w:val="000000"/>
        </w:rPr>
        <w:t>截至目前，我区已开展9个PPP试点项目，</w:t>
      </w:r>
      <w:r>
        <w:rPr>
          <w:rFonts w:hint="default" w:ascii="仿宋_GB2312" w:hAnsi="仿宋_GB2312" w:eastAsia="仿宋_GB2312"/>
          <w:color w:val="000000"/>
        </w:rPr>
        <w:t>吸引总投资约</w:t>
      </w:r>
      <w:r>
        <w:rPr>
          <w:rFonts w:ascii="仿宋_GB2312" w:hAnsi="仿宋_GB2312" w:eastAsia="仿宋_GB2312"/>
          <w:color w:val="000000"/>
        </w:rPr>
        <w:t>7亿元</w:t>
      </w:r>
      <w:r>
        <w:rPr>
          <w:rFonts w:hint="default" w:ascii="仿宋_GB2312" w:hAnsi="仿宋_GB2312" w:eastAsia="仿宋_GB2312"/>
          <w:color w:val="000000"/>
        </w:rPr>
        <w:t>，</w:t>
      </w:r>
      <w:r>
        <w:rPr>
          <w:rFonts w:ascii="仿宋_GB2312" w:hAnsi="仿宋_GB2312" w:eastAsia="仿宋_GB2312"/>
          <w:color w:val="000000"/>
        </w:rPr>
        <w:t>其中，7个项目</w:t>
      </w:r>
      <w:r>
        <w:rPr>
          <w:rFonts w:hint="default" w:ascii="仿宋_GB2312" w:hAnsi="仿宋_GB2312" w:eastAsia="仿宋_GB2312"/>
          <w:color w:val="000000"/>
        </w:rPr>
        <w:t>已</w:t>
      </w:r>
      <w:r>
        <w:rPr>
          <w:rFonts w:ascii="仿宋_GB2312" w:hAnsi="仿宋_GB2312" w:eastAsia="仿宋_GB2312"/>
          <w:color w:val="000000"/>
        </w:rPr>
        <w:t>建成并投入运营。</w:t>
      </w:r>
      <w:r>
        <w:rPr>
          <w:rFonts w:ascii="仿宋_GB2312" w:hAnsi="仿宋_GB2312" w:eastAsia="仿宋_GB2312"/>
          <w:b/>
          <w:bCs/>
          <w:color w:val="000000"/>
        </w:rPr>
        <w:t>下一步</w:t>
      </w:r>
      <w:r>
        <w:rPr>
          <w:rFonts w:ascii="仿宋_GB2312" w:hAnsi="仿宋_GB2312" w:eastAsia="仿宋_GB2312"/>
          <w:color w:val="000000"/>
        </w:rPr>
        <w:t>将充分发挥招商合作机构的作用开展招商工作。</w:t>
      </w:r>
      <w:r>
        <w:rPr>
          <w:rFonts w:ascii="仿宋_GB2312" w:hAnsi="仿宋_GB2312" w:eastAsia="仿宋_GB2312"/>
        </w:rPr>
        <w:t>对招商合作机构给予认定支持和项目引进支持。充分发挥行业协会作用招商引商，对产业行业协会商会给予招商引智支持，充分发挥行业影响力为我区“招商引资”、“招才引智”。</w:t>
      </w:r>
    </w:p>
    <w:p>
      <w:pPr>
        <w:pStyle w:val="3"/>
        <w:adjustRightInd w:val="0"/>
        <w:snapToGrid w:val="0"/>
        <w:spacing w:line="560" w:lineRule="exact"/>
        <w:ind w:firstLine="643" w:firstLineChars="200"/>
        <w:rPr>
          <w:rFonts w:hint="default" w:ascii="仿宋_GB2312" w:hAnsi="仿宋_GB2312" w:eastAsia="仿宋_GB2312"/>
        </w:rPr>
      </w:pPr>
      <w:r>
        <w:rPr>
          <w:rFonts w:ascii="仿宋_GB2312" w:hAnsi="仿宋_GB2312" w:eastAsia="仿宋_GB2312"/>
          <w:b/>
          <w:bCs/>
        </w:rPr>
        <w:t>二是与企业合作共建全市首个“国际专业服务中心”。</w:t>
      </w:r>
      <w:r>
        <w:rPr>
          <w:rFonts w:ascii="仿宋_GB2312" w:hAnsi="仿宋_GB2312" w:eastAsia="仿宋_GB2312"/>
        </w:rPr>
        <w:t>政府根据楼宇产业发展定位设定行业范围和招商条件，并提供配套政策资源，企业负责提供物业空间和相关配套服务，采用“企业主导，政府引导”的政企合作模式，合力打造招商引资新高地，推动产业集聚发展。截至目前</w:t>
      </w:r>
      <w:r>
        <w:rPr>
          <w:rFonts w:hint="default" w:ascii="仿宋_GB2312" w:hAnsi="仿宋_GB2312" w:eastAsia="仿宋_GB2312"/>
        </w:rPr>
        <w:t>，</w:t>
      </w:r>
      <w:r>
        <w:rPr>
          <w:rFonts w:ascii="仿宋_GB2312" w:hAnsi="仿宋_GB2312" w:eastAsia="仿宋_GB2312"/>
        </w:rPr>
        <w:t>滨海云中心的招商入驻率达到86%，其中高端服务业企业数量占比超过80%，包括万科南方区域事业集团、万物梁行、中长胜基金等优质代表性企业。</w:t>
      </w:r>
    </w:p>
    <w:p>
      <w:pPr>
        <w:pStyle w:val="3"/>
        <w:adjustRightInd w:val="0"/>
        <w:snapToGrid w:val="0"/>
        <w:spacing w:line="560" w:lineRule="exact"/>
        <w:ind w:firstLine="643" w:firstLineChars="200"/>
        <w:rPr>
          <w:rFonts w:hint="default" w:ascii="仿宋_GB2312" w:hAnsi="仿宋_GB2312" w:eastAsia="仿宋_GB2312"/>
        </w:rPr>
      </w:pPr>
      <w:r>
        <w:rPr>
          <w:rFonts w:ascii="仿宋_GB2312" w:hAnsi="仿宋_GB2312" w:eastAsia="仿宋_GB2312"/>
          <w:b/>
          <w:bCs/>
        </w:rPr>
        <w:t>三是推出2</w:t>
      </w:r>
      <w:r>
        <w:rPr>
          <w:rFonts w:hint="default" w:ascii="仿宋_GB2312" w:hAnsi="仿宋_GB2312" w:eastAsia="仿宋_GB2312"/>
          <w:b/>
          <w:bCs/>
        </w:rPr>
        <w:t>020</w:t>
      </w:r>
      <w:r>
        <w:rPr>
          <w:rFonts w:ascii="仿宋_GB2312" w:hAnsi="仿宋_GB2312" w:eastAsia="仿宋_GB2312"/>
          <w:b/>
          <w:bCs/>
        </w:rPr>
        <w:t>版“1+9+N”产业资金政策。</w:t>
      </w:r>
      <w:r>
        <w:rPr>
          <w:rFonts w:ascii="仿宋_GB2312" w:hAnsi="仿宋_GB2312" w:eastAsia="仿宋_GB2312"/>
        </w:rPr>
        <w:t>对产业发展资金具体条款作较大优化调整：一是聚焦支持总部企业、金融业、现代服务业等优势产业，突出打造总部、专业服务及特色产业楼宇经济，突出经济贡献核算关键指标，如区工业和信息化局优化先进制造业、商业、外贸等政策条目，重点支持与经济贡献或产值指标贡献紧密关联的企业，将有限资源发挥最大效能。二是关注培育新经济新模式发展动能。新增区块链产业、科技企业高成长两个政策，优化完善集成电路、人工智能、生物医药产业政策条款，加快推进战略性新兴产业高端发展；科技创新政策新增国家高新技术企业从引入、培育、认定、经营等整个产业链支持，加快国家高新技术企业集聚；金融业政策将征信、评级、金融媒体、风险控制等金融服务机构纳入支持范围。三是关注企业发展需求，提供产业生态链解决方案。总部企业、金融业、企业上市、金融科技、高端服务业政策增加福田英才荟、企业人才住房、产业用地等政策链接，提供综合解决方案；科技企业高成长、金融科技政策按照企业发展生命周期设置项目，如金融科技政策不仅关注企业经营环节，还注重园区建设、专业人才、公共服务配套等。</w:t>
      </w:r>
    </w:p>
    <w:p>
      <w:pPr>
        <w:spacing w:line="560" w:lineRule="exact"/>
        <w:ind w:firstLine="640" w:firstLineChars="200"/>
        <w:rPr>
          <w:rFonts w:ascii="黑体" w:hAnsi="黑体" w:eastAsia="黑体" w:cs="黑体"/>
        </w:rPr>
      </w:pPr>
      <w:r>
        <w:rPr>
          <w:rFonts w:hint="eastAsia" w:ascii="黑体" w:hAnsi="黑体" w:eastAsia="黑体" w:cs="黑体"/>
        </w:rPr>
        <w:t>四、关于现代产业体系建设</w:t>
      </w:r>
    </w:p>
    <w:p>
      <w:pPr>
        <w:spacing w:line="560" w:lineRule="exact"/>
        <w:ind w:firstLine="640" w:firstLineChars="200"/>
        <w:rPr>
          <w:rFonts w:ascii="仿宋_GB2312" w:hAnsi="黑体" w:eastAsia="仿宋_GB2312" w:cs="黑体"/>
        </w:rPr>
      </w:pPr>
      <w:r>
        <w:rPr>
          <w:rFonts w:hint="eastAsia" w:ascii="仿宋_GB2312" w:hAnsi="黑体" w:eastAsia="仿宋_GB2312" w:cs="黑体"/>
        </w:rPr>
        <w:t>您在提案中提出：</w:t>
      </w:r>
      <w:r>
        <w:rPr>
          <w:rFonts w:hint="eastAsia" w:ascii="仿宋_GB2312" w:hAnsi="黑体" w:eastAsia="仿宋_GB2312" w:cs="黑体"/>
          <w:b/>
          <w:bCs/>
        </w:rPr>
        <w:t>要重视战略性新兴产业、前沿技术和未来产业技术的龙头企业资源，特别是在5G、人工智能、生物医药、区块链技术等关键技术的优质企业，要尽早落实攻坚的合作协议，包括相对应的专项支持政策机制，确保高质量发展和现代化经济体系的支撑目标。设立高质量发展及可持续发展协调促进委员会，以区科创局和工信局牵头，由分管科技、工信的副区长挂帅主任，科创局局长、工信局局长任双执行主任，可聘请行业代表企业主要负责人任副主任，聘任一部分企业代表任委员。</w:t>
      </w:r>
    </w:p>
    <w:p>
      <w:pPr>
        <w:spacing w:line="560" w:lineRule="exact"/>
        <w:ind w:firstLine="640" w:firstLineChars="200"/>
        <w:rPr>
          <w:rFonts w:ascii="仿宋_GB2312" w:hAnsi="宋体" w:eastAsia="仿宋_GB2312"/>
        </w:rPr>
      </w:pPr>
      <w:r>
        <w:rPr>
          <w:rFonts w:hint="eastAsia" w:ascii="仿宋_GB2312" w:hAnsi="仿宋_GB2312" w:eastAsia="仿宋_GB2312"/>
        </w:rPr>
        <w:t>为打造“科技创新中心”，推动战略性新兴产业发展，</w:t>
      </w:r>
      <w:r>
        <w:rPr>
          <w:rFonts w:hint="eastAsia" w:ascii="仿宋_GB2312" w:hAnsi="宋体" w:eastAsia="仿宋_GB2312"/>
        </w:rPr>
        <w:t>在战略性新兴产业、前沿技术和未来产业技术方面，尤其是在5G、人工智能、生物医药、区块链技术等方面，福田区做了以下工作：</w:t>
      </w:r>
    </w:p>
    <w:p>
      <w:pPr>
        <w:spacing w:line="560" w:lineRule="exact"/>
        <w:ind w:firstLine="643" w:firstLineChars="200"/>
        <w:rPr>
          <w:rFonts w:ascii="仿宋_GB2312" w:hAnsi="宋体" w:eastAsia="仿宋_GB2312"/>
          <w:b/>
          <w:bCs/>
        </w:rPr>
      </w:pPr>
      <w:r>
        <w:rPr>
          <w:rFonts w:hint="eastAsia" w:ascii="仿宋_GB2312" w:hAnsi="宋体" w:eastAsia="仿宋_GB2312"/>
          <w:b/>
          <w:bCs/>
        </w:rPr>
        <w:t>一是积极出台相关产业政策。</w:t>
      </w:r>
      <w:r>
        <w:rPr>
          <w:rFonts w:hint="eastAsia" w:ascii="仿宋_GB2312" w:hAnsi="宋体" w:eastAsia="仿宋_GB2312"/>
        </w:rPr>
        <w:t>在2019年</w:t>
      </w:r>
      <w:r>
        <w:rPr>
          <w:rFonts w:ascii="仿宋_GB2312" w:hAnsi="宋体" w:eastAsia="仿宋_GB2312"/>
        </w:rPr>
        <w:t>的基础上，出台了《</w:t>
      </w:r>
      <w:r>
        <w:rPr>
          <w:rFonts w:hint="eastAsia" w:ascii="仿宋_GB2312" w:hAnsi="宋体" w:eastAsia="仿宋_GB2312"/>
        </w:rPr>
        <w:t>福田区支持新一代人工智能产业发展若干政策</w:t>
      </w:r>
      <w:r>
        <w:rPr>
          <w:rFonts w:ascii="仿宋_GB2312" w:hAnsi="宋体" w:eastAsia="仿宋_GB2312"/>
        </w:rPr>
        <w:t>》</w:t>
      </w:r>
      <w:r>
        <w:rPr>
          <w:rFonts w:hint="eastAsia" w:ascii="仿宋_GB2312" w:hAnsi="宋体" w:eastAsia="仿宋_GB2312"/>
        </w:rPr>
        <w:t>、《福田区</w:t>
      </w:r>
      <w:r>
        <w:rPr>
          <w:rFonts w:ascii="仿宋_GB2312" w:hAnsi="宋体" w:eastAsia="仿宋_GB2312"/>
        </w:rPr>
        <w:t>支持生物医药产业发展若干政策</w:t>
      </w:r>
      <w:r>
        <w:rPr>
          <w:rFonts w:hint="eastAsia" w:ascii="仿宋_GB2312" w:hAnsi="宋体" w:eastAsia="仿宋_GB2312"/>
        </w:rPr>
        <w:t>》</w:t>
      </w:r>
      <w:r>
        <w:rPr>
          <w:rFonts w:ascii="仿宋_GB2312" w:hAnsi="宋体" w:eastAsia="仿宋_GB2312"/>
        </w:rPr>
        <w:t>《</w:t>
      </w:r>
      <w:r>
        <w:rPr>
          <w:rFonts w:hint="eastAsia" w:ascii="仿宋_GB2312" w:hAnsi="宋体" w:eastAsia="仿宋_GB2312"/>
        </w:rPr>
        <w:t>福田区支持区块链产业发展若干政策</w:t>
      </w:r>
      <w:r>
        <w:rPr>
          <w:rFonts w:ascii="仿宋_GB2312" w:hAnsi="宋体" w:eastAsia="仿宋_GB2312"/>
        </w:rPr>
        <w:t>》</w:t>
      </w:r>
      <w:r>
        <w:rPr>
          <w:rFonts w:hint="eastAsia" w:ascii="仿宋_GB2312" w:hAnsi="宋体" w:eastAsia="仿宋_GB2312"/>
        </w:rPr>
        <w:t>，</w:t>
      </w:r>
      <w:r>
        <w:rPr>
          <w:rFonts w:ascii="仿宋_GB2312" w:hAnsi="宋体" w:eastAsia="仿宋_GB2312"/>
        </w:rPr>
        <w:t>同时还推出了《</w:t>
      </w:r>
      <w:r>
        <w:rPr>
          <w:rFonts w:hint="eastAsia" w:ascii="仿宋_GB2312" w:hAnsi="宋体" w:eastAsia="仿宋_GB2312"/>
        </w:rPr>
        <w:t>福田区支持科技企业高成长发展若干政策</w:t>
      </w:r>
      <w:r>
        <w:rPr>
          <w:rFonts w:ascii="仿宋_GB2312" w:hAnsi="宋体" w:eastAsia="仿宋_GB2312"/>
        </w:rPr>
        <w:t>》《</w:t>
      </w:r>
      <w:r>
        <w:rPr>
          <w:rFonts w:hint="eastAsia" w:ascii="仿宋_GB2312" w:hAnsi="宋体" w:eastAsia="仿宋_GB2312"/>
        </w:rPr>
        <w:t>福田区支持集成电路产业发展若干政策</w:t>
      </w:r>
      <w:r>
        <w:rPr>
          <w:rFonts w:ascii="仿宋_GB2312" w:hAnsi="宋体" w:eastAsia="仿宋_GB2312"/>
        </w:rPr>
        <w:t>》</w:t>
      </w:r>
      <w:r>
        <w:rPr>
          <w:rFonts w:hint="eastAsia" w:ascii="仿宋_GB2312" w:hAnsi="宋体" w:eastAsia="仿宋_GB2312"/>
        </w:rPr>
        <w:t>等多个专项扶持政策,从企业经营、研发创新、科技计划、科技成果转化孵化、知识产权、创新创业活动等方面大力支持辖区企业科技创新,将进一步有效提升我区科技自主创新能力和高新技术产业核心竞争力。</w:t>
      </w:r>
    </w:p>
    <w:p>
      <w:pPr>
        <w:spacing w:line="560" w:lineRule="exact"/>
        <w:ind w:firstLine="643" w:firstLineChars="200"/>
        <w:rPr>
          <w:rFonts w:ascii="仿宋_GB2312" w:hAnsi="宋体" w:eastAsia="仿宋_GB2312"/>
          <w:b/>
          <w:bCs/>
        </w:rPr>
      </w:pPr>
      <w:r>
        <w:rPr>
          <w:rFonts w:hint="eastAsia" w:ascii="仿宋_GB2312" w:hAnsi="仿宋_GB2312" w:eastAsia="仿宋_GB2312"/>
          <w:b/>
          <w:bCs/>
        </w:rPr>
        <w:t>二是加快相关产业载体建设。</w:t>
      </w:r>
      <w:r>
        <w:rPr>
          <w:rFonts w:hint="eastAsia" w:ascii="仿宋_GB2312" w:hAnsi="宋体" w:eastAsia="仿宋_GB2312"/>
        </w:rPr>
        <w:t>以新一代信息技术产业园为载体(该园区占地面积3.28万平方米,总建筑面积约40万平方米)聚焦5G研发及应用、芯片设计与研发、金融科技研发及应用、高端现代服务业等四大产业,推动形成新一代信息技术全产业链。已引进5G中高频器件创新中心、深圳国家芯火双创平台、IC测试验证工程技术中心、华为软件云服务创新中心、粤港澳5G和新一代无线信息技术公共服务平台等5个新一代信息技术产业项目,未来,新一代信息产业园将成为支撑全市5G产业的主阵地和主要载体。</w:t>
      </w:r>
    </w:p>
    <w:p>
      <w:pPr>
        <w:spacing w:line="560" w:lineRule="exact"/>
        <w:ind w:firstLine="643" w:firstLineChars="200"/>
        <w:rPr>
          <w:rFonts w:ascii="仿宋_GB2312" w:hAnsi="仿宋_GB2312" w:eastAsia="仿宋_GB2312"/>
          <w:b/>
          <w:bCs/>
          <w:color w:val="000000"/>
        </w:rPr>
      </w:pPr>
      <w:r>
        <w:rPr>
          <w:rFonts w:hint="eastAsia" w:ascii="仿宋_GB2312" w:hAnsi="仿宋_GB2312" w:eastAsia="仿宋_GB2312"/>
          <w:b/>
          <w:bCs/>
        </w:rPr>
        <w:t>三是推进5G研发和示范应用。</w:t>
      </w:r>
      <w:r>
        <w:rPr>
          <w:rFonts w:hint="eastAsia" w:ascii="仿宋_GB2312" w:hAnsi="宋体" w:eastAsia="仿宋_GB2312"/>
        </w:rPr>
        <w:t>进一步发挥福田区作为大湾区核心引擎的综合环境和政策优势,聚焦5G研发及应用、芯片设计研发、金融科技研发及应用、高端现代服务业等四大产业,瞄准细分行业龙头或前5名,提前布局5G创新中心(即将升级为5G领域唯一的国家级制造业创新中心)、5G通讯中心、华为云创新中心等示范性项目,加大精准招商力度,提高准入门槛,重点引进国家级科研机构、科研型龙头企业、高端创新资源等,通过加大对重点领域、重大项目的支持力度,快速形成园区战略主导产业集聚,打造国际领先的5G试验场。</w:t>
      </w:r>
      <w:r>
        <w:rPr>
          <w:rFonts w:hint="eastAsia" w:ascii="仿宋_GB2312" w:hAnsi="仿宋_GB2312" w:eastAsia="仿宋_GB2312"/>
        </w:rPr>
        <w:t>积极</w:t>
      </w:r>
      <w:r>
        <w:rPr>
          <w:rFonts w:hint="eastAsia" w:ascii="仿宋_GB2312" w:hAnsi="仿宋_GB2312" w:eastAsia="仿宋_GB2312"/>
          <w:color w:val="000000"/>
        </w:rPr>
        <w:t>开展《5G通信核心芯片产业发展情况研究》。计划</w:t>
      </w:r>
      <w:r>
        <w:rPr>
          <w:rFonts w:hint="eastAsia" w:ascii="仿宋_GB2312" w:hAnsi="仿宋_GB2312" w:eastAsia="仿宋_GB2312"/>
        </w:rPr>
        <w:t>到2020年8月底，完成</w:t>
      </w:r>
      <w:r>
        <w:rPr>
          <w:rFonts w:hint="eastAsia" w:ascii="仿宋_GB2312" w:hAnsi="仿宋_GB2312" w:eastAsia="仿宋_GB2312"/>
          <w:color w:val="000000"/>
        </w:rPr>
        <w:t>5260个5G基站建设站点任务，大力推进5G基站等新型基础设施建设快速发展联合社会企业共同推动5G应用在福田的先行先试，打造良好的5G生态。</w:t>
      </w:r>
    </w:p>
    <w:p>
      <w:pPr>
        <w:spacing w:line="560" w:lineRule="exact"/>
        <w:ind w:firstLine="643" w:firstLineChars="200"/>
        <w:rPr>
          <w:rFonts w:ascii="仿宋_GB2312" w:hAnsi="仿宋_GB2312" w:eastAsia="仿宋_GB2312"/>
          <w:b/>
          <w:bCs/>
        </w:rPr>
      </w:pPr>
      <w:r>
        <w:rPr>
          <w:rFonts w:hint="eastAsia" w:ascii="仿宋_GB2312" w:hAnsi="仿宋_GB2312" w:eastAsia="仿宋_GB2312"/>
          <w:b/>
          <w:bCs/>
          <w:color w:val="000000"/>
        </w:rPr>
        <w:t>四是加快推进“两个中心”建设。</w:t>
      </w:r>
      <w:r>
        <w:rPr>
          <w:rFonts w:hint="eastAsia" w:ascii="仿宋_GB2312" w:hAnsi="仿宋_GB2312" w:eastAsia="仿宋_GB2312"/>
        </w:rPr>
        <w:t>加紧推进智能制造中心项目建设，目前已完成禾望电气和天源迪科两家企业的注册地址搬迁事宜。推动未来通信高端器件制造业创新中心项目，已获得广东省5G中高频器件制造业创新中心挂牌，目前，已递交申报材料，将申报国家级创新中心。</w:t>
      </w:r>
    </w:p>
    <w:p>
      <w:pPr>
        <w:spacing w:line="560" w:lineRule="exact"/>
        <w:ind w:firstLine="643" w:firstLineChars="200"/>
        <w:rPr>
          <w:rFonts w:ascii="仿宋_GB2312" w:hAnsi="仿宋_GB2312" w:eastAsia="仿宋_GB2312"/>
          <w:b/>
          <w:bCs/>
        </w:rPr>
      </w:pPr>
      <w:r>
        <w:rPr>
          <w:rFonts w:hint="eastAsia" w:ascii="仿宋_GB2312" w:hAnsi="仿宋_GB2312" w:eastAsia="仿宋_GB2312"/>
          <w:b/>
          <w:bCs/>
        </w:rPr>
        <w:t>五是推动企业从低端代工向高端制造和自主品牌升级转型</w:t>
      </w:r>
      <w:r>
        <w:rPr>
          <w:rFonts w:hint="eastAsia" w:ascii="仿宋_GB2312" w:hAnsi="仿宋_GB2312" w:eastAsia="仿宋_GB2312"/>
        </w:rPr>
        <w:t>。推动沛顿科技超大规模集成电路高端内存存储器封装与测试项目，预计未来产值可达50亿元左右；推动赛意法的碳化硅项目，预计新增投资额4.5亿元，目前已备案，预计2020年产量将从当前的3万只/天增长到10万只/天；推动华润九新罗氏线改造项目，总投资将达到20亿左右。</w:t>
      </w:r>
    </w:p>
    <w:p>
      <w:pPr>
        <w:spacing w:line="560" w:lineRule="exact"/>
        <w:ind w:firstLine="640" w:firstLineChars="200"/>
        <w:rPr>
          <w:rFonts w:ascii="黑体" w:hAnsi="黑体" w:eastAsia="黑体" w:cs="黑体"/>
        </w:rPr>
      </w:pPr>
      <w:r>
        <w:rPr>
          <w:rFonts w:hint="eastAsia" w:ascii="黑体" w:hAnsi="黑体" w:eastAsia="黑体"/>
        </w:rPr>
        <w:t>五、</w:t>
      </w:r>
      <w:r>
        <w:rPr>
          <w:rFonts w:hint="eastAsia" w:ascii="黑体" w:hAnsi="黑体" w:eastAsia="黑体" w:cs="黑体"/>
        </w:rPr>
        <w:t>关于民主法治环境建设</w:t>
      </w:r>
    </w:p>
    <w:p>
      <w:pPr>
        <w:spacing w:line="560" w:lineRule="exact"/>
        <w:ind w:firstLine="640" w:firstLineChars="200"/>
        <w:rPr>
          <w:rFonts w:ascii="仿宋_GB2312" w:hAnsi="黑体" w:eastAsia="仿宋_GB2312" w:cs="黑体"/>
          <w:b/>
          <w:bCs/>
        </w:rPr>
      </w:pPr>
      <w:r>
        <w:rPr>
          <w:rFonts w:hint="eastAsia" w:ascii="仿宋_GB2312" w:hAnsi="黑体" w:eastAsia="仿宋_GB2312" w:cs="黑体"/>
        </w:rPr>
        <w:t>您在提案中提出：</w:t>
      </w:r>
      <w:r>
        <w:rPr>
          <w:rFonts w:hint="eastAsia" w:ascii="仿宋_GB2312" w:hAnsi="黑体" w:eastAsia="仿宋_GB2312" w:cs="黑体"/>
          <w:b/>
          <w:bCs/>
        </w:rPr>
        <w:t>在法治城市领域要充分发挥律师协会、广泛的司法团体以及征信机构的作用。要密切了解、分析及优化、完善营商环境，引导企业守法经营、诚信经营。同时要注意居民的法律意识和法制观念的宣传和培育，可以依托社区法治论坛和讲座，让法治精神走进企业、走进社区、走进校园，让全民遵法、守纪、维法。建议设立法治城市协调及促进委员会，由分管司法、法制的区领导挂帅主任，司法局、企服中心牵头，司法局长及企服中心主任任执行主任，聘任著名律师、司法工作者、品牌征信机构负责人等担任副主任，同时聘任一批法律及相关专业委员。</w:t>
      </w:r>
    </w:p>
    <w:p>
      <w:pPr>
        <w:spacing w:line="586" w:lineRule="exact"/>
        <w:ind w:firstLine="640" w:firstLineChars="200"/>
        <w:rPr>
          <w:rFonts w:ascii="仿宋_GB2312" w:eastAsia="仿宋_GB2312"/>
        </w:rPr>
      </w:pPr>
      <w:r>
        <w:rPr>
          <w:rFonts w:hint="eastAsia" w:ascii="仿宋_GB2312" w:eastAsia="仿宋_GB2312"/>
        </w:rPr>
        <w:t>针对民主法治环境建设，《福田区关于落实&lt;中共中央、国务院关于支持深圳建设中国特色社会主义先行示范区的意见&gt;全力打造“四大中心”加快建设社会主义现代化典范城区的行动方案（2019—2025年）》中提出了系列举措，正由区相关职能部门牵头全面推进落实。</w:t>
      </w:r>
    </w:p>
    <w:p>
      <w:pPr>
        <w:spacing w:line="586" w:lineRule="exact"/>
        <w:ind w:firstLine="643" w:firstLineChars="200"/>
        <w:rPr>
          <w:rFonts w:ascii="黑体" w:hAnsi="黑体" w:eastAsia="黑体" w:cs="黑体"/>
        </w:rPr>
      </w:pPr>
      <w:r>
        <w:rPr>
          <w:rFonts w:hint="eastAsia" w:ascii="仿宋_GB2312" w:eastAsia="仿宋_GB2312"/>
          <w:b/>
          <w:bCs/>
        </w:rPr>
        <w:t>一是</w:t>
      </w:r>
      <w:r>
        <w:rPr>
          <w:rFonts w:hint="eastAsia" w:ascii="仿宋_GB2312" w:eastAsia="仿宋_GB2312"/>
        </w:rPr>
        <w:t>全力推进打造普法宣传教育引领区。区司法局正抓紧研究出台公民法律素质提升资助计划管理办法，吸纳社会力量参与普法，培育普法品牌。积极借助5G等新技术手段打造智慧普法平台，创新普法产品策划与设计，提升供给品质与传播力。</w:t>
      </w:r>
    </w:p>
    <w:p>
      <w:pPr>
        <w:spacing w:line="586" w:lineRule="exact"/>
        <w:ind w:firstLine="643" w:firstLineChars="200"/>
        <w:rPr>
          <w:rFonts w:ascii="黑体" w:hAnsi="黑体" w:eastAsia="黑体" w:cs="黑体"/>
        </w:rPr>
      </w:pPr>
      <w:r>
        <w:rPr>
          <w:rFonts w:hint="eastAsia" w:ascii="仿宋_GB2312" w:eastAsia="仿宋_GB2312"/>
          <w:b/>
          <w:bCs/>
        </w:rPr>
        <w:t>二是</w:t>
      </w:r>
      <w:r>
        <w:rPr>
          <w:rFonts w:hint="eastAsia" w:ascii="仿宋_GB2312" w:eastAsia="仿宋_GB2312"/>
        </w:rPr>
        <w:t>打造新时代亲清政商关系典范。建立常态化、智能化政企沟通机制，规范完善企业家参与制定涉企政策、产业规划等参政议政机制，打造“亲清政商家园”。建立政企高端对话直通车，营造“讲真话、说实情、建诤言”政企良性互动机制。依法保护企业家个人合法财产，实施企业家关爱行动，打造企业家公园、设立企业家荣誉长廊，提升企业家归属感、幸福感、获得感。此事项正由区工商联、区企服中心牵头落实。</w:t>
      </w:r>
    </w:p>
    <w:p>
      <w:pPr>
        <w:spacing w:line="560" w:lineRule="exact"/>
        <w:ind w:firstLine="640" w:firstLineChars="200"/>
        <w:rPr>
          <w:rFonts w:ascii="黑体" w:hAnsi="黑体" w:eastAsia="黑体" w:cs="黑体"/>
        </w:rPr>
      </w:pPr>
      <w:r>
        <w:rPr>
          <w:rFonts w:hint="eastAsia" w:ascii="黑体" w:hAnsi="黑体" w:eastAsia="黑体" w:cs="黑体"/>
        </w:rPr>
        <w:t>六、关于城市文明建设</w:t>
      </w:r>
    </w:p>
    <w:p>
      <w:pPr>
        <w:spacing w:line="560" w:lineRule="exact"/>
        <w:ind w:firstLine="643" w:firstLineChars="200"/>
        <w:rPr>
          <w:rFonts w:ascii="仿宋_GB2312" w:hAnsi="黑体" w:eastAsia="仿宋_GB2312" w:cs="黑体"/>
          <w:b/>
          <w:bCs/>
        </w:rPr>
      </w:pPr>
      <w:r>
        <w:rPr>
          <w:rFonts w:hint="eastAsia" w:ascii="仿宋_GB2312" w:hAnsi="黑体" w:eastAsia="仿宋_GB2312" w:cs="黑体"/>
          <w:b/>
          <w:bCs/>
        </w:rPr>
        <w:t>您在提案中提出：在城市文明领域要充分发挥文化议事会机构的创新机制，充分发挥较为代表性的文化创意产业代表，特别是要以福田好公民、道德模范、福田好人、社会贤达为模范，成立城市文明协调及促进委员会，由区委常委、宣传部长挂帅主任，以区文化广电旅游体育局、区文体发展中心、区文联等单位牵头，任命执行主任及聘任代表企业家和相关人士任副主任，组织好委员人选。</w:t>
      </w:r>
    </w:p>
    <w:p>
      <w:pPr>
        <w:spacing w:line="560" w:lineRule="exact"/>
        <w:ind w:firstLine="640" w:firstLineChars="200"/>
        <w:rPr>
          <w:rFonts w:ascii="仿宋_GB2312" w:hAnsi="仿宋" w:eastAsia="仿宋_GB2312"/>
        </w:rPr>
      </w:pPr>
      <w:r>
        <w:rPr>
          <w:rFonts w:hint="eastAsia" w:ascii="仿宋_GB2312" w:hAnsi="仿宋_GB2312" w:eastAsia="仿宋_GB2312"/>
        </w:rPr>
        <w:t>为</w:t>
      </w:r>
      <w:r>
        <w:rPr>
          <w:rFonts w:hint="eastAsia" w:ascii="仿宋_GB2312" w:hAnsi="仿宋" w:eastAsia="仿宋_GB2312"/>
          <w:color w:val="000000"/>
        </w:rPr>
        <w:t>构建共享共治共建的社会治理新格局，</w:t>
      </w:r>
      <w:r>
        <w:rPr>
          <w:rFonts w:hint="eastAsia" w:ascii="仿宋_GB2312" w:hAnsi="仿宋" w:eastAsia="仿宋_GB2312"/>
        </w:rPr>
        <w:t>引导社会力量参与福田区城市文明建设，我区做了以下工作：</w:t>
      </w:r>
    </w:p>
    <w:p>
      <w:pPr>
        <w:spacing w:line="560" w:lineRule="exact"/>
        <w:ind w:firstLine="643" w:firstLineChars="200"/>
        <w:rPr>
          <w:rFonts w:ascii="仿宋_GB2312" w:hAnsi="仿宋" w:eastAsia="仿宋_GB2312"/>
          <w:b/>
          <w:bCs/>
        </w:rPr>
      </w:pPr>
      <w:r>
        <w:rPr>
          <w:rFonts w:hint="eastAsia" w:ascii="仿宋_GB2312" w:hAnsi="仿宋" w:eastAsia="仿宋_GB2312"/>
          <w:b/>
          <w:bCs/>
        </w:rPr>
        <w:t>一是制定行动纲要完善工作机制。</w:t>
      </w:r>
      <w:r>
        <w:rPr>
          <w:rFonts w:hint="eastAsia" w:ascii="仿宋_GB2312" w:hAnsi="仿宋" w:eastAsia="仿宋_GB2312"/>
        </w:rPr>
        <w:t>出台《在更高层次推动精神文明建设、繁荣文化艺术发展，率先塑造文明典范城区行动纲要（2020-2025）》。完善全区“党委统一领导、党政齐抓共管、文明委组织协调、有关部门各负其责、社会各界积极参与”的文明创建工作机制，全方位探索文明城市创建长效机制。</w:t>
      </w:r>
    </w:p>
    <w:p>
      <w:pPr>
        <w:spacing w:line="560" w:lineRule="exact"/>
        <w:ind w:firstLine="643" w:firstLineChars="200"/>
        <w:rPr>
          <w:rFonts w:ascii="仿宋_GB2312" w:hAnsi="仿宋" w:eastAsia="仿宋_GB2312"/>
          <w:b/>
          <w:bCs/>
        </w:rPr>
      </w:pPr>
      <w:r>
        <w:rPr>
          <w:rFonts w:hint="eastAsia" w:ascii="仿宋_GB2312" w:hAnsi="仿宋" w:eastAsia="仿宋_GB2312"/>
          <w:b/>
          <w:bCs/>
        </w:rPr>
        <w:t>二是充分发挥福田区“文化议事会”议事决策制度。</w:t>
      </w:r>
      <w:r>
        <w:rPr>
          <w:rFonts w:hint="eastAsia" w:ascii="仿宋_GB2312" w:hAnsi="仿宋" w:eastAsia="仿宋_GB2312"/>
        </w:rPr>
        <w:t>全国首创的区级“文化议事会”自2014年成立以来，创新机制深受中宣部、文化和旅游部等上级部门的广泛关注和高度肯定，多次对我区文化文明系统工作出谋划策。下一步我们将深入探索“文化议事会”运行模式，邀请“福田好公民”等杰出代表加入“文化议事会”，深度构建公共文化社会共同治理新机制，就文明城市创建开展常态化专题讨论，激发城区文化创新活力。</w:t>
      </w:r>
    </w:p>
    <w:p>
      <w:pPr>
        <w:spacing w:line="560" w:lineRule="exact"/>
        <w:ind w:firstLine="643" w:firstLineChars="200"/>
        <w:rPr>
          <w:rFonts w:ascii="仿宋_GB2312" w:hAnsi="仿宋" w:eastAsia="仿宋_GB2312"/>
          <w:b/>
          <w:bCs/>
        </w:rPr>
      </w:pPr>
      <w:r>
        <w:rPr>
          <w:rFonts w:hint="eastAsia" w:ascii="仿宋_GB2312" w:hAnsi="仿宋" w:eastAsia="仿宋_GB2312"/>
          <w:b/>
          <w:bCs/>
        </w:rPr>
        <w:t>三是持续组织市民开展文明巡访活动</w:t>
      </w:r>
      <w:r>
        <w:rPr>
          <w:rFonts w:hint="eastAsia" w:ascii="仿宋_GB2312" w:hAnsi="仿宋" w:eastAsia="仿宋_GB2312"/>
        </w:rPr>
        <w:t>。邀请人大代表、政协委员、“福田好公民”、志愿者和市民网友代表组成福田区“市民巡访团”，深入城市大街小巷，发挥城市“啄木鸟”作用，查找文明城市创建中存在的问题，形成了“没有旁观者，只有参与者”的全民参与文明城市创建氛围。</w:t>
      </w:r>
    </w:p>
    <w:p>
      <w:pPr>
        <w:spacing w:line="560" w:lineRule="exact"/>
        <w:ind w:firstLine="643" w:firstLineChars="200"/>
        <w:rPr>
          <w:rFonts w:ascii="仿宋" w:hAnsi="仿宋" w:eastAsia="仿宋" w:cs="仿宋"/>
          <w:color w:val="0F0D11"/>
          <w:kern w:val="0"/>
          <w:lang w:bidi="ar"/>
        </w:rPr>
      </w:pPr>
      <w:r>
        <w:rPr>
          <w:rFonts w:hint="eastAsia" w:ascii="仿宋_GB2312" w:hAnsi="仿宋" w:eastAsia="仿宋_GB2312"/>
          <w:b/>
          <w:bCs/>
        </w:rPr>
        <w:t>四是建设福田区新时代文明实践中心。</w:t>
      </w:r>
      <w:r>
        <w:rPr>
          <w:rFonts w:hint="eastAsia" w:ascii="仿宋_GB2312" w:hAnsi="仿宋" w:eastAsia="仿宋_GB2312"/>
        </w:rPr>
        <w:t>整合现有基层公共服务阵地资源，组建“1个区级中枢+10个街道+96个社区+N个特色”的文明实践阵地。组建文明实践志愿服务队，由党政机关和国有企事业单位，特别是文化战线职能部门在职人员，以及先进人物、文化人才、科技能人、杰出企业家代表、学生志愿者等带头开展志愿服务，让志愿服务蔚然成风</w:t>
      </w:r>
      <w:r>
        <w:rPr>
          <w:rFonts w:hint="eastAsia" w:ascii="仿宋" w:hAnsi="仿宋" w:eastAsia="仿宋" w:cs="仿宋"/>
          <w:color w:val="0F0D11"/>
          <w:kern w:val="0"/>
          <w:lang w:bidi="ar"/>
        </w:rPr>
        <w:t>。</w:t>
      </w:r>
    </w:p>
    <w:p>
      <w:pPr>
        <w:spacing w:line="560" w:lineRule="exact"/>
        <w:ind w:firstLine="643" w:firstLineChars="200"/>
        <w:rPr>
          <w:rFonts w:ascii="仿宋_GB2312" w:hAnsi="仿宋" w:eastAsia="仿宋_GB2312"/>
        </w:rPr>
      </w:pPr>
      <w:r>
        <w:rPr>
          <w:rFonts w:hint="eastAsia" w:ascii="仿宋_GB2312" w:hAnsi="仿宋" w:eastAsia="仿宋_GB2312"/>
          <w:b/>
          <w:bCs/>
        </w:rPr>
        <w:t>下一步，</w:t>
      </w:r>
      <w:r>
        <w:rPr>
          <w:rFonts w:hint="eastAsia" w:ascii="仿宋_GB2312" w:hAnsi="仿宋" w:eastAsia="仿宋_GB2312"/>
        </w:rPr>
        <w:t>福田区将继续以建设文明典范城区为目标，引导及发挥企业和广泛的社会力量，共议福田文明发展之大事，共解福田文明发展之难题，共谋福田文明发展之良策。</w:t>
      </w:r>
    </w:p>
    <w:p>
      <w:pPr>
        <w:spacing w:line="560" w:lineRule="exact"/>
        <w:ind w:firstLine="640" w:firstLineChars="200"/>
        <w:rPr>
          <w:rFonts w:ascii="黑体" w:hAnsi="黑体" w:eastAsia="黑体" w:cs="黑体"/>
        </w:rPr>
      </w:pPr>
      <w:r>
        <w:rPr>
          <w:rFonts w:hint="eastAsia" w:ascii="黑体" w:hAnsi="黑体" w:eastAsia="黑体" w:cs="黑体"/>
        </w:rPr>
        <w:t>七、关于民生事业发展</w:t>
      </w:r>
    </w:p>
    <w:p>
      <w:pPr>
        <w:spacing w:line="560" w:lineRule="exact"/>
        <w:ind w:firstLine="640" w:firstLineChars="200"/>
        <w:rPr>
          <w:rFonts w:ascii="仿宋_GB2312" w:hAnsi="黑体" w:eastAsia="仿宋_GB2312" w:cs="黑体"/>
          <w:b/>
          <w:bCs/>
        </w:rPr>
      </w:pPr>
      <w:r>
        <w:rPr>
          <w:rFonts w:hint="eastAsia" w:ascii="仿宋_GB2312" w:hAnsi="黑体" w:eastAsia="仿宋_GB2312" w:cs="黑体"/>
        </w:rPr>
        <w:t>您在提案中提出：</w:t>
      </w:r>
      <w:r>
        <w:rPr>
          <w:rFonts w:hint="eastAsia" w:ascii="仿宋_GB2312" w:hAnsi="黑体" w:eastAsia="仿宋_GB2312" w:cs="黑体"/>
          <w:b/>
          <w:bCs/>
        </w:rPr>
        <w:t>在民生幸福领域主要着重社会力量办学、社会力量办医、社会力量办养老等主要工作，努力在幼有善育、学有优教、劳有厚得、病有良医、老有颐养、住有宜居、弱有众扶等方面取得新进展。机构和人才两手抓，投资、经营、管理及服务等环节组织较为代表的机构及人才为副主任及委员，成立民生幸福协调及促进委员会，同样以分管的区领导挂帅主任，主要部门领导担任执行主任。</w:t>
      </w:r>
    </w:p>
    <w:p>
      <w:pPr>
        <w:spacing w:line="560" w:lineRule="exact"/>
        <w:ind w:firstLine="640" w:firstLineChars="200"/>
        <w:rPr>
          <w:rFonts w:ascii="仿宋_GB2312" w:hAnsi="仿宋" w:eastAsia="仿宋_GB2312"/>
        </w:rPr>
      </w:pPr>
      <w:r>
        <w:rPr>
          <w:rFonts w:hint="eastAsia" w:ascii="仿宋_GB2312" w:hAnsi="仿宋" w:eastAsia="仿宋_GB2312"/>
        </w:rPr>
        <w:t>福田区积极发挥社会力量，全力推进其参与我区民</w:t>
      </w:r>
      <w:r>
        <w:rPr>
          <w:rFonts w:hint="eastAsia" w:ascii="仿宋_GB2312" w:hAnsi="仿宋" w:eastAsia="仿宋_GB2312"/>
          <w:lang w:eastAsia="zh-CN"/>
        </w:rPr>
        <w:t>生</w:t>
      </w:r>
      <w:r>
        <w:rPr>
          <w:rFonts w:hint="eastAsia" w:ascii="仿宋_GB2312" w:hAnsi="仿宋" w:eastAsia="仿宋_GB2312"/>
        </w:rPr>
        <w:t>事业发展：</w:t>
      </w:r>
    </w:p>
    <w:p>
      <w:pPr>
        <w:spacing w:line="560" w:lineRule="exact"/>
        <w:ind w:firstLine="643" w:firstLineChars="200"/>
        <w:rPr>
          <w:rFonts w:ascii="仿宋_GB2312" w:hAnsi="仿宋_GB2312" w:eastAsia="仿宋_GB2312"/>
          <w:b/>
          <w:bCs/>
        </w:rPr>
      </w:pPr>
      <w:r>
        <w:rPr>
          <w:rFonts w:hint="eastAsia" w:ascii="仿宋_GB2312" w:hAnsi="仿宋" w:eastAsia="仿宋_GB2312"/>
          <w:b/>
          <w:bCs/>
        </w:rPr>
        <w:t>一是在幼有善育、学有优教方面，汇聚社会力量共建“书香福田”。</w:t>
      </w:r>
      <w:r>
        <w:rPr>
          <w:rFonts w:hint="eastAsia" w:ascii="仿宋_GB2312" w:hAnsi="仿宋" w:eastAsia="仿宋_GB2312"/>
        </w:rPr>
        <w:t>广泛</w:t>
      </w:r>
      <w:r>
        <w:rPr>
          <w:rFonts w:ascii="仿宋_GB2312" w:hAnsi="仿宋" w:eastAsia="仿宋_GB2312"/>
        </w:rPr>
        <w:t>深入</w:t>
      </w:r>
      <w:r>
        <w:rPr>
          <w:rFonts w:hint="eastAsia" w:ascii="仿宋_GB2312" w:hAnsi="仿宋" w:eastAsia="仿宋_GB2312"/>
        </w:rPr>
        <w:t>宣传《深圳市学前教育机构设置标准》文件精神，指导社会力量举办微小型幼儿园。鼓励引导社会力量共同参与“书香福田”建设，深入打造福田区“图书馆+书店”战略合作联盟，推动书吧建设，在社区建设绘本书屋、少年书院、名家书房等，建立有特色的福田书院。2</w:t>
      </w:r>
      <w:r>
        <w:rPr>
          <w:rFonts w:ascii="仿宋_GB2312" w:hAnsi="仿宋" w:eastAsia="仿宋_GB2312"/>
        </w:rPr>
        <w:t>020</w:t>
      </w:r>
      <w:r>
        <w:rPr>
          <w:rFonts w:hint="eastAsia" w:ascii="仿宋_GB2312" w:hAnsi="仿宋" w:eastAsia="仿宋_GB2312"/>
        </w:rPr>
        <w:t>年</w:t>
      </w:r>
      <w:r>
        <w:rPr>
          <w:rFonts w:hint="eastAsia" w:ascii="仿宋_GB2312" w:hAnsi="仿宋_GB2312" w:eastAsia="仿宋_GB2312"/>
        </w:rPr>
        <w:t>给予每位民办教师1300元继续教育经费的年度预算，组织学校的举办者、校长、中层干部和骨干教师外出培训；投入约950万元，组织教师免费体检，惠及1700多人；发放长期从教津贴1612.98万元；发放奖教奖学730.23万元。实施学校结对帮扶政策，给予每所学校10万元的启动经费。</w:t>
      </w:r>
    </w:p>
    <w:p>
      <w:pPr>
        <w:spacing w:line="560" w:lineRule="exact"/>
        <w:ind w:firstLine="643" w:firstLineChars="200"/>
        <w:rPr>
          <w:rFonts w:ascii="仿宋_GB2312" w:hAnsi="仿宋" w:eastAsia="仿宋_GB2312"/>
          <w:b/>
          <w:bCs/>
        </w:rPr>
      </w:pPr>
      <w:r>
        <w:rPr>
          <w:rFonts w:hint="eastAsia" w:ascii="仿宋_GB2312" w:hAnsi="仿宋" w:eastAsia="仿宋_GB2312"/>
          <w:b/>
          <w:bCs/>
        </w:rPr>
        <w:t>二是在病有良医方面，动员社会力量打造优质医疗资源集聚区。</w:t>
      </w:r>
      <w:r>
        <w:rPr>
          <w:rFonts w:hint="eastAsia" w:ascii="仿宋_GB2312" w:hAnsi="仿宋" w:eastAsia="仿宋_GB2312"/>
        </w:rPr>
        <w:t>支持社会力量举办高水平医疗机构，开办社区健康服务机构，开展家庭医生服务。支持行业协会发展，鼓励定期举办培训班，开展医疗质量评估。扶持医疗机构申报科研项目，促进社会办医疗机构不断提升医疗服务水平。</w:t>
      </w:r>
    </w:p>
    <w:p>
      <w:pPr>
        <w:spacing w:line="560" w:lineRule="exact"/>
        <w:ind w:firstLine="643" w:firstLineChars="200"/>
        <w:rPr>
          <w:rFonts w:ascii="仿宋_GB2312" w:hAnsi="仿宋" w:eastAsia="仿宋_GB2312"/>
          <w:b/>
          <w:bCs/>
        </w:rPr>
      </w:pPr>
      <w:r>
        <w:rPr>
          <w:rFonts w:hint="eastAsia" w:ascii="仿宋_GB2312" w:hAnsi="仿宋" w:eastAsia="仿宋_GB2312"/>
          <w:b/>
          <w:bCs/>
        </w:rPr>
        <w:t>三是在老有颐养方面，结合我区实际谋划出台相关实施意见和方案。</w:t>
      </w:r>
      <w:r>
        <w:rPr>
          <w:rFonts w:hint="eastAsia" w:ascii="仿宋_GB2312" w:hAnsi="仿宋" w:eastAsia="仿宋_GB2312"/>
        </w:rPr>
        <w:t>今年将出台《福田区关于打造老有颐养民生幸福标杆的实施意见（2020-2025年）》等“1+3”文件。按照系统规划、标准先行、加大投入、精准服务的原则，加大养老服务设施新供给，推动养老服务质量新发展，打造养老服务多元新品牌，营造养老服务环境新面貌，创新养老服务监管新机制，打造韧性城区养老标准，强化综合监督管理机制，建立长者安全支援机制。同时，配套制定《福田区关于开展政策性养老床位建设的实施方案（试行）》《福田区关于开展普惠型社会养老床位建设的工作方案（试行）》《福田区关于开展家庭养老床位建设的工作方案（试行）》3个子方案，共同提升福田养老服务工作。目前该实施意见已完成征求相关部门意见和听证工作，待区政府审议落地实施。</w:t>
      </w:r>
    </w:p>
    <w:p>
      <w:pPr>
        <w:spacing w:line="560" w:lineRule="exact"/>
        <w:ind w:firstLine="643" w:firstLineChars="200"/>
        <w:rPr>
          <w:rFonts w:ascii="仿宋_GB2312" w:hAnsi="仿宋_GB2312" w:eastAsia="仿宋_GB2312"/>
          <w:b/>
          <w:bCs/>
        </w:rPr>
      </w:pPr>
      <w:r>
        <w:rPr>
          <w:rFonts w:hint="eastAsia" w:ascii="仿宋_GB2312" w:hAnsi="仿宋" w:eastAsia="仿宋_GB2312"/>
          <w:b/>
          <w:bCs/>
        </w:rPr>
        <w:t>四是在弱有众扶方面，我区正积极统筹规划我区“弱有众扶”体系。</w:t>
      </w:r>
      <w:r>
        <w:rPr>
          <w:rFonts w:hint="eastAsia" w:ascii="仿宋_GB2312" w:hAnsi="仿宋" w:eastAsia="仿宋_GB2312"/>
        </w:rPr>
        <w:t>组织有关职能部门梳理相关救助政策、研讨现有政策存在问题和不足，研究出台《福田区社会救助帮扶实施办法》，扩大救助帮扶范围，探索将支出型困难家庭、在我区遭遇急难的境外人员等纳入。搭建“福田区特殊群体社会救助和帮扶信息共享平台2.0”，努力构建精准救助、公正公平、进出有序的救助帮扶体系，推进救助信息共享，减少重复救助、救助缺位等情况的发生。</w:t>
      </w:r>
      <w:r>
        <w:rPr>
          <w:rFonts w:ascii="仿宋_GB2312" w:hAnsi="仿宋_GB2312" w:eastAsia="仿宋_GB2312"/>
        </w:rPr>
        <w:t>凝聚社会力量助力精准扶贫</w:t>
      </w:r>
      <w:r>
        <w:rPr>
          <w:rFonts w:hint="eastAsia" w:ascii="仿宋_GB2312" w:hAnsi="仿宋_GB2312" w:eastAsia="仿宋_GB2312"/>
        </w:rPr>
        <w:t>。</w:t>
      </w:r>
      <w:r>
        <w:rPr>
          <w:rFonts w:ascii="仿宋_GB2312" w:hAnsi="仿宋_GB2312" w:eastAsia="仿宋_GB2312"/>
        </w:rPr>
        <w:t>联合行业协会、慈善会等机构，动员社会爱心企业和爱心人士参与“广东扶贫济困日”等扶贫活动，扶持贫困地区开发农业项目和乡村旅游项目。</w:t>
      </w:r>
    </w:p>
    <w:p>
      <w:pPr>
        <w:spacing w:line="560" w:lineRule="exact"/>
        <w:ind w:firstLine="640" w:firstLineChars="200"/>
        <w:rPr>
          <w:rFonts w:ascii="黑体" w:hAnsi="黑体" w:eastAsia="黑体" w:cs="黑体"/>
        </w:rPr>
      </w:pPr>
      <w:r>
        <w:rPr>
          <w:rFonts w:hint="eastAsia" w:ascii="黑体" w:hAnsi="黑体" w:eastAsia="黑体" w:cs="黑体"/>
        </w:rPr>
        <w:t>八、关于发挥统战团体资源以及党代表、人大代表、政协委员作用事宜</w:t>
      </w:r>
    </w:p>
    <w:p>
      <w:pPr>
        <w:spacing w:line="560" w:lineRule="exact"/>
        <w:ind w:firstLine="640" w:firstLineChars="200"/>
        <w:rPr>
          <w:rFonts w:ascii="仿宋_GB2312" w:hAnsi="黑体" w:eastAsia="仿宋_GB2312" w:cs="黑体"/>
        </w:rPr>
      </w:pPr>
      <w:r>
        <w:rPr>
          <w:rFonts w:hint="eastAsia" w:ascii="仿宋_GB2312" w:hAnsi="黑体" w:eastAsia="仿宋_GB2312" w:cs="黑体"/>
        </w:rPr>
        <w:t>您在提案中提出：</w:t>
      </w:r>
      <w:r>
        <w:rPr>
          <w:rFonts w:hint="eastAsia" w:ascii="仿宋_GB2312" w:hAnsi="黑体" w:eastAsia="仿宋_GB2312" w:cs="黑体"/>
          <w:b/>
          <w:bCs/>
        </w:rPr>
        <w:t>建立以各民主党派、工商联、知联会等</w:t>
      </w:r>
      <w:bookmarkStart w:id="2" w:name="_Hlk47314581"/>
      <w:r>
        <w:rPr>
          <w:rFonts w:hint="eastAsia" w:ascii="仿宋_GB2312" w:hAnsi="黑体" w:eastAsia="仿宋_GB2312" w:cs="黑体"/>
          <w:b/>
          <w:bCs/>
        </w:rPr>
        <w:t>统战团体资源以及党代表、人大代表、政协委员</w:t>
      </w:r>
      <w:bookmarkEnd w:id="2"/>
      <w:r>
        <w:rPr>
          <w:rFonts w:hint="eastAsia" w:ascii="仿宋_GB2312" w:hAnsi="黑体" w:eastAsia="仿宋_GB2312" w:cs="黑体"/>
          <w:b/>
          <w:bCs/>
        </w:rPr>
        <w:t>优先的模范机制，把一切力量聚集到建设典范城区中来，给大家提供一份责任担当及建功立业的机会。</w:t>
      </w:r>
    </w:p>
    <w:p>
      <w:pPr>
        <w:spacing w:line="586" w:lineRule="exact"/>
        <w:ind w:firstLine="640" w:firstLineChars="200"/>
        <w:rPr>
          <w:rFonts w:ascii="仿宋_GB2312" w:hAnsi="仿宋_GB2312" w:eastAsia="仿宋_GB2312"/>
        </w:rPr>
      </w:pPr>
      <w:r>
        <w:rPr>
          <w:rFonts w:hint="eastAsia" w:ascii="仿宋_GB2312" w:hAnsi="仿宋_GB2312" w:eastAsia="仿宋_GB2312"/>
        </w:rPr>
        <w:t>福田区十分注重各民主党派、工商联、知联会等统战团体资源以及党代表、人大代表、政协委员的作用，并在《福田区关于落实&lt;中共中央、国务院关于支持深圳建设中国特色社会主义先行示范区的意见&gt;全力打造“四大中心”加快建设社会主义现代化典范城区的行动方案（2019—2025年）》中进行了专门明确：</w:t>
      </w:r>
    </w:p>
    <w:p>
      <w:pPr>
        <w:spacing w:line="586" w:lineRule="exact"/>
        <w:ind w:firstLine="643" w:firstLineChars="200"/>
        <w:rPr>
          <w:rFonts w:ascii="黑体" w:hAnsi="黑体" w:eastAsia="黑体" w:cs="黑体"/>
        </w:rPr>
      </w:pPr>
      <w:r>
        <w:rPr>
          <w:rFonts w:hint="eastAsia" w:ascii="仿宋_GB2312" w:eastAsia="仿宋_GB2312"/>
          <w:b/>
          <w:bCs/>
        </w:rPr>
        <w:t>一是</w:t>
      </w:r>
      <w:r>
        <w:rPr>
          <w:rFonts w:hint="eastAsia" w:ascii="仿宋_GB2312" w:eastAsia="仿宋_GB2312"/>
        </w:rPr>
        <w:t>提出坚持和完善人民代表大会制度。加强党对人大工作的领导，保障人大依法履行宪法和法律赋予的各项职责，增强监督针对性和实效性，积极行使重大事项决定权，依法行使人事任免权。加强人大代表之家、人大代表社区联络站、代表履职信息平台等履职平台建设，强化人大代表与人民群众的联系。</w:t>
      </w:r>
    </w:p>
    <w:p>
      <w:pPr>
        <w:spacing w:line="586" w:lineRule="exact"/>
        <w:ind w:firstLine="643" w:firstLineChars="200"/>
        <w:rPr>
          <w:rFonts w:ascii="黑体" w:hAnsi="黑体" w:eastAsia="黑体" w:cs="黑体"/>
        </w:rPr>
      </w:pPr>
      <w:r>
        <w:rPr>
          <w:rFonts w:hint="eastAsia" w:ascii="仿宋_GB2312" w:eastAsia="仿宋_GB2312"/>
          <w:b/>
          <w:bCs/>
        </w:rPr>
        <w:t>二是</w:t>
      </w:r>
      <w:r>
        <w:rPr>
          <w:rFonts w:hint="eastAsia" w:ascii="仿宋_GB2312" w:eastAsia="仿宋_GB2312"/>
        </w:rPr>
        <w:t>提出加强社会主义协商民主制度建设。加强党对社会主义协商民主制度建设的领导，坚持团结和民主两大主题，加快完善政协协商工作机制，提高政治协商、民主监督、参政议政水平，坚持党委会同政府、政协制定年度协商计划制度，完善协商于决策之前和决策实施之中的落实机制，进一步提升政协协商制度化、规范化、程序化水平。</w:t>
      </w:r>
    </w:p>
    <w:p>
      <w:pPr>
        <w:spacing w:line="586" w:lineRule="exact"/>
        <w:ind w:firstLine="643" w:firstLineChars="200"/>
        <w:rPr>
          <w:rFonts w:ascii="仿宋_GB2312" w:eastAsia="仿宋_GB2312"/>
        </w:rPr>
      </w:pPr>
      <w:r>
        <w:rPr>
          <w:rFonts w:hint="eastAsia" w:ascii="仿宋_GB2312" w:eastAsia="仿宋_GB2312"/>
          <w:b/>
          <w:bCs/>
        </w:rPr>
        <w:t>三是</w:t>
      </w:r>
      <w:r>
        <w:rPr>
          <w:rFonts w:hint="eastAsia" w:ascii="仿宋_GB2312" w:eastAsia="仿宋_GB2312"/>
        </w:rPr>
        <w:t>提出开创统一战线服务改革发展稳定新局面。</w:t>
      </w:r>
      <w:r>
        <w:rPr>
          <w:rFonts w:hint="eastAsia" w:ascii="仿宋_GB2312" w:hAnsi="黑体" w:eastAsia="仿宋_GB2312" w:cs="黑体"/>
        </w:rPr>
        <w:t>区委统战部将不断</w:t>
      </w:r>
      <w:r>
        <w:rPr>
          <w:rFonts w:hint="eastAsia" w:ascii="仿宋_GB2312" w:eastAsia="仿宋_GB2312"/>
        </w:rPr>
        <w:t>完善多层次党外人士学习培训体系，持续开展“不忘合作初心、继续携手前进”、传承红色基因主题教育。坚持和完善我国新型政党制度，提升各民主党派履职效能，推进协商民主广泛多层制度化发展，健全联谊交友、对口联系、调研协商、知情明政等机制，有序扩大政治参与。依托统一战线各领域专家专才，建立福田“同心智库”，凝聚专家学者智慧，助力“先行示范区”建设。</w:t>
      </w:r>
    </w:p>
    <w:p>
      <w:pPr>
        <w:tabs>
          <w:tab w:val="left" w:pos="1011"/>
        </w:tabs>
        <w:autoSpaceDE w:val="0"/>
        <w:autoSpaceDN w:val="0"/>
        <w:spacing w:line="560" w:lineRule="exact"/>
        <w:ind w:firstLine="640" w:firstLineChars="200"/>
        <w:rPr>
          <w:rFonts w:ascii="仿宋_GB2312" w:hAnsi="仿宋_GB2312" w:eastAsia="仿宋_GB2312"/>
        </w:rPr>
      </w:pPr>
      <w:r>
        <w:rPr>
          <w:rFonts w:hint="eastAsia" w:ascii="仿宋_GB2312" w:hAnsi="仿宋_GB2312" w:eastAsia="仿宋_GB2312"/>
        </w:rPr>
        <w:t>再次感谢您对福田区工作的关心和支持，希望您一如既往对我们的工作提出宝贵的意见和建议。</w:t>
      </w:r>
    </w:p>
    <w:p>
      <w:pPr>
        <w:tabs>
          <w:tab w:val="left" w:pos="1011"/>
        </w:tabs>
        <w:autoSpaceDE w:val="0"/>
        <w:autoSpaceDN w:val="0"/>
        <w:spacing w:line="560" w:lineRule="exact"/>
        <w:ind w:firstLine="640" w:firstLineChars="200"/>
        <w:rPr>
          <w:rFonts w:ascii="仿宋_GB2312" w:hAnsi="仿宋_GB2312" w:eastAsia="仿宋_GB2312"/>
        </w:rPr>
      </w:pPr>
    </w:p>
    <w:p>
      <w:pPr>
        <w:spacing w:line="560" w:lineRule="exact"/>
        <w:ind w:firstLine="640" w:firstLineChars="200"/>
        <w:rPr>
          <w:rFonts w:ascii="仿宋_GB2312"/>
        </w:rPr>
      </w:pPr>
    </w:p>
    <w:p>
      <w:pPr>
        <w:spacing w:line="560" w:lineRule="exact"/>
        <w:ind w:firstLine="640" w:firstLineChars="200"/>
        <w:rPr>
          <w:rFonts w:ascii="仿宋_GB2312"/>
        </w:rPr>
      </w:pPr>
    </w:p>
    <w:p>
      <w:pPr>
        <w:tabs>
          <w:tab w:val="left" w:pos="1011"/>
        </w:tabs>
        <w:autoSpaceDE w:val="0"/>
        <w:autoSpaceDN w:val="0"/>
        <w:spacing w:line="560" w:lineRule="exact"/>
        <w:ind w:firstLine="640" w:firstLineChars="200"/>
        <w:jc w:val="right"/>
        <w:rPr>
          <w:rFonts w:ascii="仿宋_GB2312" w:hAnsi="仿宋_GB2312" w:eastAsia="仿宋_GB2312"/>
        </w:rPr>
      </w:pPr>
      <w:r>
        <w:rPr>
          <w:rFonts w:hint="eastAsia" w:ascii="仿宋_GB2312" w:hAnsi="仿宋_GB2312" w:eastAsia="仿宋_GB2312"/>
        </w:rPr>
        <w:t>福田区发展研究中心</w:t>
      </w:r>
    </w:p>
    <w:p>
      <w:pPr>
        <w:tabs>
          <w:tab w:val="left" w:pos="1011"/>
        </w:tabs>
        <w:autoSpaceDE w:val="0"/>
        <w:autoSpaceDN w:val="0"/>
        <w:spacing w:line="560" w:lineRule="exact"/>
        <w:ind w:right="320" w:firstLine="640" w:firstLineChars="200"/>
        <w:jc w:val="right"/>
        <w:rPr>
          <w:rFonts w:ascii="仿宋_GB2312" w:hAnsi="仿宋_GB2312" w:eastAsia="仿宋_GB2312"/>
        </w:rPr>
      </w:pPr>
      <w:r>
        <w:rPr>
          <w:rFonts w:hint="eastAsia" w:ascii="仿宋_GB2312" w:hAnsi="仿宋_GB2312" w:eastAsia="仿宋_GB2312"/>
        </w:rPr>
        <w:t>2020年7月</w:t>
      </w:r>
      <w:r>
        <w:rPr>
          <w:rFonts w:ascii="仿宋_GB2312" w:hAnsi="仿宋_GB2312" w:eastAsia="仿宋_GB2312"/>
        </w:rPr>
        <w:t>31</w:t>
      </w:r>
      <w:r>
        <w:rPr>
          <w:rFonts w:hint="eastAsia" w:ascii="仿宋_GB2312" w:hAnsi="仿宋_GB2312" w:eastAsia="仿宋_GB2312"/>
        </w:rPr>
        <w:t>日</w:t>
      </w:r>
    </w:p>
    <w:p>
      <w:pPr>
        <w:tabs>
          <w:tab w:val="left" w:pos="1011"/>
        </w:tabs>
        <w:autoSpaceDE w:val="0"/>
        <w:autoSpaceDN w:val="0"/>
        <w:spacing w:line="560" w:lineRule="exact"/>
        <w:ind w:firstLine="640" w:firstLineChars="200"/>
        <w:rPr>
          <w:rFonts w:ascii="仿宋_GB2312" w:hAnsi="仿宋_GB2312" w:eastAsia="仿宋_GB2312"/>
        </w:rPr>
      </w:pPr>
    </w:p>
    <w:p>
      <w:pPr>
        <w:tabs>
          <w:tab w:val="left" w:pos="1011"/>
        </w:tabs>
        <w:autoSpaceDE w:val="0"/>
        <w:autoSpaceDN w:val="0"/>
        <w:spacing w:line="560" w:lineRule="exact"/>
        <w:ind w:firstLine="640" w:firstLineChars="200"/>
        <w:rPr>
          <w:rFonts w:ascii="仿宋_GB2312" w:hAnsi="仿宋_GB2312" w:eastAsia="仿宋_GB2312"/>
        </w:rPr>
      </w:pPr>
      <w:r>
        <w:rPr>
          <w:rFonts w:hint="eastAsia" w:ascii="仿宋_GB2312" w:hAnsi="仿宋_GB2312" w:eastAsia="仿宋_GB2312"/>
        </w:rPr>
        <w:t>（联系人：裴洪峰，联系电话：83935026  18018757281）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美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S PMincho">
    <w:panose1 w:val="02020600040205080304"/>
    <w:charset w:val="80"/>
    <w:family w:val="roma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56668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E3767"/>
    <w:rsid w:val="000262DF"/>
    <w:rsid w:val="00096B00"/>
    <w:rsid w:val="000C54F9"/>
    <w:rsid w:val="000F71CE"/>
    <w:rsid w:val="001F53B5"/>
    <w:rsid w:val="002B79F5"/>
    <w:rsid w:val="003823AB"/>
    <w:rsid w:val="003E22F0"/>
    <w:rsid w:val="00426CE0"/>
    <w:rsid w:val="0055155B"/>
    <w:rsid w:val="00586A56"/>
    <w:rsid w:val="005C6128"/>
    <w:rsid w:val="006768DC"/>
    <w:rsid w:val="00683B33"/>
    <w:rsid w:val="007A6436"/>
    <w:rsid w:val="007C5087"/>
    <w:rsid w:val="007E0D13"/>
    <w:rsid w:val="00804B06"/>
    <w:rsid w:val="009473E2"/>
    <w:rsid w:val="009C7285"/>
    <w:rsid w:val="00A02555"/>
    <w:rsid w:val="00A44C99"/>
    <w:rsid w:val="00B33B8A"/>
    <w:rsid w:val="00BB4C70"/>
    <w:rsid w:val="00C00835"/>
    <w:rsid w:val="00C44830"/>
    <w:rsid w:val="00C50634"/>
    <w:rsid w:val="00CB73FB"/>
    <w:rsid w:val="00D72947"/>
    <w:rsid w:val="00DD1BBD"/>
    <w:rsid w:val="00E93C79"/>
    <w:rsid w:val="00EC2977"/>
    <w:rsid w:val="00FD2195"/>
    <w:rsid w:val="27C2201F"/>
    <w:rsid w:val="3271461B"/>
    <w:rsid w:val="36BE6047"/>
    <w:rsid w:val="38CF0ECF"/>
    <w:rsid w:val="39ED7F4A"/>
    <w:rsid w:val="3D0E3767"/>
    <w:rsid w:val="405D1D27"/>
    <w:rsid w:val="40C0655A"/>
    <w:rsid w:val="44CA16D3"/>
    <w:rsid w:val="554A27B6"/>
    <w:rsid w:val="5E1F5F06"/>
    <w:rsid w:val="5EF34008"/>
    <w:rsid w:val="66E065C8"/>
    <w:rsid w:val="684D41BC"/>
    <w:rsid w:val="6B8217E8"/>
    <w:rsid w:val="7369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720"/>
    </w:pPr>
    <w:rPr>
      <w:rFonts w:hint="eastAsia" w:ascii="黑体" w:eastAsia="黑体"/>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0"/>
    <w:rPr>
      <w:rFonts w:cs="仿宋_GB2312" w:asciiTheme="minorHAnsi" w:hAnsiTheme="minorHAnsi" w:eastAsiaTheme="minorEastAsia"/>
      <w:kern w:val="2"/>
      <w:sz w:val="18"/>
      <w:szCs w:val="18"/>
    </w:rPr>
  </w:style>
  <w:style w:type="character" w:customStyle="1" w:styleId="9">
    <w:name w:val="页脚 字符"/>
    <w:basedOn w:val="6"/>
    <w:link w:val="4"/>
    <w:qFormat/>
    <w:uiPriority w:val="99"/>
    <w:rPr>
      <w:rFonts w:cs="仿宋_GB2312" w:asciiTheme="minorHAnsi" w:hAnsiTheme="minorHAnsi" w:eastAsiaTheme="minorEastAsia"/>
      <w:kern w:val="2"/>
      <w:sz w:val="18"/>
      <w:szCs w:val="18"/>
    </w:rPr>
  </w:style>
  <w:style w:type="paragraph" w:customStyle="1" w:styleId="10">
    <w:name w:val="List Paragraph"/>
    <w:basedOn w:val="1"/>
    <w:qFormat/>
    <w:uiPriority w:val="99"/>
    <w:pPr>
      <w:ind w:firstLine="420" w:firstLineChars="200"/>
    </w:pPr>
  </w:style>
  <w:style w:type="paragraph" w:customStyle="1" w:styleId="11">
    <w:name w:val="默认段落字体 Para Char Char"/>
    <w:basedOn w:val="1"/>
    <w:qFormat/>
    <w:uiPriority w:val="0"/>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1248</Words>
  <Characters>7114</Characters>
  <Lines>59</Lines>
  <Paragraphs>16</Paragraphs>
  <ScaleCrop>false</ScaleCrop>
  <LinksUpToDate>false</LinksUpToDate>
  <CharactersWithSpaces>8346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2020-06-10T06:24:00Z</dcterms:created>
  <dc:creator>贾若康</dc:creator>
  <cp:lastModifiedBy>贾若康</cp:lastModifiedBy>
  <cp:lastPrinted>2020-08-14T07:38:14Z</cp:lastPrinted>
  <dcterms:modified xsi:type="dcterms:W3CDTF">2020-08-14T08:51:20Z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