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Layout w:type="fixed"/>
        <w:tblCellMar>
          <w:top w:w="0" w:type="dxa"/>
          <w:left w:w="108" w:type="dxa"/>
          <w:bottom w:w="0" w:type="dxa"/>
          <w:right w:w="108" w:type="dxa"/>
        </w:tblCellMar>
      </w:tblPr>
      <w:tblGrid>
        <w:gridCol w:w="3147"/>
        <w:gridCol w:w="394"/>
        <w:gridCol w:w="550"/>
        <w:gridCol w:w="360"/>
        <w:gridCol w:w="357"/>
        <w:gridCol w:w="235"/>
        <w:gridCol w:w="448"/>
        <w:gridCol w:w="397"/>
        <w:gridCol w:w="1933"/>
        <w:gridCol w:w="2035"/>
        <w:gridCol w:w="543"/>
        <w:gridCol w:w="1968"/>
        <w:gridCol w:w="440"/>
        <w:gridCol w:w="984"/>
        <w:gridCol w:w="369"/>
        <w:gridCol w:w="14"/>
      </w:tblGrid>
      <w:tr>
        <w:tblPrEx>
          <w:tblLayout w:type="fixed"/>
          <w:tblCellMar>
            <w:top w:w="0" w:type="dxa"/>
            <w:left w:w="108" w:type="dxa"/>
            <w:bottom w:w="0" w:type="dxa"/>
            <w:right w:w="108" w:type="dxa"/>
          </w:tblCellMar>
        </w:tblPrEx>
        <w:trPr>
          <w:trHeight w:val="458" w:hRule="atLeast"/>
        </w:trPr>
        <w:tc>
          <w:tcPr>
            <w:tcW w:w="3541"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ascii="仿宋_GB2312" w:eastAsia="仿宋_GB2312"/>
                <w:sz w:val="32"/>
                <w:szCs w:val="32"/>
              </w:rPr>
              <w:br w:type="page"/>
            </w:r>
            <w:r>
              <w:rPr>
                <w:rFonts w:ascii="方正小标宋简体" w:hAnsi="宋体" w:eastAsia="方正小标宋简体"/>
                <w:sz w:val="44"/>
                <w:szCs w:val="44"/>
              </w:rPr>
              <w:br w:type="page"/>
            </w:r>
            <w:r>
              <w:rPr>
                <w:rFonts w:hint="eastAsia" w:ascii="宋体" w:hAnsi="宋体" w:cs="宋体"/>
                <w:color w:val="000000"/>
                <w:kern w:val="0"/>
                <w:sz w:val="24"/>
              </w:rPr>
              <w:t>附件</w:t>
            </w:r>
          </w:p>
        </w:tc>
        <w:tc>
          <w:tcPr>
            <w:tcW w:w="910" w:type="dxa"/>
            <w:gridSpan w:val="2"/>
            <w:tcBorders>
              <w:top w:val="nil"/>
              <w:left w:val="nil"/>
              <w:bottom w:val="nil"/>
              <w:right w:val="nil"/>
            </w:tcBorders>
            <w:shd w:val="clear" w:color="FFFFFF" w:fill="FFFFFF"/>
          </w:tcPr>
          <w:p>
            <w:pPr>
              <w:widowControl/>
              <w:jc w:val="left"/>
              <w:rPr>
                <w:rFonts w:hint="eastAsia" w:ascii="宋体" w:hAnsi="宋体" w:cs="宋体"/>
                <w:color w:val="000000"/>
                <w:kern w:val="0"/>
                <w:sz w:val="24"/>
              </w:rPr>
            </w:pPr>
          </w:p>
        </w:tc>
        <w:tc>
          <w:tcPr>
            <w:tcW w:w="1437" w:type="dxa"/>
            <w:gridSpan w:val="4"/>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33" w:type="dxa"/>
            <w:tcBorders>
              <w:top w:val="nil"/>
              <w:left w:val="nil"/>
              <w:bottom w:val="nil"/>
              <w:right w:val="nil"/>
            </w:tcBorders>
          </w:tcPr>
          <w:p>
            <w:pPr>
              <w:widowControl/>
              <w:jc w:val="left"/>
              <w:rPr>
                <w:rFonts w:ascii="宋体" w:hAnsi="宋体" w:cs="宋体"/>
                <w:color w:val="000000"/>
                <w:kern w:val="0"/>
                <w:sz w:val="20"/>
                <w:szCs w:val="20"/>
              </w:rPr>
            </w:pPr>
          </w:p>
        </w:tc>
        <w:tc>
          <w:tcPr>
            <w:tcW w:w="2035" w:type="dxa"/>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2951"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984" w:type="dxa"/>
            <w:tcBorders>
              <w:top w:val="nil"/>
              <w:left w:val="nil"/>
              <w:bottom w:val="nil"/>
              <w:right w:val="nil"/>
            </w:tcBorders>
          </w:tcPr>
          <w:p>
            <w:pPr>
              <w:widowControl/>
              <w:jc w:val="left"/>
              <w:rPr>
                <w:rFonts w:ascii="宋体" w:hAnsi="宋体" w:cs="宋体"/>
                <w:color w:val="000000"/>
                <w:kern w:val="0"/>
                <w:sz w:val="20"/>
                <w:szCs w:val="20"/>
              </w:rPr>
            </w:pPr>
          </w:p>
        </w:tc>
        <w:tc>
          <w:tcPr>
            <w:tcW w:w="383"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lang w:val="en-US" w:eastAsia="zh-CN"/>
              </w:rPr>
              <w:t>福田区</w:t>
            </w:r>
            <w:r>
              <w:rPr>
                <w:rFonts w:hint="eastAsia" w:ascii="宋体" w:hAnsi="宋体" w:cs="宋体"/>
                <w:b/>
                <w:bCs/>
                <w:color w:val="000000"/>
                <w:kern w:val="0"/>
                <w:sz w:val="30"/>
                <w:szCs w:val="30"/>
              </w:rPr>
              <w:t>202</w:t>
            </w:r>
            <w:r>
              <w:rPr>
                <w:rFonts w:hint="eastAsia" w:ascii="宋体" w:hAnsi="宋体" w:cs="宋体"/>
                <w:b/>
                <w:bCs/>
                <w:color w:val="000000"/>
                <w:kern w:val="0"/>
                <w:sz w:val="30"/>
                <w:szCs w:val="30"/>
                <w:lang w:val="en-US" w:eastAsia="zh-CN"/>
              </w:rPr>
              <w:t>1</w:t>
            </w:r>
            <w:r>
              <w:rPr>
                <w:rFonts w:hint="eastAsia" w:ascii="宋体" w:hAnsi="宋体" w:cs="宋体"/>
                <w:b/>
                <w:bCs/>
                <w:color w:val="000000"/>
                <w:kern w:val="0"/>
                <w:sz w:val="30"/>
                <w:szCs w:val="30"/>
              </w:rPr>
              <w:t>年度</w:t>
            </w:r>
            <w:r>
              <w:rPr>
                <w:rFonts w:hint="eastAsia" w:ascii="宋体" w:hAnsi="宋体" w:cs="宋体"/>
                <w:b/>
                <w:bCs/>
                <w:color w:val="000000"/>
                <w:kern w:val="0"/>
                <w:sz w:val="30"/>
                <w:szCs w:val="30"/>
                <w:lang w:eastAsia="zh-CN"/>
              </w:rPr>
              <w:t>城管基地国防大厦物业管理</w:t>
            </w:r>
            <w:r>
              <w:rPr>
                <w:rFonts w:hint="eastAsia" w:ascii="宋体" w:hAnsi="宋体" w:cs="宋体"/>
                <w:b/>
                <w:bCs/>
                <w:color w:val="000000"/>
                <w:kern w:val="0"/>
                <w:sz w:val="30"/>
                <w:szCs w:val="30"/>
                <w:lang w:val="en-US" w:eastAsia="zh-CN"/>
              </w:rPr>
              <w:t>服务</w:t>
            </w:r>
            <w:r>
              <w:rPr>
                <w:rFonts w:hint="eastAsia" w:ascii="宋体" w:hAnsi="宋体" w:cs="宋体"/>
                <w:b/>
                <w:bCs/>
                <w:color w:val="000000"/>
                <w:kern w:val="0"/>
                <w:sz w:val="30"/>
                <w:szCs w:val="30"/>
                <w:lang w:eastAsia="zh-CN"/>
              </w:rPr>
              <w:t>项目</w:t>
            </w:r>
            <w:r>
              <w:rPr>
                <w:rFonts w:hint="eastAsia" w:ascii="宋体" w:hAnsi="宋体" w:cs="宋体"/>
                <w:b/>
                <w:bCs/>
                <w:color w:val="000000"/>
                <w:kern w:val="0"/>
                <w:sz w:val="30"/>
                <w:szCs w:val="30"/>
              </w:rPr>
              <w:t>采购意向公开表</w:t>
            </w:r>
          </w:p>
        </w:tc>
      </w:tr>
      <w:tr>
        <w:tblPrEx>
          <w:tblLayout w:type="fixed"/>
          <w:tblCellMar>
            <w:top w:w="0" w:type="dxa"/>
            <w:left w:w="108" w:type="dxa"/>
            <w:bottom w:w="0" w:type="dxa"/>
            <w:right w:w="108" w:type="dxa"/>
          </w:tblCellMar>
        </w:tblPrEx>
        <w:trPr>
          <w:gridAfter w:val="1"/>
          <w:wAfter w:w="14" w:type="dxa"/>
          <w:trHeight w:val="276" w:hRule="atLeast"/>
        </w:trPr>
        <w:tc>
          <w:tcPr>
            <w:tcW w:w="3147" w:type="dxa"/>
            <w:tcBorders>
              <w:top w:val="nil"/>
              <w:left w:val="nil"/>
              <w:bottom w:val="single" w:color="auto" w:sz="4" w:space="0"/>
              <w:right w:val="nil"/>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福田区机关服务保障中心</w:t>
            </w:r>
          </w:p>
        </w:tc>
        <w:tc>
          <w:tcPr>
            <w:tcW w:w="944" w:type="dxa"/>
            <w:gridSpan w:val="2"/>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448"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08"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bookmarkStart w:id="0" w:name="_GoBack"/>
            <w:bookmarkEnd w:id="0"/>
          </w:p>
        </w:tc>
        <w:tc>
          <w:tcPr>
            <w:tcW w:w="3761" w:type="dxa"/>
            <w:gridSpan w:val="4"/>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名称</w:t>
            </w:r>
          </w:p>
        </w:tc>
        <w:tc>
          <w:tcPr>
            <w:tcW w:w="2344" w:type="dxa"/>
            <w:gridSpan w:val="6"/>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4908" w:type="dxa"/>
            <w:gridSpan w:val="4"/>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968"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179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2818" w:hRule="atLeast"/>
        </w:trPr>
        <w:tc>
          <w:tcPr>
            <w:tcW w:w="3147" w:type="dxa"/>
            <w:tcBorders>
              <w:top w:val="nil"/>
              <w:left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p>
            <w:pPr>
              <w:widowControl/>
              <w:jc w:val="center"/>
              <w:rPr>
                <w:rFonts w:ascii="宋体" w:hAnsi="宋体" w:cs="宋体"/>
                <w:kern w:val="0"/>
                <w:sz w:val="20"/>
                <w:szCs w:val="20"/>
              </w:rPr>
            </w:pPr>
          </w:p>
          <w:p>
            <w:pPr>
              <w:widowControl/>
              <w:jc w:val="center"/>
              <w:rPr>
                <w:rFonts w:ascii="宋体" w:hAnsi="宋体" w:cs="宋体"/>
                <w:color w:val="000000"/>
                <w:kern w:val="0"/>
                <w:sz w:val="20"/>
                <w:szCs w:val="20"/>
              </w:rPr>
            </w:pPr>
          </w:p>
          <w:p>
            <w:pPr>
              <w:widowControl/>
              <w:jc w:val="cente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eastAsia="zh-CN"/>
              </w:rPr>
              <w:t>福田区机关服务保障中心</w:t>
            </w: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tc>
        <w:tc>
          <w:tcPr>
            <w:tcW w:w="2344" w:type="dxa"/>
            <w:gridSpan w:val="6"/>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2021年4月</w:t>
            </w: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tc>
        <w:tc>
          <w:tcPr>
            <w:tcW w:w="4908" w:type="dxa"/>
            <w:gridSpan w:val="4"/>
            <w:tcBorders>
              <w:top w:val="nil"/>
              <w:left w:val="nil"/>
              <w:right w:val="single" w:color="auto" w:sz="4" w:space="0"/>
            </w:tcBorders>
            <w:shd w:val="clear" w:color="auto" w:fill="auto"/>
            <w:vAlign w:val="center"/>
          </w:tcPr>
          <w:p>
            <w:pPr>
              <w:widowControl/>
              <w:numPr>
                <w:ilvl w:val="0"/>
                <w:numId w:val="1"/>
              </w:numPr>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采购项目名称：城管基地国防大厦物业管理</w:t>
            </w:r>
            <w:r>
              <w:rPr>
                <w:rFonts w:hint="eastAsia" w:ascii="宋体" w:hAnsi="宋体" w:cs="宋体"/>
                <w:color w:val="000000"/>
                <w:kern w:val="0"/>
                <w:sz w:val="20"/>
                <w:szCs w:val="20"/>
                <w:lang w:val="en-US" w:eastAsia="zh-CN"/>
              </w:rPr>
              <w:t>服务</w:t>
            </w:r>
            <w:r>
              <w:rPr>
                <w:rFonts w:hint="eastAsia" w:ascii="宋体" w:hAnsi="宋体" w:cs="宋体"/>
                <w:color w:val="000000"/>
                <w:kern w:val="0"/>
                <w:sz w:val="20"/>
                <w:szCs w:val="20"/>
                <w:lang w:eastAsia="zh-CN"/>
              </w:rPr>
              <w:t>项目；</w:t>
            </w:r>
          </w:p>
          <w:p>
            <w:pPr>
              <w:widowControl/>
              <w:numPr>
                <w:ilvl w:val="0"/>
                <w:numId w:val="1"/>
              </w:num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采购内容：城管基地、国防大厦、福田花园、福保街道四楼、土地监察大队办公楼物业管理服务，物业管理总建筑面积为412</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lang w:eastAsia="zh-CN"/>
              </w:rPr>
              <w:t>1.06㎡：其中办公楼为26714.8㎡，住宅为14566.26㎡。</w:t>
            </w:r>
          </w:p>
          <w:p>
            <w:pPr>
              <w:widowControl/>
              <w:numPr>
                <w:ilvl w:val="0"/>
                <w:numId w:val="1"/>
              </w:num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项目服务期为1年。</w:t>
            </w:r>
          </w:p>
        </w:tc>
        <w:tc>
          <w:tcPr>
            <w:tcW w:w="1968" w:type="dxa"/>
            <w:tcBorders>
              <w:top w:val="nil"/>
              <w:left w:val="nil"/>
              <w:right w:val="single" w:color="auto" w:sz="4" w:space="0"/>
            </w:tcBorders>
            <w:shd w:val="clear" w:color="FFFFFF" w:fill="FFFFFF"/>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430.2万(每月物业服务费35.85万）</w:t>
            </w: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tc>
        <w:tc>
          <w:tcPr>
            <w:tcW w:w="1793" w:type="dxa"/>
            <w:gridSpan w:val="3"/>
            <w:tcBorders>
              <w:top w:val="nil"/>
              <w:left w:val="nil"/>
              <w:right w:val="single" w:color="auto" w:sz="4" w:space="0"/>
            </w:tcBorders>
            <w:shd w:val="clear" w:color="FFFFFF" w:fill="FFFFFF"/>
            <w:vAlign w:val="center"/>
          </w:tcPr>
          <w:p>
            <w:pPr>
              <w:jc w:val="left"/>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eastAsia="zh-CN"/>
              </w:rPr>
              <w:t>本项目服务期限为一年，一年合同期满后，经履约考核合格及以上的可按原合同条款续签第二年。</w:t>
            </w: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lang w:val="en-US" w:eastAsia="zh-CN"/>
              </w:rPr>
              <w:t>82918333-8415</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李澧</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w:t>
            </w: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（含</w:t>
            </w:r>
            <w:r>
              <w:rPr>
                <w:rFonts w:hint="eastAsia" w:ascii="宋体" w:hAnsi="宋体" w:cs="宋体"/>
                <w:color w:val="000000"/>
                <w:kern w:val="0"/>
                <w:sz w:val="20"/>
                <w:szCs w:val="20"/>
                <w:lang w:val="en-US" w:eastAsia="zh-CN"/>
              </w:rPr>
              <w:t>下</w:t>
            </w:r>
            <w:r>
              <w:rPr>
                <w:rFonts w:hint="eastAsia" w:ascii="宋体" w:hAnsi="宋体" w:cs="宋体"/>
                <w:color w:val="000000"/>
                <w:kern w:val="0"/>
                <w:sz w:val="20"/>
                <w:szCs w:val="20"/>
              </w:rPr>
              <w:t>属预算单位）2020年</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月1日以后按政府采购项目实施的集中采购目录以内或者采购限额标准以上的货物、工程、服务采购项目，不包括以电商采购、预选采购、定点采购、网上竞价等方式实施的小额零星采购和由集中采购机构统一组织的批量集中采购项目等。</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w:t>
            </w: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政府采购工作的初步安排，具体采购项目情况以相关采购公告和采购文件为准。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pPr>
        <w:numPr>
          <w:ilvl w:val="0"/>
          <w:numId w:val="0"/>
        </w:numPr>
        <w:ind w:firstLine="640"/>
        <w:rPr>
          <w:rFonts w:hint="eastAsia" w:ascii="仿宋_GB2312" w:eastAsia="仿宋_GB2312"/>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6940D"/>
    <w:multiLevelType w:val="singleLevel"/>
    <w:tmpl w:val="6006940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151B3"/>
    <w:rsid w:val="03FC50B8"/>
    <w:rsid w:val="0CBF7356"/>
    <w:rsid w:val="2BB6578C"/>
    <w:rsid w:val="377F643B"/>
    <w:rsid w:val="5FDE561B"/>
    <w:rsid w:val="62F202FB"/>
    <w:rsid w:val="6D1D257B"/>
    <w:rsid w:val="6F661077"/>
    <w:rsid w:val="6FC1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chenxuchu</dc:creator>
  <cp:lastModifiedBy>415</cp:lastModifiedBy>
  <dcterms:modified xsi:type="dcterms:W3CDTF">2021-03-03T01:52:04Z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