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福田区发展研究中心2021年招标课题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研究指引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新三十年再出发福田改革重点领域与关键环节问题研究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“十四五”时期我国将进入新发展阶段，改革又到了一个新的关头。为贯彻落实中央、省委、市委最新工作指示精神，抢抓“双区”驱动、“双区”叠加和深圳综合改革试点等重大历史机遇，推动福田蹄疾步稳深化重要领域和关键环节改革，</w:t>
      </w:r>
      <w:r>
        <w:rPr>
          <w:rFonts w:hint="eastAsia" w:ascii="仿宋_GB2312" w:hAnsi="仿宋_GB2312" w:eastAsia="仿宋_GB2312" w:cs="仿宋_GB2312"/>
          <w:b/>
          <w:bCs/>
          <w:sz w:val="32"/>
        </w:rPr>
        <w:t>本课题拟</w:t>
      </w:r>
      <w:r>
        <w:rPr>
          <w:rFonts w:hint="eastAsia" w:ascii="仿宋_GB2312" w:hAnsi="仿宋_GB2312" w:eastAsia="仿宋_GB2312" w:cs="仿宋_GB2312"/>
          <w:sz w:val="32"/>
        </w:rPr>
        <w:t>系统梳理近年来中央、省、市层面关于全面深化改革的总体思路和布局，围绕福田区“十四五”规划和第八次党代会精神，分析研判全区改革工作的重点领域与关键环节。建立改革重点领域与关键环节项目清单，提出落实改革重点领域的路径与策略。进一步提高改革的战略性、前瞻性、针对性，使改革更好对接发展所需、基层所盼、民心所向，推动改革和发展深度融合、高效联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3706B"/>
    <w:rsid w:val="023145D8"/>
    <w:rsid w:val="08400BF2"/>
    <w:rsid w:val="12931665"/>
    <w:rsid w:val="13D3706B"/>
    <w:rsid w:val="1C6C2A12"/>
    <w:rsid w:val="37161D2F"/>
    <w:rsid w:val="39A93D42"/>
    <w:rsid w:val="578D20BF"/>
    <w:rsid w:val="5DCE0780"/>
    <w:rsid w:val="7B263876"/>
    <w:rsid w:val="7FC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2021-09-17T01:09:00Z</dcterms:created>
  <dc:creator>吴美璇</dc:creator>
  <cp:lastModifiedBy>吴美璇</cp:lastModifiedBy>
  <dcterms:modified xsi:type="dcterms:W3CDTF">2021-09-17T01:53:28Z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