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关于福田区2021年预算报告相关情况的说明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一、转移支付安排情况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我区没有下级政府，没有对下级的税收返还和转移支付。</w:t>
      </w:r>
    </w:p>
    <w:p>
      <w:pPr>
        <w:numPr>
          <w:numId w:val="0"/>
        </w:numPr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二、社保基金预算情况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深圳市社保基金预算由市财政统一编制，区级无社保基金预算。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4838"/>
    <w:rsid w:val="40C14838"/>
    <w:rsid w:val="512003DC"/>
    <w:rsid w:val="69A21E09"/>
    <w:rsid w:val="6B95787D"/>
    <w:rsid w:val="78DD5323"/>
    <w:rsid w:val="FBC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2021-05-21T16:07:00Z</dcterms:created>
  <dc:creator>小明</dc:creator>
  <cp:lastModifiedBy>饶瑞</cp:lastModifiedBy>
  <dcterms:modified xsi:type="dcterms:W3CDTF">2022-04-01T11:22:00Z</dcterms:modified>
  <dc:title>关于福田区2019年预算报告相关情况的说明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098050A653674E91BEE6DF5411A94D7E</vt:lpwstr>
  </property>
  <property fmtid="{D5CDD505-2E9C-101B-9397-08002B2CF9AE}" pid="4" name="KSOSaveFontToCloudKey">
    <vt:lpwstr>408485716_btnclosed</vt:lpwstr>
  </property>
</Properties>
</file>