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宋体" w:eastAsia="黑体"/>
          <w:color w:val="000000"/>
          <w:sz w:val="32"/>
          <w:szCs w:val="20"/>
        </w:rPr>
      </w:pPr>
      <w:r>
        <w:rPr>
          <w:rFonts w:hint="eastAsia" w:ascii="黑体" w:hAnsi="宋体" w:eastAsia="黑体"/>
          <w:color w:val="000000"/>
          <w:sz w:val="32"/>
          <w:szCs w:val="20"/>
        </w:rPr>
        <w:t>附件1</w:t>
      </w:r>
    </w:p>
    <w:p>
      <w:pPr>
        <w:widowControl/>
        <w:spacing w:line="460" w:lineRule="exact"/>
        <w:jc w:val="center"/>
        <w:rPr>
          <w:rFonts w:hint="eastAsia" w:ascii="黑体" w:hAnsi="黑体" w:eastAsia="黑体" w:cs="黑体"/>
          <w:color w:val="000000"/>
          <w:sz w:val="36"/>
          <w:szCs w:val="36"/>
        </w:rPr>
      </w:pPr>
      <w:r>
        <w:rPr>
          <w:rFonts w:hint="eastAsia" w:ascii="黑体" w:hAnsi="黑体" w:eastAsia="黑体" w:cs="黑体"/>
          <w:color w:val="000000"/>
          <w:sz w:val="44"/>
          <w:szCs w:val="44"/>
        </w:rPr>
        <w:t>20</w:t>
      </w:r>
      <w:r>
        <w:rPr>
          <w:rFonts w:hint="eastAsia" w:ascii="黑体" w:hAnsi="黑体" w:eastAsia="黑体" w:cs="黑体"/>
          <w:color w:val="000000"/>
          <w:sz w:val="44"/>
          <w:szCs w:val="44"/>
          <w:lang w:val="en-US" w:eastAsia="zh-CN"/>
        </w:rPr>
        <w:t>22</w:t>
      </w:r>
      <w:r>
        <w:rPr>
          <w:rFonts w:hint="eastAsia" w:ascii="黑体" w:hAnsi="黑体" w:eastAsia="黑体" w:cs="黑体"/>
          <w:color w:val="000000"/>
          <w:sz w:val="44"/>
          <w:szCs w:val="44"/>
        </w:rPr>
        <w:t>年第</w:t>
      </w:r>
      <w:r>
        <w:rPr>
          <w:rFonts w:hint="eastAsia" w:ascii="黑体" w:hAnsi="黑体" w:eastAsia="黑体" w:cs="黑体"/>
          <w:color w:val="000000"/>
          <w:sz w:val="44"/>
          <w:szCs w:val="44"/>
          <w:lang w:eastAsia="zh-CN"/>
        </w:rPr>
        <w:t>一</w:t>
      </w:r>
      <w:r>
        <w:rPr>
          <w:rFonts w:hint="eastAsia" w:ascii="黑体" w:hAnsi="黑体" w:eastAsia="黑体" w:cs="黑体"/>
          <w:color w:val="000000"/>
          <w:sz w:val="44"/>
          <w:szCs w:val="44"/>
        </w:rPr>
        <w:t>季度用户水龙头</w:t>
      </w:r>
      <w:r>
        <w:rPr>
          <w:rFonts w:hint="eastAsia" w:ascii="黑体" w:hAnsi="黑体" w:eastAsia="黑体" w:cs="黑体"/>
          <w:color w:val="000000"/>
          <w:sz w:val="44"/>
          <w:szCs w:val="44"/>
          <w:lang w:eastAsia="zh-CN"/>
        </w:rPr>
        <w:t>水质</w:t>
      </w:r>
      <w:r>
        <w:rPr>
          <w:rFonts w:hint="eastAsia" w:ascii="黑体" w:hAnsi="黑体" w:eastAsia="黑体" w:cs="黑体"/>
          <w:color w:val="000000"/>
          <w:sz w:val="44"/>
          <w:szCs w:val="44"/>
        </w:rPr>
        <w:t>监测结果一览表</w:t>
      </w: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0"/>
        <w:gridCol w:w="932"/>
        <w:gridCol w:w="1816"/>
        <w:gridCol w:w="890"/>
        <w:gridCol w:w="868"/>
        <w:gridCol w:w="868"/>
        <w:gridCol w:w="1216"/>
        <w:gridCol w:w="5021"/>
        <w:gridCol w:w="868"/>
        <w:gridCol w:w="868"/>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blHead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序号</w:t>
            </w:r>
          </w:p>
        </w:tc>
        <w:tc>
          <w:tcPr>
            <w:tcW w:w="932"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辖区</w:t>
            </w:r>
          </w:p>
        </w:tc>
        <w:tc>
          <w:tcPr>
            <w:tcW w:w="18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监测点地址</w:t>
            </w:r>
          </w:p>
        </w:tc>
        <w:tc>
          <w:tcPr>
            <w:tcW w:w="89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供水单位</w:t>
            </w:r>
          </w:p>
        </w:tc>
        <w:tc>
          <w:tcPr>
            <w:tcW w:w="8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bCs/>
                <w:kern w:val="0"/>
                <w:sz w:val="20"/>
                <w:szCs w:val="20"/>
                <w:lang w:val="en-US" w:eastAsia="zh-CN"/>
              </w:rPr>
            </w:pPr>
            <w:r>
              <w:rPr>
                <w:rFonts w:hint="eastAsia" w:ascii="仿宋" w:hAnsi="仿宋" w:eastAsia="仿宋" w:cs="宋体"/>
                <w:b/>
                <w:bCs/>
                <w:kern w:val="0"/>
                <w:sz w:val="20"/>
                <w:szCs w:val="20"/>
              </w:rPr>
              <w:t>采样单位</w:t>
            </w:r>
          </w:p>
        </w:tc>
        <w:tc>
          <w:tcPr>
            <w:tcW w:w="8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宋体"/>
                <w:b/>
                <w:bCs/>
                <w:kern w:val="0"/>
                <w:sz w:val="20"/>
                <w:szCs w:val="20"/>
                <w:lang w:val="en-US" w:eastAsia="zh-CN"/>
              </w:rPr>
            </w:pPr>
            <w:r>
              <w:rPr>
                <w:rFonts w:hint="eastAsia" w:ascii="仿宋" w:hAnsi="仿宋" w:eastAsia="仿宋" w:cs="宋体"/>
                <w:b/>
                <w:bCs/>
                <w:kern w:val="0"/>
                <w:sz w:val="20"/>
                <w:szCs w:val="20"/>
              </w:rPr>
              <w:t>检测单位</w:t>
            </w:r>
          </w:p>
        </w:tc>
        <w:tc>
          <w:tcPr>
            <w:tcW w:w="121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检测时间</w:t>
            </w:r>
          </w:p>
        </w:tc>
        <w:tc>
          <w:tcPr>
            <w:tcW w:w="502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监测指标</w:t>
            </w:r>
          </w:p>
        </w:tc>
        <w:tc>
          <w:tcPr>
            <w:tcW w:w="8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检测结果评价</w:t>
            </w:r>
          </w:p>
        </w:tc>
        <w:tc>
          <w:tcPr>
            <w:tcW w:w="8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不合格指标的检测值</w:t>
            </w:r>
          </w:p>
        </w:tc>
        <w:tc>
          <w:tcPr>
            <w:tcW w:w="106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健康风险提示及安全饮水建议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1</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福田区</w:t>
            </w:r>
          </w:p>
        </w:tc>
        <w:tc>
          <w:tcPr>
            <w:tcW w:w="1816"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仿宋"/>
                <w:kern w:val="0"/>
                <w:sz w:val="20"/>
                <w:szCs w:val="20"/>
                <w:lang w:val="en-US" w:eastAsia="zh-CN" w:bidi="ar-SA"/>
              </w:rPr>
            </w:pPr>
            <w:r>
              <w:rPr>
                <w:rFonts w:hint="eastAsia" w:ascii="仿宋" w:hAnsi="仿宋" w:eastAsia="仿宋" w:cs="仿宋"/>
                <w:sz w:val="20"/>
                <w:szCs w:val="20"/>
                <w:lang w:eastAsia="zh-CN"/>
              </w:rPr>
              <w:t>福田区新沙街2号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eastAsia="zh-CN"/>
              </w:rPr>
              <w:t>华测检测认证集团股份有限公司</w:t>
            </w:r>
            <w:r>
              <w:rPr>
                <w:rFonts w:hint="eastAsia" w:ascii="仿宋" w:hAnsi="仿宋" w:eastAsia="仿宋" w:cs="仿宋"/>
                <w:highlight w:val="none"/>
                <w:lang w:val="en-US" w:eastAsia="zh-CN"/>
              </w:rPr>
              <w:t>*</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20</w:t>
            </w:r>
            <w:r>
              <w:rPr>
                <w:rFonts w:hint="eastAsia" w:ascii="仿宋" w:hAnsi="仿宋" w:eastAsia="仿宋" w:cs="仿宋"/>
                <w:kern w:val="0"/>
                <w:sz w:val="20"/>
                <w:szCs w:val="20"/>
                <w:lang w:val="en-US" w:eastAsia="zh-CN"/>
              </w:rPr>
              <w:t>22</w:t>
            </w:r>
            <w:r>
              <w:rPr>
                <w:rFonts w:hint="eastAsia" w:ascii="仿宋" w:hAnsi="仿宋" w:eastAsia="仿宋" w:cs="仿宋"/>
                <w:kern w:val="0"/>
                <w:sz w:val="20"/>
                <w:szCs w:val="20"/>
              </w:rPr>
              <w:t>.</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w:t>
            </w:r>
            <w:r>
              <w:rPr>
                <w:rFonts w:hint="eastAsia" w:ascii="仿宋" w:hAnsi="仿宋" w:eastAsia="仿宋" w:cs="仿宋"/>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仿宋"/>
                <w:kern w:val="0"/>
                <w:sz w:val="20"/>
                <w:szCs w:val="20"/>
                <w:vertAlign w:val="subscript"/>
              </w:rPr>
              <w:t>3</w:t>
            </w:r>
            <w:r>
              <w:rPr>
                <w:rFonts w:hint="eastAsia" w:ascii="仿宋" w:hAnsi="仿宋" w:eastAsia="仿宋" w:cs="仿宋"/>
                <w:kern w:val="0"/>
                <w:sz w:val="20"/>
                <w:szCs w:val="20"/>
              </w:rPr>
              <w:t>）、耗氧量（以O</w:t>
            </w:r>
            <w:r>
              <w:rPr>
                <w:rFonts w:hint="eastAsia" w:ascii="仿宋" w:hAnsi="仿宋" w:eastAsia="仿宋" w:cs="仿宋"/>
                <w:kern w:val="0"/>
                <w:sz w:val="20"/>
                <w:szCs w:val="20"/>
                <w:vertAlign w:val="subscript"/>
              </w:rPr>
              <w:t>2</w:t>
            </w:r>
            <w:r>
              <w:rPr>
                <w:rFonts w:hint="eastAsia" w:ascii="仿宋" w:hAnsi="仿宋" w:eastAsia="仿宋" w:cs="仿宋"/>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2</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福田区新洲九街184号公路局住宅小区1栋西</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20</w:t>
            </w:r>
            <w:r>
              <w:rPr>
                <w:rFonts w:hint="eastAsia" w:ascii="仿宋" w:hAnsi="仿宋" w:eastAsia="仿宋" w:cs="仿宋"/>
                <w:kern w:val="0"/>
                <w:sz w:val="20"/>
                <w:szCs w:val="20"/>
                <w:lang w:val="en-US" w:eastAsia="zh-CN"/>
              </w:rPr>
              <w:t>22</w:t>
            </w:r>
            <w:r>
              <w:rPr>
                <w:rFonts w:hint="eastAsia" w:ascii="仿宋" w:hAnsi="仿宋" w:eastAsia="仿宋" w:cs="仿宋"/>
                <w:kern w:val="0"/>
                <w:sz w:val="20"/>
                <w:szCs w:val="20"/>
              </w:rPr>
              <w:t>.</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w:t>
            </w:r>
            <w:r>
              <w:rPr>
                <w:rFonts w:hint="eastAsia" w:ascii="仿宋" w:hAnsi="仿宋" w:eastAsia="仿宋" w:cs="仿宋"/>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菌落总数、总大肠菌群、耐热大肠菌群、大肠埃希氏菌、砷、镉、铬（六价）、铅、汞、硒、氰化物、氟化物、硝酸盐（以N计）、三氯甲烷、四氯化碳、色度（铂钴色度单位）、浑浊度、肉眼可见物</w:t>
            </w:r>
            <w:bookmarkStart w:id="0" w:name="_GoBack"/>
            <w:bookmarkEnd w:id="0"/>
            <w:r>
              <w:rPr>
                <w:rFonts w:hint="eastAsia" w:ascii="仿宋" w:hAnsi="仿宋" w:eastAsia="仿宋" w:cs="仿宋"/>
                <w:kern w:val="0"/>
                <w:sz w:val="20"/>
                <w:szCs w:val="20"/>
              </w:rPr>
              <w:t>、pH值、臭和味、铝、铁、锰、铜、锌、氯化物、硫酸盐、溶解性总固体、总硬度（CaCO</w:t>
            </w:r>
            <w:r>
              <w:rPr>
                <w:rFonts w:hint="eastAsia" w:ascii="仿宋" w:hAnsi="仿宋" w:eastAsia="仿宋" w:cs="仿宋"/>
                <w:kern w:val="0"/>
                <w:sz w:val="20"/>
                <w:szCs w:val="20"/>
                <w:vertAlign w:val="subscript"/>
              </w:rPr>
              <w:t>3</w:t>
            </w:r>
            <w:r>
              <w:rPr>
                <w:rFonts w:hint="eastAsia" w:ascii="仿宋" w:hAnsi="仿宋" w:eastAsia="仿宋" w:cs="仿宋"/>
                <w:kern w:val="0"/>
                <w:sz w:val="20"/>
                <w:szCs w:val="20"/>
              </w:rPr>
              <w:t>）、耗氧量（以O</w:t>
            </w:r>
            <w:r>
              <w:rPr>
                <w:rFonts w:hint="eastAsia" w:ascii="仿宋" w:hAnsi="仿宋" w:eastAsia="仿宋" w:cs="仿宋"/>
                <w:kern w:val="0"/>
                <w:sz w:val="20"/>
                <w:szCs w:val="20"/>
                <w:vertAlign w:val="subscript"/>
              </w:rPr>
              <w:t>2</w:t>
            </w:r>
            <w:r>
              <w:rPr>
                <w:rFonts w:hint="eastAsia" w:ascii="仿宋" w:hAnsi="仿宋" w:eastAsia="仿宋" w:cs="仿宋"/>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3</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福田区石厦南福荣路东公共汽车总站办公室旁</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20</w:t>
            </w:r>
            <w:r>
              <w:rPr>
                <w:rFonts w:hint="eastAsia" w:ascii="仿宋" w:hAnsi="仿宋" w:eastAsia="仿宋" w:cs="仿宋"/>
                <w:kern w:val="0"/>
                <w:sz w:val="20"/>
                <w:szCs w:val="20"/>
                <w:lang w:val="en-US" w:eastAsia="zh-CN"/>
              </w:rPr>
              <w:t>22</w:t>
            </w:r>
            <w:r>
              <w:rPr>
                <w:rFonts w:hint="eastAsia" w:ascii="仿宋" w:hAnsi="仿宋" w:eastAsia="仿宋" w:cs="仿宋"/>
                <w:kern w:val="0"/>
                <w:sz w:val="20"/>
                <w:szCs w:val="20"/>
              </w:rPr>
              <w:t>.</w:t>
            </w:r>
            <w:r>
              <w:rPr>
                <w:rFonts w:hint="eastAsia" w:ascii="仿宋" w:hAnsi="仿宋" w:eastAsia="仿宋" w:cs="仿宋"/>
                <w:kern w:val="0"/>
                <w:sz w:val="20"/>
                <w:szCs w:val="20"/>
                <w:lang w:val="en-US" w:eastAsia="zh-CN"/>
              </w:rPr>
              <w:t>3</w:t>
            </w:r>
            <w:r>
              <w:rPr>
                <w:rFonts w:hint="eastAsia" w:ascii="仿宋" w:hAnsi="仿宋" w:eastAsia="仿宋" w:cs="仿宋"/>
                <w:kern w:val="0"/>
                <w:sz w:val="20"/>
                <w:szCs w:val="20"/>
              </w:rPr>
              <w:t>.</w:t>
            </w:r>
            <w:r>
              <w:rPr>
                <w:rFonts w:hint="eastAsia" w:ascii="仿宋" w:hAnsi="仿宋" w:eastAsia="仿宋" w:cs="仿宋"/>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仿宋"/>
                <w:kern w:val="0"/>
                <w:sz w:val="20"/>
                <w:szCs w:val="20"/>
                <w:vertAlign w:val="subscript"/>
              </w:rPr>
              <w:t>3</w:t>
            </w:r>
            <w:r>
              <w:rPr>
                <w:rFonts w:hint="eastAsia" w:ascii="仿宋" w:hAnsi="仿宋" w:eastAsia="仿宋" w:cs="仿宋"/>
                <w:kern w:val="0"/>
                <w:sz w:val="20"/>
                <w:szCs w:val="20"/>
              </w:rPr>
              <w:t>）、耗氧量（以O</w:t>
            </w:r>
            <w:r>
              <w:rPr>
                <w:rFonts w:hint="eastAsia" w:ascii="仿宋" w:hAnsi="仿宋" w:eastAsia="仿宋" w:cs="仿宋"/>
                <w:kern w:val="0"/>
                <w:sz w:val="20"/>
                <w:szCs w:val="20"/>
                <w:vertAlign w:val="subscript"/>
              </w:rPr>
              <w:t>2</w:t>
            </w:r>
            <w:r>
              <w:rPr>
                <w:rFonts w:hint="eastAsia" w:ascii="仿宋" w:hAnsi="仿宋" w:eastAsia="仿宋" w:cs="仿宋"/>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0"/>
                <w:szCs w:val="20"/>
                <w:lang w:val="en-US" w:eastAsia="zh-CN" w:bidi="ar-SA"/>
              </w:rPr>
            </w:pPr>
            <w:r>
              <w:rPr>
                <w:rFonts w:hint="eastAsia" w:ascii="仿宋" w:hAnsi="仿宋" w:eastAsia="仿宋" w:cs="仿宋"/>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4</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福田区福强路3013号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5</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福田区景田北三街2号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6</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福田区景田北街景蜜村10栋四单元旁</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7</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福田区梅林路148号梅林一村</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8</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spacing w:line="360" w:lineRule="auto"/>
              <w:rPr>
                <w:rFonts w:hint="eastAsia" w:ascii="仿宋" w:hAnsi="仿宋" w:eastAsia="仿宋" w:cs="宋体"/>
                <w:kern w:val="0"/>
                <w:sz w:val="20"/>
                <w:szCs w:val="20"/>
                <w:lang w:val="en-US" w:eastAsia="zh-CN" w:bidi="ar-SA"/>
              </w:rPr>
            </w:pPr>
            <w:r>
              <w:rPr>
                <w:rFonts w:hint="eastAsia" w:ascii="仿宋" w:hAnsi="仿宋" w:eastAsia="仿宋" w:cs="仿宋"/>
                <w:i w:val="0"/>
                <w:caps w:val="0"/>
                <w:color w:val="333333"/>
                <w:spacing w:val="0"/>
                <w:sz w:val="20"/>
                <w:szCs w:val="20"/>
                <w:shd w:val="clear" w:color="auto" w:fill="FFFFFF"/>
              </w:rPr>
              <w:t>福田区梅林路公交总站（北面）</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9</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福田区梅华路166号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10</w:t>
            </w:r>
          </w:p>
        </w:tc>
        <w:tc>
          <w:tcPr>
            <w:tcW w:w="932"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福田区辛诚花园</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11</w:t>
            </w:r>
          </w:p>
        </w:tc>
        <w:tc>
          <w:tcPr>
            <w:tcW w:w="932"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福田区滨河大道5034号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8</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12</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福田区华富路与笋岗西路交界</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深圳市水务（集团）有限公司笔架山水厂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13</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福田区园岭三街37栋对面（动力鹏汽车服务中心旁）</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深圳市水务（集团）有限公司笔架山水厂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14</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福田区华发南路2号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深圳市水务（集团）有限公司笔架山水厂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15</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w:t>
            </w:r>
            <w:r>
              <w:rPr>
                <w:rFonts w:hint="eastAsia" w:ascii="仿宋" w:hAnsi="仿宋" w:eastAsia="仿宋" w:cs="宋体"/>
                <w:kern w:val="0"/>
                <w:sz w:val="20"/>
                <w:szCs w:val="20"/>
                <w:lang w:eastAsia="zh-CN"/>
              </w:rPr>
              <w:t>田区</w:t>
            </w:r>
            <w:r>
              <w:rPr>
                <w:rFonts w:hint="eastAsia" w:ascii="仿宋" w:hAnsi="仿宋" w:eastAsia="仿宋" w:cs="宋体"/>
                <w:kern w:val="0"/>
                <w:sz w:val="20"/>
                <w:szCs w:val="20"/>
              </w:rPr>
              <w:t>松岭路福田肛肠医院门口</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深圳市水务（集团）有限公司笔架山水厂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16</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福田区红荔路8043号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17</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仿宋"/>
                <w:i w:val="0"/>
                <w:caps w:val="0"/>
                <w:color w:val="333333"/>
                <w:spacing w:val="0"/>
                <w:kern w:val="2"/>
                <w:sz w:val="20"/>
                <w:szCs w:val="20"/>
                <w:shd w:val="clear" w:color="auto" w:fill="FFFFFF"/>
                <w:lang w:val="en-US" w:eastAsia="zh-CN" w:bidi="ar-SA"/>
              </w:rPr>
            </w:pPr>
            <w:r>
              <w:rPr>
                <w:rFonts w:hint="eastAsia" w:ascii="仿宋" w:hAnsi="仿宋" w:eastAsia="仿宋" w:cs="宋体"/>
                <w:kern w:val="0"/>
                <w:sz w:val="20"/>
                <w:szCs w:val="20"/>
              </w:rPr>
              <w:t>福田区春田路2号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18</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福田区农园路东海十八居门牌</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19</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福田区梅岗路7号</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深圳市水务（集团）有限公司笔架山水厂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lang w:val="en-US" w:eastAsia="zh-CN"/>
              </w:rPr>
              <w:t>20</w:t>
            </w:r>
          </w:p>
        </w:tc>
        <w:tc>
          <w:tcPr>
            <w:tcW w:w="932"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福田区</w:t>
            </w:r>
            <w:r>
              <w:rPr>
                <w:rFonts w:hint="eastAsia" w:ascii="仿宋" w:hAnsi="仿宋" w:eastAsia="仿宋" w:cs="宋体"/>
                <w:kern w:val="0"/>
                <w:sz w:val="20"/>
                <w:szCs w:val="20"/>
                <w:lang w:eastAsia="zh-CN"/>
              </w:rPr>
              <w:t>莲心路莲花村24栋东</w:t>
            </w:r>
          </w:p>
        </w:tc>
        <w:tc>
          <w:tcPr>
            <w:tcW w:w="890"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深圳市水务（集团）有限公司（梅林水厂）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rPr>
            </w:pPr>
            <w:r>
              <w:rPr>
                <w:rFonts w:hint="eastAsia" w:ascii="仿宋" w:hAnsi="仿宋" w:eastAsia="仿宋" w:cs="宋体"/>
                <w:kern w:val="0"/>
                <w:sz w:val="20"/>
                <w:szCs w:val="20"/>
              </w:rPr>
              <w:t>2</w:t>
            </w:r>
            <w:r>
              <w:rPr>
                <w:rFonts w:hint="eastAsia" w:ascii="仿宋" w:hAnsi="仿宋" w:eastAsia="仿宋" w:cs="宋体"/>
                <w:kern w:val="0"/>
                <w:sz w:val="20"/>
                <w:szCs w:val="20"/>
                <w:lang w:val="en-US" w:eastAsia="zh-CN"/>
              </w:rPr>
              <w:t>1</w:t>
            </w:r>
          </w:p>
        </w:tc>
        <w:tc>
          <w:tcPr>
            <w:tcW w:w="93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lang w:val="en-US" w:eastAsia="zh-CN" w:bidi="ar-SA"/>
              </w:rPr>
            </w:pPr>
            <w:r>
              <w:rPr>
                <w:rFonts w:hint="eastAsia" w:ascii="仿宋" w:hAnsi="仿宋" w:eastAsia="仿宋" w:cs="仿宋"/>
                <w:sz w:val="20"/>
                <w:szCs w:val="20"/>
              </w:rPr>
              <w:t>深圳市福田区同福路1号</w:t>
            </w:r>
          </w:p>
        </w:tc>
        <w:tc>
          <w:tcPr>
            <w:tcW w:w="890"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深圳市水务（集团）有限公司笔架山水厂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trPr>
        <w:tc>
          <w:tcPr>
            <w:tcW w:w="710" w:type="dxa"/>
            <w:tcBorders>
              <w:top w:val="nil"/>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 w:val="20"/>
                <w:szCs w:val="20"/>
                <w:lang w:val="en-US" w:eastAsia="zh-CN"/>
              </w:rPr>
            </w:pPr>
            <w:r>
              <w:rPr>
                <w:rFonts w:hint="eastAsia" w:ascii="仿宋" w:hAnsi="仿宋" w:eastAsia="仿宋" w:cs="宋体"/>
                <w:kern w:val="0"/>
                <w:sz w:val="20"/>
                <w:szCs w:val="20"/>
                <w:lang w:val="en-US" w:eastAsia="zh-CN"/>
              </w:rPr>
              <w:t>22</w:t>
            </w:r>
          </w:p>
        </w:tc>
        <w:tc>
          <w:tcPr>
            <w:tcW w:w="932"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福田区</w:t>
            </w:r>
          </w:p>
        </w:tc>
        <w:tc>
          <w:tcPr>
            <w:tcW w:w="1816" w:type="dxa"/>
            <w:tcBorders>
              <w:top w:val="nil"/>
              <w:left w:val="nil"/>
              <w:bottom w:val="single" w:color="auto" w:sz="4" w:space="0"/>
              <w:right w:val="single" w:color="auto" w:sz="4" w:space="0"/>
            </w:tcBorders>
            <w:vAlign w:val="center"/>
          </w:tcPr>
          <w:p>
            <w:pPr>
              <w:widowControl/>
              <w:rPr>
                <w:rFonts w:hint="default" w:ascii="仿宋" w:hAnsi="仿宋" w:eastAsia="仿宋" w:cs="宋体"/>
                <w:kern w:val="0"/>
                <w:sz w:val="20"/>
                <w:szCs w:val="20"/>
                <w:lang w:val="en-US" w:eastAsia="zh-CN" w:bidi="ar-SA"/>
              </w:rPr>
            </w:pPr>
            <w:r>
              <w:rPr>
                <w:rFonts w:hint="eastAsia" w:ascii="仿宋" w:hAnsi="仿宋" w:eastAsia="仿宋" w:cs="宋体"/>
                <w:kern w:val="0"/>
                <w:sz w:val="20"/>
                <w:szCs w:val="20"/>
              </w:rPr>
              <w:t>福田区华强北路华新村门口</w:t>
            </w:r>
          </w:p>
        </w:tc>
        <w:tc>
          <w:tcPr>
            <w:tcW w:w="890"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lang w:val="en-US" w:eastAsia="zh-CN" w:bidi="ar-SA"/>
              </w:rPr>
            </w:pPr>
            <w:r>
              <w:rPr>
                <w:rFonts w:hint="eastAsia" w:ascii="仿宋" w:hAnsi="仿宋" w:eastAsia="仿宋" w:cs="宋体"/>
                <w:kern w:val="0"/>
                <w:sz w:val="20"/>
                <w:szCs w:val="20"/>
              </w:rPr>
              <w:t>深圳市水务（集团）有限公司笔架山水厂</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868"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kern w:val="0"/>
                <w:sz w:val="20"/>
                <w:szCs w:val="20"/>
                <w:lang w:val="en-US" w:eastAsia="zh-CN" w:bidi="ar-SA"/>
              </w:rPr>
            </w:pPr>
            <w:r>
              <w:rPr>
                <w:rFonts w:hint="eastAsia" w:ascii="仿宋" w:hAnsi="仿宋" w:eastAsia="仿宋" w:cs="宋体"/>
                <w:kern w:val="0"/>
                <w:sz w:val="20"/>
                <w:szCs w:val="20"/>
                <w:lang w:eastAsia="zh-CN"/>
              </w:rPr>
              <w:t>华测检测认证集团股份有限公司</w:t>
            </w:r>
          </w:p>
        </w:tc>
        <w:tc>
          <w:tcPr>
            <w:tcW w:w="1216"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20</w:t>
            </w:r>
            <w:r>
              <w:rPr>
                <w:rFonts w:hint="eastAsia" w:ascii="仿宋" w:hAnsi="仿宋" w:eastAsia="仿宋" w:cs="宋体"/>
                <w:kern w:val="0"/>
                <w:sz w:val="20"/>
                <w:szCs w:val="20"/>
                <w:lang w:val="en-US" w:eastAsia="zh-CN"/>
              </w:rPr>
              <w:t>2</w:t>
            </w:r>
            <w:r>
              <w:rPr>
                <w:rFonts w:hint="default" w:ascii="仿宋" w:hAnsi="仿宋" w:eastAsia="仿宋" w:cs="宋体"/>
                <w:kern w:val="0"/>
                <w:sz w:val="20"/>
                <w:szCs w:val="20"/>
                <w:lang w:val="en-US" w:eastAsia="zh-CN"/>
              </w:rPr>
              <w:t>2</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3</w:t>
            </w:r>
            <w:r>
              <w:rPr>
                <w:rFonts w:hint="eastAsia" w:ascii="仿宋" w:hAnsi="仿宋" w:eastAsia="仿宋" w:cs="宋体"/>
                <w:kern w:val="0"/>
                <w:sz w:val="20"/>
                <w:szCs w:val="20"/>
              </w:rPr>
              <w:t>.</w:t>
            </w:r>
            <w:r>
              <w:rPr>
                <w:rFonts w:hint="default" w:ascii="仿宋" w:hAnsi="仿宋" w:eastAsia="仿宋" w:cs="宋体"/>
                <w:kern w:val="0"/>
                <w:sz w:val="20"/>
                <w:szCs w:val="20"/>
                <w:lang w:val="en-US" w:eastAsia="zh-CN"/>
              </w:rPr>
              <w:t>9</w:t>
            </w:r>
          </w:p>
        </w:tc>
        <w:tc>
          <w:tcPr>
            <w:tcW w:w="5021" w:type="dxa"/>
            <w:tcBorders>
              <w:top w:val="nil"/>
              <w:left w:val="nil"/>
              <w:bottom w:val="single" w:color="auto" w:sz="4" w:space="0"/>
              <w:right w:val="single" w:color="auto" w:sz="4" w:space="0"/>
            </w:tcBorders>
            <w:vAlign w:val="center"/>
          </w:tcPr>
          <w:p>
            <w:pPr>
              <w:widowControl/>
              <w:rPr>
                <w:rFonts w:ascii="仿宋" w:hAnsi="仿宋" w:eastAsia="仿宋" w:cs="宋体"/>
                <w:kern w:val="0"/>
                <w:sz w:val="20"/>
                <w:szCs w:val="20"/>
                <w:lang w:val="en-US" w:eastAsia="zh-CN" w:bidi="ar-SA"/>
              </w:rPr>
            </w:pPr>
            <w:r>
              <w:rPr>
                <w:rFonts w:hint="eastAsia" w:ascii="仿宋" w:hAnsi="仿宋" w:eastAsia="仿宋" w:cs="宋体"/>
                <w:kern w:val="0"/>
                <w:sz w:val="20"/>
                <w:szCs w:val="20"/>
              </w:rPr>
              <w:t>菌落总数、总大肠菌群、耐热大肠菌群、大肠埃希氏菌、砷、镉、铬（六价）、铅、汞、硒、氰化物、氟化物、硝酸盐（以N计）、三氯甲烷、四氯化碳、色度（铂钴色度单位）、浑浊度、肉眼可见物、pH值、臭和味、铝、铁、锰、铜、锌、氯化物、硫酸盐、溶解性总固体、总硬度（CaCO</w:t>
            </w:r>
            <w:r>
              <w:rPr>
                <w:rFonts w:hint="eastAsia" w:ascii="仿宋" w:hAnsi="仿宋" w:eastAsia="仿宋" w:cs="宋体"/>
                <w:kern w:val="0"/>
                <w:sz w:val="20"/>
                <w:szCs w:val="20"/>
                <w:vertAlign w:val="subscript"/>
              </w:rPr>
              <w:t>3</w:t>
            </w:r>
            <w:r>
              <w:rPr>
                <w:rFonts w:hint="eastAsia" w:ascii="仿宋" w:hAnsi="仿宋" w:eastAsia="仿宋" w:cs="宋体"/>
                <w:kern w:val="0"/>
                <w:sz w:val="20"/>
                <w:szCs w:val="20"/>
              </w:rPr>
              <w:t>）、耗氧量（以O</w:t>
            </w:r>
            <w:r>
              <w:rPr>
                <w:rFonts w:hint="eastAsia" w:ascii="仿宋" w:hAnsi="仿宋" w:eastAsia="仿宋" w:cs="宋体"/>
                <w:kern w:val="0"/>
                <w:sz w:val="20"/>
                <w:szCs w:val="20"/>
                <w:vertAlign w:val="subscript"/>
              </w:rPr>
              <w:t>2</w:t>
            </w:r>
            <w:r>
              <w:rPr>
                <w:rFonts w:hint="eastAsia" w:ascii="仿宋" w:hAnsi="仿宋" w:eastAsia="仿宋" w:cs="宋体"/>
                <w:kern w:val="0"/>
                <w:sz w:val="20"/>
                <w:szCs w:val="20"/>
              </w:rPr>
              <w:t>计）、挥发酚类（以苯酚计）、阴离子合成洗涤剂、氨氮、游离余氯</w:t>
            </w:r>
          </w:p>
        </w:tc>
        <w:tc>
          <w:tcPr>
            <w:tcW w:w="86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经检测所有检测指标全部合格</w:t>
            </w:r>
          </w:p>
        </w:tc>
        <w:tc>
          <w:tcPr>
            <w:tcW w:w="868"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c>
          <w:tcPr>
            <w:tcW w:w="1063"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lang w:val="en-US" w:eastAsia="zh-CN" w:bidi="ar-SA"/>
              </w:rPr>
            </w:pPr>
            <w:r>
              <w:rPr>
                <w:rFonts w:hint="eastAsia" w:ascii="仿宋" w:hAnsi="仿宋" w:eastAsia="仿宋" w:cs="宋体"/>
                <w:kern w:val="0"/>
                <w:sz w:val="20"/>
                <w:szCs w:val="20"/>
              </w:rPr>
              <w:t>-</w:t>
            </w:r>
          </w:p>
        </w:tc>
      </w:tr>
    </w:tbl>
    <w:p>
      <w:pPr>
        <w:rPr>
          <w:rFonts w:hint="eastAsia"/>
          <w:highlight w:val="none"/>
          <w:lang w:val="en-US" w:eastAsia="zh-CN"/>
        </w:rPr>
      </w:pPr>
      <w:r>
        <w:rPr>
          <w:rFonts w:hint="eastAsia"/>
          <w:highlight w:val="none"/>
          <w:lang w:val="en-US" w:eastAsia="zh-CN"/>
        </w:rPr>
        <w:t>*备注：华测检测认证集团股份有限公司为福田区疾病预防控制中心授权第三方检测单位。</w:t>
      </w:r>
    </w:p>
    <w:p>
      <w:pPr>
        <w:rPr>
          <w:rFonts w:hint="default"/>
          <w:highlight w:val="none"/>
          <w:lang w:val="en-US" w:eastAsia="zh-CN"/>
        </w:rPr>
      </w:pPr>
    </w:p>
    <w:sectPr>
      <w:footerReference r:id="rId3" w:type="default"/>
      <w:footerReference r:id="rId4" w:type="even"/>
      <w:pgSz w:w="16838" w:h="11906" w:orient="landscape"/>
      <w:pgMar w:top="720" w:right="720" w:bottom="720" w:left="72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52 -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256A4"/>
    <w:rsid w:val="0003369A"/>
    <w:rsid w:val="00034C89"/>
    <w:rsid w:val="00040C24"/>
    <w:rsid w:val="00090151"/>
    <w:rsid w:val="000E5B02"/>
    <w:rsid w:val="00113E9B"/>
    <w:rsid w:val="00134563"/>
    <w:rsid w:val="001375AC"/>
    <w:rsid w:val="00142DA3"/>
    <w:rsid w:val="00143382"/>
    <w:rsid w:val="00184BB7"/>
    <w:rsid w:val="001F3864"/>
    <w:rsid w:val="00232BF2"/>
    <w:rsid w:val="0028591D"/>
    <w:rsid w:val="002A20B8"/>
    <w:rsid w:val="002B52AD"/>
    <w:rsid w:val="002D5BBA"/>
    <w:rsid w:val="002E54BB"/>
    <w:rsid w:val="00375CC1"/>
    <w:rsid w:val="00386AC2"/>
    <w:rsid w:val="00426D77"/>
    <w:rsid w:val="004505F3"/>
    <w:rsid w:val="004A418A"/>
    <w:rsid w:val="004B304B"/>
    <w:rsid w:val="004E33EA"/>
    <w:rsid w:val="00514B8D"/>
    <w:rsid w:val="00597F19"/>
    <w:rsid w:val="005A793D"/>
    <w:rsid w:val="005B0C3A"/>
    <w:rsid w:val="00613AD2"/>
    <w:rsid w:val="00623ABA"/>
    <w:rsid w:val="0063042A"/>
    <w:rsid w:val="006304A9"/>
    <w:rsid w:val="006C2D8D"/>
    <w:rsid w:val="00702033"/>
    <w:rsid w:val="007105EB"/>
    <w:rsid w:val="007D1C15"/>
    <w:rsid w:val="007D3163"/>
    <w:rsid w:val="007F2288"/>
    <w:rsid w:val="00804CF2"/>
    <w:rsid w:val="00805074"/>
    <w:rsid w:val="008425C1"/>
    <w:rsid w:val="00850850"/>
    <w:rsid w:val="00866FF8"/>
    <w:rsid w:val="008B53E8"/>
    <w:rsid w:val="008C45C1"/>
    <w:rsid w:val="0095439E"/>
    <w:rsid w:val="009A3627"/>
    <w:rsid w:val="00A036AF"/>
    <w:rsid w:val="00A42572"/>
    <w:rsid w:val="00A85020"/>
    <w:rsid w:val="00A859BB"/>
    <w:rsid w:val="00AA6F8B"/>
    <w:rsid w:val="00B877E4"/>
    <w:rsid w:val="00C311FF"/>
    <w:rsid w:val="00CC1750"/>
    <w:rsid w:val="00D00D23"/>
    <w:rsid w:val="00D64CF8"/>
    <w:rsid w:val="00D75D91"/>
    <w:rsid w:val="00D85773"/>
    <w:rsid w:val="00DC2C31"/>
    <w:rsid w:val="00DC3118"/>
    <w:rsid w:val="00E063E2"/>
    <w:rsid w:val="00E41D16"/>
    <w:rsid w:val="00E52EBB"/>
    <w:rsid w:val="00E5587E"/>
    <w:rsid w:val="00E902EF"/>
    <w:rsid w:val="00EA10F8"/>
    <w:rsid w:val="00F35217"/>
    <w:rsid w:val="00F57071"/>
    <w:rsid w:val="00F57AB0"/>
    <w:rsid w:val="00F76A40"/>
    <w:rsid w:val="0FDB1AEE"/>
    <w:rsid w:val="13672C84"/>
    <w:rsid w:val="1706331C"/>
    <w:rsid w:val="19314F13"/>
    <w:rsid w:val="1C67208F"/>
    <w:rsid w:val="20AE478C"/>
    <w:rsid w:val="24CF02DD"/>
    <w:rsid w:val="290446C4"/>
    <w:rsid w:val="29171CA9"/>
    <w:rsid w:val="30CF285C"/>
    <w:rsid w:val="318419E3"/>
    <w:rsid w:val="320B050F"/>
    <w:rsid w:val="37CD729C"/>
    <w:rsid w:val="391E093D"/>
    <w:rsid w:val="39717D61"/>
    <w:rsid w:val="3ACC0405"/>
    <w:rsid w:val="3B561401"/>
    <w:rsid w:val="41842AFF"/>
    <w:rsid w:val="43C256A4"/>
    <w:rsid w:val="47A5006B"/>
    <w:rsid w:val="47BB2097"/>
    <w:rsid w:val="4C584D01"/>
    <w:rsid w:val="4DAB10ED"/>
    <w:rsid w:val="4E2F59A7"/>
    <w:rsid w:val="510F34C4"/>
    <w:rsid w:val="51C14492"/>
    <w:rsid w:val="5FFA5BB1"/>
    <w:rsid w:val="6DB31783"/>
    <w:rsid w:val="6DFA451F"/>
    <w:rsid w:val="709A64A3"/>
    <w:rsid w:val="72250B56"/>
    <w:rsid w:val="72A50D59"/>
    <w:rsid w:val="73271ECB"/>
    <w:rsid w:val="74313DE8"/>
    <w:rsid w:val="74574D5F"/>
    <w:rsid w:val="77C116D1"/>
    <w:rsid w:val="7BDF0603"/>
    <w:rsid w:val="7C04585E"/>
    <w:rsid w:val="7E5C2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33"/>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List Paragraph"/>
    <w:basedOn w:val="1"/>
    <w:qFormat/>
    <w:uiPriority w:val="34"/>
    <w:pPr>
      <w:ind w:firstLine="420" w:firstLineChars="200"/>
    </w:pPr>
    <w:rPr>
      <w:rFonts w:ascii="Times New Roman" w:hAnsi="Times New Roman"/>
      <w:szCs w:val="24"/>
    </w:rPr>
  </w:style>
  <w:style w:type="paragraph" w:customStyle="1" w:styleId="1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1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
    <w:name w:val="xl81"/>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8">
    <w:name w:val="xl8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9">
    <w:name w:val="xl83"/>
    <w:basedOn w:val="1"/>
    <w:qFormat/>
    <w:uiPriority w:val="0"/>
    <w:pPr>
      <w:widowControl/>
      <w:spacing w:before="100" w:beforeAutospacing="1" w:after="100" w:afterAutospacing="1"/>
      <w:jc w:val="left"/>
    </w:pPr>
    <w:rPr>
      <w:rFonts w:ascii="宋体" w:hAnsi="宋体" w:cs="宋体"/>
      <w:kern w:val="0"/>
      <w:sz w:val="20"/>
      <w:szCs w:val="20"/>
    </w:rPr>
  </w:style>
  <w:style w:type="character" w:customStyle="1" w:styleId="30">
    <w:name w:val="font11"/>
    <w:basedOn w:val="6"/>
    <w:qFormat/>
    <w:uiPriority w:val="0"/>
    <w:rPr>
      <w:rFonts w:ascii="Arial" w:hAnsi="Arial" w:cs="Arial"/>
      <w:color w:val="000000"/>
      <w:sz w:val="20"/>
      <w:szCs w:val="20"/>
      <w:u w:val="none"/>
    </w:rPr>
  </w:style>
  <w:style w:type="character" w:customStyle="1" w:styleId="31">
    <w:name w:val="font01"/>
    <w:basedOn w:val="6"/>
    <w:qFormat/>
    <w:uiPriority w:val="0"/>
    <w:rPr>
      <w:rFonts w:hint="eastAsia" w:ascii="宋体" w:hAnsi="宋体" w:eastAsia="宋体" w:cs="宋体"/>
      <w:color w:val="000000"/>
      <w:sz w:val="20"/>
      <w:szCs w:val="20"/>
      <w:u w:val="none"/>
    </w:rPr>
  </w:style>
  <w:style w:type="character" w:customStyle="1" w:styleId="32">
    <w:name w:val="页眉 Char"/>
    <w:basedOn w:val="6"/>
    <w:link w:val="4"/>
    <w:qFormat/>
    <w:uiPriority w:val="0"/>
    <w:rPr>
      <w:rFonts w:ascii="Calibri" w:hAnsi="Calibri"/>
      <w:kern w:val="2"/>
      <w:sz w:val="18"/>
      <w:szCs w:val="18"/>
    </w:rPr>
  </w:style>
  <w:style w:type="character" w:customStyle="1" w:styleId="33">
    <w:name w:val="批注框文本 Char"/>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5461</Words>
  <Characters>5781</Characters>
  <Lines>381</Lines>
  <Paragraphs>107</Paragraphs>
  <TotalTime>8</TotalTime>
  <ScaleCrop>false</ScaleCrop>
  <LinksUpToDate>false</LinksUpToDate>
  <CharactersWithSpaces>5781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2020-03-24T11:13:00Z</dcterms:created>
  <dc:creator>一叶知秋</dc:creator>
  <cp:lastModifiedBy>75</cp:lastModifiedBy>
  <cp:lastPrinted>2021-11-08T09:51:00Z</cp:lastPrinted>
  <dcterms:modified xsi:type="dcterms:W3CDTF">2022-03-29T02:48:06Z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94B7E5C6DD054EE5A2B30EEBCFCC4B59</vt:lpwstr>
  </property>
</Properties>
</file>