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bookmarkStart w:id="0" w:name="_GoBack"/>
      <w:r>
        <w:rPr>
          <w:rFonts w:hint="eastAsia" w:ascii="方正小标宋简体" w:hAnsi="方正小标宋简体" w:eastAsia="方正小标宋简体" w:cs="方正小标宋简体"/>
          <w:color w:val="auto"/>
          <w:sz w:val="36"/>
          <w:szCs w:val="36"/>
          <w:u w:val="none"/>
          <w:lang w:val="en-US" w:eastAsia="zh-CN"/>
        </w:rPr>
        <w:t>福田区华富街道涉水面源污染排查整治服务</w:t>
      </w:r>
      <w:r>
        <w:rPr>
          <w:rFonts w:hint="eastAsia" w:ascii="方正小标宋_GBK" w:hAnsi="方正小标宋_GBK" w:eastAsia="方正小标宋_GBK" w:cs="方正小标宋_GBK"/>
          <w:b w:val="0"/>
          <w:bCs/>
          <w:color w:val="auto"/>
          <w:sz w:val="36"/>
          <w:szCs w:val="36"/>
          <w:lang w:eastAsia="zh-CN"/>
        </w:rPr>
        <w:t>采购需求</w:t>
      </w:r>
    </w:p>
    <w:bookmarkEnd w:id="0"/>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28"/>
          <w:szCs w:val="28"/>
          <w:lang w:val="en-US" w:eastAsia="zh-CN"/>
        </w:rPr>
        <w:t>根据市《2022年深圳市涉水面源污染整治抽查考核工作方案》的要求，全面推进街道生态环境与水环境整治，拟聘请第三方开展面源污染排查整治</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面源污染排查全面率。预计针对辖区500-600家涉水面源点进行全年巡查督办，每周工作5天且不低于2个社区全面性巡查督办，每个季度不低于1次重复摸底工作；排查内容包含：对象排查是否全面，全覆盖无死角巡查，及时录入“面源管控系统App”中，确保排查全面性达到100%。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2.面源污染整治合格率。排查过程中发现存在问题的对象马上列入整治范围，负责督促整改。现场检查要点主要包含隔油池等预处理设施建设情况、污水收集接驳纳管情况以及作业污水合规排放情况等；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面源污染整治后续跟踪。对“面源管控系统App”中完成问题整改的面源对象或市面源整治办2022年以前抽查发现存在问题的面源对象随机抽取一定数量，需安排巡查人员跟踪是否落实整改、是否虚假整改，保证完成整改，确保整治合格率统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kern w:val="0"/>
          <w:sz w:val="28"/>
          <w:szCs w:val="28"/>
          <w:lang w:val="en-US" w:eastAsia="zh-CN"/>
        </w:rPr>
        <w:t>对街道的8个社区面源污染全职工作督导检查。保证获得深圳市全年面源污染抽查全面率或整治合格率其中一项一个第一或不低于福田区</w:t>
      </w:r>
      <w:r>
        <w:rPr>
          <w:rFonts w:hint="eastAsia" w:ascii="仿宋_GB2312" w:hAnsi="仿宋_GB2312" w:eastAsia="仿宋_GB2312" w:cs="仿宋_GB2312"/>
          <w:kern w:val="0"/>
          <w:sz w:val="28"/>
          <w:szCs w:val="28"/>
          <w:lang w:val="en-US" w:eastAsia="zh-CN"/>
        </w:rPr>
        <w:t>全年面源污染抽查全面率或整治合格率第二。</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u w:val="none"/>
        </w:rPr>
      </w:pPr>
      <w:r>
        <w:rPr>
          <w:rFonts w:hint="eastAsia" w:ascii="黑体" w:hAnsi="黑体" w:eastAsia="黑体" w:cs="黑体"/>
          <w:b w:val="0"/>
          <w:bCs/>
          <w:color w:val="auto"/>
          <w:sz w:val="28"/>
          <w:szCs w:val="28"/>
          <w:u w:val="none"/>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2022年9月1日-2023年8月31日；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瑞意宋简">
    <w:altName w:val="方正书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46BDAD89"/>
    <w:rsid w:val="4ABF9ED1"/>
    <w:rsid w:val="5FF0CF4D"/>
    <w:rsid w:val="76F5CD69"/>
    <w:rsid w:val="7B67D4DE"/>
    <w:rsid w:val="7BF7AB66"/>
    <w:rsid w:val="FCEFB5B7"/>
    <w:rsid w:val="FE7F3A7B"/>
    <w:rsid w:val="FF7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2022-08-17T10:54:00Z</dcterms:created>
  <dc:creator>fthw0155</dc:creator>
  <cp:lastModifiedBy>zhanggaofeng</cp:lastModifiedBy>
  <cp:lastPrinted>2022-08-16T15:17:52Z</cp:lastPrinted>
  <dcterms:modified xsi:type="dcterms:W3CDTF">2022-08-16T15:32:35Z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