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附件：</w:t>
      </w:r>
    </w:p>
    <w:p>
      <w:pPr>
        <w:spacing w:before="156" w:beforeLines="50" w:after="156" w:afterLines="50" w:line="360" w:lineRule="auto"/>
        <w:jc w:val="center"/>
        <w:rPr>
          <w:rFonts w:hint="eastAsia" w:ascii="方正小标宋简体" w:hAnsi="宋体" w:eastAsia="方正小标宋简体"/>
          <w:sz w:val="44"/>
          <w:szCs w:val="44"/>
          <w:highlight w:val="none"/>
          <w:lang w:eastAsia="zh-CN"/>
        </w:rPr>
      </w:pPr>
      <w:r>
        <w:rPr>
          <w:rFonts w:hint="eastAsia" w:ascii="方正小标宋简体" w:hAnsi="宋体" w:eastAsia="方正小标宋简体"/>
          <w:sz w:val="44"/>
          <w:szCs w:val="44"/>
          <w:highlight w:val="none"/>
        </w:rPr>
        <w:t>深圳市福田区香蜜湖街道综合行政执法公众评议办法</w:t>
      </w:r>
      <w:r>
        <w:rPr>
          <w:rFonts w:hint="eastAsia" w:ascii="方正小标宋简体" w:hAnsi="宋体" w:eastAsia="方正小标宋简体"/>
          <w:sz w:val="44"/>
          <w:szCs w:val="44"/>
          <w:highlight w:val="none"/>
          <w:lang w:eastAsia="zh-CN"/>
        </w:rPr>
        <w:t>（草案）</w:t>
      </w:r>
    </w:p>
    <w:p>
      <w:pPr>
        <w:pStyle w:val="4"/>
        <w:numPr>
          <w:ilvl w:val="0"/>
          <w:numId w:val="1"/>
        </w:numPr>
        <w:spacing w:line="456" w:lineRule="auto"/>
        <w:ind w:left="1276"/>
        <w:jc w:val="center"/>
        <w:rPr>
          <w:rFonts w:hint="eastAsia" w:ascii="黑体" w:hAnsi="黑体" w:eastAsia="黑体" w:cs="黑体"/>
          <w:color w:val="333333"/>
          <w:sz w:val="36"/>
          <w:szCs w:val="36"/>
          <w:highlight w:val="none"/>
        </w:rPr>
      </w:pPr>
      <w:r>
        <w:rPr>
          <w:rFonts w:hint="eastAsia" w:ascii="黑体" w:hAnsi="黑体" w:eastAsia="黑体" w:cs="黑体"/>
          <w:color w:val="333333"/>
          <w:sz w:val="36"/>
          <w:szCs w:val="36"/>
          <w:highlight w:val="none"/>
        </w:rPr>
        <w:t>总  则</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ascii="宋体" w:hAnsi="宋体" w:eastAsia="宋体"/>
          <w:sz w:val="32"/>
          <w:szCs w:val="32"/>
          <w:highlight w:val="none"/>
        </w:rPr>
        <w:t>为加强对</w:t>
      </w:r>
      <w:r>
        <w:rPr>
          <w:rFonts w:hint="eastAsia" w:ascii="宋体" w:hAnsi="宋体" w:eastAsia="宋体"/>
          <w:sz w:val="32"/>
          <w:szCs w:val="32"/>
          <w:highlight w:val="none"/>
        </w:rPr>
        <w:t>街道综合行政</w:t>
      </w:r>
      <w:r>
        <w:rPr>
          <w:rFonts w:ascii="宋体" w:hAnsi="宋体" w:eastAsia="宋体"/>
          <w:sz w:val="32"/>
          <w:szCs w:val="32"/>
          <w:highlight w:val="none"/>
        </w:rPr>
        <w:t>执法的监督，</w:t>
      </w:r>
      <w:r>
        <w:rPr>
          <w:rFonts w:hint="eastAsia" w:ascii="宋体" w:hAnsi="宋体" w:eastAsia="宋体"/>
          <w:sz w:val="32"/>
          <w:szCs w:val="32"/>
          <w:highlight w:val="none"/>
          <w:lang w:eastAsia="zh-CN"/>
        </w:rPr>
        <w:t>确保</w:t>
      </w:r>
      <w:r>
        <w:rPr>
          <w:rFonts w:hint="eastAsia" w:ascii="宋体" w:hAnsi="宋体" w:eastAsia="宋体"/>
          <w:sz w:val="32"/>
          <w:szCs w:val="32"/>
          <w:highlight w:val="none"/>
        </w:rPr>
        <w:t>街道综合行政</w:t>
      </w:r>
      <w:r>
        <w:rPr>
          <w:rFonts w:ascii="宋体" w:hAnsi="宋体" w:eastAsia="宋体"/>
          <w:sz w:val="32"/>
          <w:szCs w:val="32"/>
          <w:highlight w:val="none"/>
        </w:rPr>
        <w:t>执法部门依法公正地作出行政处罚决定，维护公民、法人或者其他组织的合法权益，根据《中华人民共和国行政处罚法》</w:t>
      </w:r>
      <w:r>
        <w:rPr>
          <w:rFonts w:hint="eastAsia" w:ascii="宋体" w:hAnsi="宋体" w:eastAsia="宋体"/>
          <w:sz w:val="32"/>
          <w:szCs w:val="32"/>
          <w:highlight w:val="none"/>
          <w:lang w:eastAsia="zh-CN"/>
        </w:rPr>
        <w:t>《深圳经济特区城市管理综合执法条例》</w:t>
      </w:r>
      <w:r>
        <w:rPr>
          <w:rFonts w:ascii="宋体" w:hAnsi="宋体" w:eastAsia="宋体"/>
          <w:sz w:val="32"/>
          <w:szCs w:val="32"/>
          <w:highlight w:val="none"/>
        </w:rPr>
        <w:t>和《</w:t>
      </w:r>
      <w:bookmarkStart w:id="0" w:name="_GoBack"/>
      <w:bookmarkEnd w:id="0"/>
      <w:r>
        <w:rPr>
          <w:rFonts w:hint="eastAsia" w:ascii="宋体" w:hAnsi="宋体" w:eastAsia="宋体"/>
          <w:sz w:val="32"/>
          <w:szCs w:val="32"/>
          <w:highlight w:val="none"/>
          <w:lang w:eastAsia="zh-CN"/>
        </w:rPr>
        <w:t>深圳市人民政府</w:t>
      </w:r>
      <w:r>
        <w:rPr>
          <w:rFonts w:hint="eastAsia" w:ascii="宋体" w:hAnsi="宋体" w:eastAsia="宋体"/>
          <w:sz w:val="32"/>
          <w:szCs w:val="32"/>
          <w:highlight w:val="none"/>
        </w:rPr>
        <w:t>关于街道综合行政执法的公告</w:t>
      </w:r>
      <w:r>
        <w:rPr>
          <w:rFonts w:ascii="宋体" w:hAnsi="宋体" w:eastAsia="宋体"/>
          <w:sz w:val="32"/>
          <w:szCs w:val="32"/>
          <w:highlight w:val="none"/>
        </w:rPr>
        <w:t>》</w:t>
      </w:r>
      <w:r>
        <w:rPr>
          <w:rFonts w:hint="eastAsia" w:ascii="宋体" w:hAnsi="宋体" w:eastAsia="宋体"/>
          <w:sz w:val="32"/>
          <w:szCs w:val="32"/>
          <w:highlight w:val="none"/>
          <w:lang w:eastAsia="zh-CN"/>
        </w:rPr>
        <w:t>以及有关法律、行政法的基本原则</w:t>
      </w:r>
      <w:r>
        <w:rPr>
          <w:rFonts w:ascii="宋体" w:hAnsi="宋体" w:eastAsia="宋体"/>
          <w:sz w:val="32"/>
          <w:szCs w:val="32"/>
          <w:highlight w:val="none"/>
        </w:rPr>
        <w:t>，结合本市实际，制定本办法。</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本办法所称的街道综合行政执法公众评议，是指街道执法部门在对重大、复杂、社会影响大或者争议大的案件，作出行政处罚决定前，将案件提交给由公众评议员进行评议，并将评议结论作为行政处罚决定的重要参考。</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综合行政执法公众评议应当遵循公正、公平、公开、独立的原则。</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街道综合行政执法公众评议活动受市、区</w:t>
      </w:r>
      <w:r>
        <w:rPr>
          <w:rFonts w:ascii="宋体" w:hAnsi="宋体" w:eastAsia="宋体"/>
          <w:sz w:val="32"/>
          <w:szCs w:val="32"/>
          <w:highlight w:val="none"/>
        </w:rPr>
        <w:t>综合</w:t>
      </w:r>
      <w:r>
        <w:rPr>
          <w:rFonts w:hint="eastAsia" w:ascii="宋体" w:hAnsi="宋体" w:eastAsia="宋体"/>
          <w:sz w:val="32"/>
          <w:szCs w:val="32"/>
          <w:highlight w:val="none"/>
        </w:rPr>
        <w:t>行政</w:t>
      </w:r>
      <w:r>
        <w:rPr>
          <w:rFonts w:ascii="宋体" w:hAnsi="宋体" w:eastAsia="宋体"/>
          <w:sz w:val="32"/>
          <w:szCs w:val="32"/>
          <w:highlight w:val="none"/>
        </w:rPr>
        <w:t>执法部门</w:t>
      </w:r>
      <w:r>
        <w:rPr>
          <w:rFonts w:hint="eastAsia" w:ascii="宋体" w:hAnsi="宋体" w:eastAsia="宋体"/>
          <w:sz w:val="32"/>
          <w:szCs w:val="32"/>
          <w:highlight w:val="none"/>
          <w:lang w:eastAsia="zh-CN"/>
        </w:rPr>
        <w:t>、司法行政部门</w:t>
      </w:r>
      <w:r>
        <w:rPr>
          <w:rFonts w:hint="eastAsia" w:ascii="宋体" w:hAnsi="宋体" w:eastAsia="宋体"/>
          <w:sz w:val="32"/>
          <w:szCs w:val="32"/>
          <w:highlight w:val="none"/>
        </w:rPr>
        <w:t>的指导和监督。</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街道综合行政执法部门应当指定</w:t>
      </w:r>
      <w:r>
        <w:rPr>
          <w:rFonts w:ascii="宋体" w:hAnsi="宋体" w:eastAsia="宋体"/>
          <w:sz w:val="32"/>
          <w:szCs w:val="32"/>
          <w:highlight w:val="none"/>
        </w:rPr>
        <w:t>相关机构或者专人组织办理其管辖行政处罚案件的综合执法公众评议工作。</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lang w:eastAsia="zh-CN"/>
        </w:rPr>
        <w:t>公众评议员履行</w:t>
      </w:r>
      <w:r>
        <w:rPr>
          <w:rFonts w:hint="eastAsia" w:ascii="宋体" w:hAnsi="宋体" w:eastAsia="宋体"/>
          <w:sz w:val="32"/>
          <w:szCs w:val="32"/>
          <w:highlight w:val="none"/>
        </w:rPr>
        <w:t>综合行政执法公众评议活动</w:t>
      </w:r>
      <w:r>
        <w:rPr>
          <w:rFonts w:hint="eastAsia" w:ascii="宋体" w:hAnsi="宋体" w:eastAsia="宋体"/>
          <w:sz w:val="32"/>
          <w:szCs w:val="32"/>
          <w:highlight w:val="none"/>
          <w:lang w:eastAsia="zh-CN"/>
        </w:rPr>
        <w:t>依法受到法律的保护。</w:t>
      </w:r>
    </w:p>
    <w:p>
      <w:pPr>
        <w:spacing w:before="156" w:beforeLines="50" w:after="156" w:afterLines="50" w:line="360" w:lineRule="auto"/>
        <w:ind w:firstLine="720" w:firstLineChars="200"/>
        <w:jc w:val="center"/>
        <w:rPr>
          <w:rFonts w:hint="default" w:ascii="宋体" w:hAnsi="宋体" w:eastAsia="宋体"/>
          <w:sz w:val="32"/>
          <w:szCs w:val="32"/>
          <w:highlight w:val="none"/>
          <w:lang w:val="en-US" w:eastAsia="zh-CN"/>
        </w:rPr>
      </w:pPr>
      <w:r>
        <w:rPr>
          <w:rFonts w:hint="eastAsia" w:ascii="黑体" w:hAnsi="黑体" w:eastAsia="黑体" w:cs="黑体"/>
          <w:sz w:val="36"/>
          <w:szCs w:val="36"/>
          <w:highlight w:val="none"/>
          <w:lang w:val="en-US" w:eastAsia="zh-CN"/>
        </w:rPr>
        <w:t>第二章   公众评议案件范围</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街道综合行政执法部门办理下列重大、复杂、社会影响大或者争议大的行政处罚案件，</w:t>
      </w:r>
      <w:r>
        <w:rPr>
          <w:rFonts w:hint="eastAsia" w:ascii="宋体" w:hAnsi="宋体" w:eastAsia="宋体"/>
          <w:sz w:val="32"/>
          <w:szCs w:val="32"/>
          <w:highlight w:val="none"/>
          <w:lang w:eastAsia="zh-CN"/>
        </w:rPr>
        <w:t>经街道综合行政执法部门负责人批准，可以</w:t>
      </w:r>
      <w:r>
        <w:rPr>
          <w:rFonts w:hint="eastAsia" w:ascii="宋体" w:hAnsi="宋体" w:eastAsia="宋体"/>
          <w:sz w:val="32"/>
          <w:szCs w:val="32"/>
          <w:highlight w:val="none"/>
        </w:rPr>
        <w:t>按照本办法规定实行公众评议</w:t>
      </w:r>
      <w:r>
        <w:rPr>
          <w:rFonts w:hint="eastAsia" w:ascii="宋体" w:hAnsi="宋体" w:eastAsia="宋体"/>
          <w:sz w:val="32"/>
          <w:szCs w:val="32"/>
          <w:highlight w:val="none"/>
          <w:lang w:eastAsia="zh-CN"/>
        </w:rPr>
        <w:t>：</w:t>
      </w:r>
    </w:p>
    <w:p>
      <w:pPr>
        <w:pStyle w:val="8"/>
        <w:numPr>
          <w:ilvl w:val="0"/>
          <w:numId w:val="3"/>
        </w:numPr>
        <w:spacing w:before="156" w:beforeLines="50" w:after="156" w:afterLines="50" w:line="360" w:lineRule="auto"/>
        <w:ind w:left="0" w:firstLine="640" w:firstLineChars="0"/>
        <w:rPr>
          <w:rFonts w:ascii="宋体" w:hAnsi="宋体" w:eastAsia="宋体"/>
          <w:sz w:val="32"/>
          <w:szCs w:val="32"/>
          <w:highlight w:val="none"/>
        </w:rPr>
      </w:pPr>
      <w:r>
        <w:rPr>
          <w:rFonts w:hint="eastAsia" w:ascii="宋体" w:hAnsi="宋体" w:eastAsia="宋体"/>
          <w:sz w:val="32"/>
          <w:szCs w:val="32"/>
          <w:highlight w:val="none"/>
        </w:rPr>
        <w:t>对个人拟处以</w:t>
      </w:r>
      <w:r>
        <w:rPr>
          <w:rFonts w:ascii="宋体" w:hAnsi="宋体" w:eastAsia="宋体"/>
          <w:sz w:val="32"/>
          <w:szCs w:val="32"/>
          <w:highlight w:val="none"/>
        </w:rPr>
        <w:t>5万元以上10万以下罚款、对法人</w:t>
      </w:r>
      <w:r>
        <w:rPr>
          <w:rFonts w:hint="eastAsia" w:ascii="宋体" w:hAnsi="宋体" w:eastAsia="宋体"/>
          <w:sz w:val="32"/>
          <w:szCs w:val="32"/>
          <w:highlight w:val="none"/>
        </w:rPr>
        <w:t>或其他组织</w:t>
      </w:r>
      <w:r>
        <w:rPr>
          <w:rFonts w:ascii="宋体" w:hAnsi="宋体" w:eastAsia="宋体"/>
          <w:sz w:val="32"/>
          <w:szCs w:val="32"/>
          <w:highlight w:val="none"/>
        </w:rPr>
        <w:t>拟处以10万元以上100万元以下罚款，且当事人申请听证的；</w:t>
      </w:r>
    </w:p>
    <w:p>
      <w:pPr>
        <w:pStyle w:val="8"/>
        <w:numPr>
          <w:ilvl w:val="0"/>
          <w:numId w:val="3"/>
        </w:numPr>
        <w:spacing w:before="156" w:beforeLines="50" w:after="156" w:afterLines="50" w:line="360" w:lineRule="auto"/>
        <w:ind w:left="0" w:firstLine="640" w:firstLineChars="0"/>
        <w:rPr>
          <w:rFonts w:ascii="宋体" w:hAnsi="宋体" w:eastAsia="宋体"/>
          <w:sz w:val="32"/>
          <w:szCs w:val="32"/>
          <w:highlight w:val="none"/>
        </w:rPr>
      </w:pPr>
      <w:r>
        <w:rPr>
          <w:rFonts w:hint="eastAsia" w:ascii="宋体" w:hAnsi="宋体" w:eastAsia="宋体"/>
          <w:sz w:val="32"/>
          <w:szCs w:val="32"/>
          <w:highlight w:val="none"/>
        </w:rPr>
        <w:t>对个人拟处以</w:t>
      </w:r>
      <w:r>
        <w:rPr>
          <w:rFonts w:ascii="宋体" w:hAnsi="宋体" w:eastAsia="宋体"/>
          <w:sz w:val="32"/>
          <w:szCs w:val="32"/>
          <w:highlight w:val="none"/>
        </w:rPr>
        <w:t>10万元以上罚款，</w:t>
      </w:r>
      <w:r>
        <w:rPr>
          <w:rFonts w:hint="eastAsia" w:ascii="宋体" w:hAnsi="宋体" w:eastAsia="宋体"/>
          <w:sz w:val="32"/>
          <w:szCs w:val="32"/>
          <w:highlight w:val="none"/>
        </w:rPr>
        <w:t>对</w:t>
      </w:r>
      <w:r>
        <w:rPr>
          <w:rFonts w:ascii="宋体" w:hAnsi="宋体" w:eastAsia="宋体"/>
          <w:sz w:val="32"/>
          <w:szCs w:val="32"/>
          <w:highlight w:val="none"/>
        </w:rPr>
        <w:t>法人</w:t>
      </w:r>
      <w:r>
        <w:rPr>
          <w:rFonts w:hint="eastAsia" w:ascii="宋体" w:hAnsi="宋体" w:eastAsia="宋体"/>
          <w:sz w:val="32"/>
          <w:szCs w:val="32"/>
          <w:highlight w:val="none"/>
        </w:rPr>
        <w:t>或其他组织</w:t>
      </w:r>
      <w:r>
        <w:rPr>
          <w:rFonts w:ascii="宋体" w:hAnsi="宋体" w:eastAsia="宋体"/>
          <w:sz w:val="32"/>
          <w:szCs w:val="32"/>
          <w:highlight w:val="none"/>
        </w:rPr>
        <w:t>拟处以100万元以上罚款的；</w:t>
      </w:r>
    </w:p>
    <w:p>
      <w:pPr>
        <w:pStyle w:val="8"/>
        <w:numPr>
          <w:ilvl w:val="0"/>
          <w:numId w:val="3"/>
        </w:numPr>
        <w:spacing w:before="156" w:beforeLines="50" w:after="156" w:afterLines="50" w:line="360" w:lineRule="auto"/>
        <w:ind w:left="640" w:firstLine="0" w:firstLineChars="0"/>
        <w:rPr>
          <w:rFonts w:ascii="宋体" w:hAnsi="宋体" w:eastAsia="宋体"/>
          <w:sz w:val="32"/>
          <w:szCs w:val="32"/>
          <w:highlight w:val="none"/>
        </w:rPr>
      </w:pPr>
      <w:r>
        <w:rPr>
          <w:rFonts w:hint="eastAsia" w:ascii="宋体" w:hAnsi="宋体" w:eastAsia="宋体"/>
          <w:sz w:val="32"/>
          <w:szCs w:val="32"/>
          <w:highlight w:val="none"/>
        </w:rPr>
        <w:t>同一执法案件涉及行政相对人五人以上的；</w:t>
      </w:r>
    </w:p>
    <w:p>
      <w:pPr>
        <w:pStyle w:val="8"/>
        <w:numPr>
          <w:ilvl w:val="0"/>
          <w:numId w:val="3"/>
        </w:numPr>
        <w:spacing w:before="156" w:beforeLines="50" w:after="156" w:afterLines="50" w:line="360" w:lineRule="auto"/>
        <w:ind w:left="1200" w:hanging="560" w:firstLineChars="0"/>
        <w:rPr>
          <w:rFonts w:ascii="宋体" w:hAnsi="宋体" w:eastAsia="宋体"/>
          <w:sz w:val="32"/>
          <w:szCs w:val="32"/>
          <w:highlight w:val="none"/>
        </w:rPr>
      </w:pPr>
      <w:r>
        <w:rPr>
          <w:rFonts w:hint="eastAsia" w:ascii="宋体" w:hAnsi="宋体" w:eastAsia="宋体"/>
          <w:sz w:val="32"/>
          <w:szCs w:val="32"/>
          <w:highlight w:val="none"/>
        </w:rPr>
        <w:t>街道综合行政执法部门认定的其他案件。</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ascii="宋体" w:hAnsi="宋体" w:eastAsia="宋体"/>
          <w:sz w:val="32"/>
          <w:szCs w:val="32"/>
          <w:highlight w:val="none"/>
        </w:rPr>
        <w:t>涉及国家秘密、商业秘密、个人隐私的案件，上级部门交办督办的紧急案件，不实行公众评议。</w:t>
      </w:r>
    </w:p>
    <w:p>
      <w:pPr>
        <w:pStyle w:val="4"/>
        <w:numPr>
          <w:ilvl w:val="-1"/>
          <w:numId w:val="0"/>
        </w:numPr>
        <w:spacing w:line="456" w:lineRule="auto"/>
        <w:ind w:left="-4" w:firstLine="0"/>
        <w:jc w:val="center"/>
        <w:rPr>
          <w:rFonts w:hint="eastAsia" w:ascii="黑体" w:hAnsi="黑体" w:eastAsia="黑体" w:cs="黑体"/>
          <w:color w:val="333333"/>
          <w:sz w:val="36"/>
          <w:szCs w:val="36"/>
          <w:highlight w:val="none"/>
        </w:rPr>
      </w:pPr>
      <w:r>
        <w:rPr>
          <w:rFonts w:hint="eastAsia" w:ascii="黑体" w:hAnsi="黑体" w:eastAsia="黑体" w:cs="黑体"/>
          <w:color w:val="333333"/>
          <w:sz w:val="36"/>
          <w:szCs w:val="36"/>
          <w:highlight w:val="none"/>
          <w:lang w:eastAsia="zh-CN"/>
        </w:rPr>
        <w:t>第三章</w:t>
      </w:r>
      <w:r>
        <w:rPr>
          <w:rFonts w:hint="eastAsia" w:ascii="黑体" w:hAnsi="黑体" w:eastAsia="黑体" w:cs="黑体"/>
          <w:color w:val="333333"/>
          <w:sz w:val="36"/>
          <w:szCs w:val="36"/>
          <w:highlight w:val="none"/>
          <w:lang w:val="en-US" w:eastAsia="zh-CN"/>
        </w:rPr>
        <w:t xml:space="preserve">  </w:t>
      </w:r>
      <w:r>
        <w:rPr>
          <w:rFonts w:hint="eastAsia" w:ascii="黑体" w:hAnsi="黑体" w:eastAsia="黑体" w:cs="黑体"/>
          <w:color w:val="333333"/>
          <w:sz w:val="36"/>
          <w:szCs w:val="36"/>
          <w:highlight w:val="none"/>
        </w:rPr>
        <w:t>公众评议员</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公众评议员依法享有参加综合执法评议活动、独立发表意见、获得履职保障等权利。</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公众评议员应当忠实履行评议职责，保守评议秘密。</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公众评议员应当具备以下条件：</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（一）拥护中华人民共和国宪法；</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（二）年满十八周岁；</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（三）遵纪守法、品行良好、公道正派；</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（四）具有正常履行职责的身体条件。</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担任公众评议员，一般应当具有</w:t>
      </w:r>
      <w:r>
        <w:rPr>
          <w:rFonts w:hint="eastAsia" w:ascii="宋体" w:hAnsi="宋体" w:eastAsia="宋体"/>
          <w:sz w:val="32"/>
          <w:szCs w:val="32"/>
          <w:highlight w:val="none"/>
          <w:lang w:eastAsia="zh-CN"/>
        </w:rPr>
        <w:t>大专</w:t>
      </w:r>
      <w:r>
        <w:rPr>
          <w:rFonts w:hint="eastAsia" w:ascii="宋体" w:hAnsi="宋体" w:eastAsia="宋体"/>
          <w:sz w:val="32"/>
          <w:szCs w:val="32"/>
          <w:highlight w:val="none"/>
        </w:rPr>
        <w:t>以上文化程度。</w:t>
      </w:r>
    </w:p>
    <w:p>
      <w:pPr>
        <w:pStyle w:val="8"/>
        <w:numPr>
          <w:ilvl w:val="0"/>
          <w:numId w:val="2"/>
        </w:numPr>
        <w:spacing w:before="156" w:beforeLines="50" w:after="156" w:afterLines="50" w:line="360" w:lineRule="auto"/>
        <w:ind w:left="0" w:firstLine="480"/>
        <w:rPr>
          <w:rFonts w:hint="eastAsia" w:ascii="宋体" w:hAnsi="宋体" w:eastAsia="宋体"/>
          <w:sz w:val="32"/>
          <w:szCs w:val="32"/>
          <w:highlight w:val="none"/>
        </w:rPr>
      </w:pPr>
      <w:r>
        <w:rPr>
          <w:rFonts w:hint="eastAsia" w:ascii="宋体" w:hAnsi="宋体" w:eastAsia="宋体"/>
          <w:sz w:val="32"/>
          <w:szCs w:val="32"/>
          <w:highlight w:val="none"/>
        </w:rPr>
        <w:t>有下列情形之一的，不得担任公众评议员：</w:t>
      </w:r>
    </w:p>
    <w:p>
      <w:pPr>
        <w:pStyle w:val="8"/>
        <w:numPr>
          <w:ilvl w:val="-1"/>
          <w:numId w:val="0"/>
        </w:numPr>
        <w:spacing w:before="156" w:beforeLines="50" w:after="156" w:afterLines="50" w:line="360" w:lineRule="auto"/>
        <w:ind w:left="480" w:firstLine="0" w:firstLineChars="0"/>
        <w:rPr>
          <w:rFonts w:ascii="宋体" w:hAnsi="宋体" w:eastAsia="宋体"/>
          <w:sz w:val="32"/>
          <w:szCs w:val="32"/>
          <w:highlight w:val="none"/>
        </w:rPr>
      </w:pPr>
      <w:r>
        <w:rPr>
          <w:rFonts w:hint="eastAsia" w:ascii="宋体" w:hAnsi="宋体" w:eastAsia="宋体"/>
          <w:sz w:val="32"/>
          <w:szCs w:val="32"/>
          <w:highlight w:val="none"/>
          <w:lang w:eastAsia="zh-CN"/>
        </w:rPr>
        <w:t>（一）</w:t>
      </w:r>
      <w:r>
        <w:rPr>
          <w:rFonts w:hint="eastAsia" w:ascii="宋体" w:hAnsi="宋体" w:eastAsia="宋体"/>
          <w:sz w:val="32"/>
          <w:szCs w:val="32"/>
          <w:highlight w:val="none"/>
        </w:rPr>
        <w:t>受过刑事处罚的；</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（二）被开除公职的；</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（三）被纳入失信被执行人名单的；</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（四）因受惩戒被从公众评议员名单中除名的；</w:t>
      </w:r>
    </w:p>
    <w:p>
      <w:pPr>
        <w:pStyle w:val="8"/>
        <w:spacing w:before="156" w:beforeLines="50" w:after="156" w:afterLines="50" w:line="360" w:lineRule="auto"/>
        <w:ind w:left="480" w:firstLine="0" w:firstLineChars="0"/>
        <w:rPr>
          <w:rFonts w:ascii="宋体" w:hAnsi="宋体" w:eastAsia="宋体"/>
          <w:sz w:val="32"/>
          <w:szCs w:val="32"/>
          <w:highlight w:val="none"/>
        </w:rPr>
      </w:pPr>
      <w:r>
        <w:rPr>
          <w:rFonts w:hint="eastAsia" w:ascii="宋体" w:hAnsi="宋体" w:eastAsia="宋体"/>
          <w:sz w:val="32"/>
          <w:szCs w:val="32"/>
          <w:highlight w:val="none"/>
        </w:rPr>
        <w:t>（六）其他有严重违法违纪行为，可能影响</w:t>
      </w:r>
      <w:r>
        <w:rPr>
          <w:rFonts w:hint="eastAsia" w:ascii="宋体" w:hAnsi="宋体" w:eastAsia="宋体"/>
          <w:sz w:val="32"/>
          <w:szCs w:val="32"/>
          <w:highlight w:val="none"/>
          <w:lang w:eastAsia="zh-CN"/>
        </w:rPr>
        <w:t>评议</w:t>
      </w:r>
      <w:r>
        <w:rPr>
          <w:rFonts w:hint="eastAsia" w:ascii="宋体" w:hAnsi="宋体" w:eastAsia="宋体"/>
          <w:sz w:val="32"/>
          <w:szCs w:val="32"/>
          <w:highlight w:val="none"/>
        </w:rPr>
        <w:t>公正的。</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公众评议员的名额，由街道综合行政执法部门根据街道的实际情况，提请</w:t>
      </w:r>
      <w:r>
        <w:rPr>
          <w:rFonts w:hint="eastAsia" w:ascii="宋体" w:hAnsi="宋体" w:eastAsia="宋体"/>
          <w:sz w:val="32"/>
          <w:szCs w:val="32"/>
          <w:highlight w:val="none"/>
          <w:lang w:eastAsia="zh-CN"/>
        </w:rPr>
        <w:t>街道办事处</w:t>
      </w:r>
      <w:r>
        <w:rPr>
          <w:rFonts w:hint="eastAsia" w:ascii="宋体" w:hAnsi="宋体" w:eastAsia="宋体"/>
          <w:sz w:val="32"/>
          <w:szCs w:val="32"/>
          <w:highlight w:val="none"/>
        </w:rPr>
        <w:t>确定。</w:t>
      </w:r>
    </w:p>
    <w:p>
      <w:pPr>
        <w:pStyle w:val="8"/>
        <w:spacing w:before="156" w:beforeLines="50" w:after="156" w:afterLines="50" w:line="360" w:lineRule="auto"/>
        <w:ind w:left="480" w:firstLine="0" w:firstLineChars="0"/>
        <w:rPr>
          <w:rFonts w:hint="eastAsia" w:ascii="宋体" w:hAnsi="宋体" w:eastAsia="宋体"/>
          <w:sz w:val="32"/>
          <w:szCs w:val="32"/>
          <w:highlight w:val="none"/>
        </w:rPr>
      </w:pPr>
      <w:r>
        <w:rPr>
          <w:rFonts w:hint="eastAsia" w:ascii="宋体" w:hAnsi="宋体" w:eastAsia="宋体"/>
          <w:sz w:val="32"/>
          <w:szCs w:val="32"/>
          <w:highlight w:val="none"/>
        </w:rPr>
        <w:t>公众评议员的名额数不低于街道执法员人数的两倍。</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街道综合行政执法部门会同街道司法所，从街道辖区内的常住居民中抽选拟任命公众评议员人数三倍以上的人员作为公众评议员候选人，对公众评议员候选人进行资格审查，征求候选人意见。</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ascii="宋体" w:hAnsi="宋体" w:eastAsia="宋体"/>
          <w:sz w:val="32"/>
          <w:szCs w:val="32"/>
          <w:highlight w:val="none"/>
        </w:rPr>
        <w:t>街道综合行政执法部门会同街道司法所</w:t>
      </w:r>
      <w:r>
        <w:rPr>
          <w:rFonts w:hint="eastAsia" w:ascii="宋体" w:hAnsi="宋体" w:eastAsia="宋体"/>
          <w:sz w:val="32"/>
          <w:szCs w:val="32"/>
          <w:highlight w:val="none"/>
        </w:rPr>
        <w:t>，从通过资格审查的公众评议员候选人名单中确定公众评议员人选，由街道综合行政执法部门负责人提请街道</w:t>
      </w:r>
      <w:r>
        <w:rPr>
          <w:rFonts w:hint="eastAsia" w:ascii="宋体" w:hAnsi="宋体" w:eastAsia="宋体"/>
          <w:sz w:val="32"/>
          <w:szCs w:val="32"/>
          <w:highlight w:val="none"/>
          <w:lang w:eastAsia="zh-CN"/>
        </w:rPr>
        <w:t>办事处</w:t>
      </w:r>
      <w:r>
        <w:rPr>
          <w:rFonts w:hint="eastAsia" w:ascii="宋体" w:hAnsi="宋体" w:eastAsia="宋体"/>
          <w:sz w:val="32"/>
          <w:szCs w:val="32"/>
          <w:highlight w:val="none"/>
        </w:rPr>
        <w:t>任命并颁发聘用证书。</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因综合行政执法活动需要，可以通过个人申请和通过所在单位、户籍所在地或者经常居住地的基层群众性自治组织、人民团体推荐的方式产生公众评议员候选人，经街道司法所会同街道综合行政执法部门进行资格审查，确定公众评议员人选，由街道综合行政执法部门负责人提请街道</w:t>
      </w:r>
      <w:r>
        <w:rPr>
          <w:rFonts w:hint="eastAsia" w:ascii="宋体" w:hAnsi="宋体" w:eastAsia="宋体"/>
          <w:sz w:val="32"/>
          <w:szCs w:val="32"/>
          <w:highlight w:val="none"/>
          <w:lang w:eastAsia="zh-CN"/>
        </w:rPr>
        <w:t>办事处</w:t>
      </w:r>
      <w:r>
        <w:rPr>
          <w:rFonts w:hint="eastAsia" w:ascii="宋体" w:hAnsi="宋体" w:eastAsia="宋体"/>
          <w:sz w:val="32"/>
          <w:szCs w:val="32"/>
          <w:highlight w:val="none"/>
        </w:rPr>
        <w:t>任命并颁发聘用证书。</w:t>
      </w:r>
    </w:p>
    <w:p>
      <w:pPr>
        <w:pStyle w:val="8"/>
        <w:spacing w:before="156" w:beforeLines="50" w:after="156" w:afterLines="50" w:line="360" w:lineRule="auto"/>
        <w:ind w:left="0" w:firstLine="640" w:firstLineChars="200"/>
        <w:rPr>
          <w:rFonts w:ascii="宋体" w:hAnsi="宋体" w:eastAsia="宋体"/>
          <w:sz w:val="32"/>
          <w:szCs w:val="32"/>
          <w:highlight w:val="none"/>
        </w:rPr>
      </w:pPr>
      <w:r>
        <w:rPr>
          <w:rFonts w:hint="eastAsia" w:ascii="宋体" w:hAnsi="宋体" w:eastAsia="宋体"/>
          <w:sz w:val="32"/>
          <w:szCs w:val="32"/>
          <w:highlight w:val="none"/>
        </w:rPr>
        <w:t>依照前款规定产生的公众评议员，不得超过总公众评议员名额数的四分之一。</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公众评议员的任期</w:t>
      </w:r>
      <w:r>
        <w:rPr>
          <w:rFonts w:hint="eastAsia" w:ascii="宋体" w:hAnsi="宋体" w:eastAsia="宋体"/>
          <w:sz w:val="32"/>
          <w:szCs w:val="32"/>
          <w:highlight w:val="none"/>
          <w:lang w:eastAsia="zh-CN"/>
        </w:rPr>
        <w:t>一般</w:t>
      </w:r>
      <w:r>
        <w:rPr>
          <w:rFonts w:hint="eastAsia" w:ascii="宋体" w:hAnsi="宋体" w:eastAsia="宋体"/>
          <w:sz w:val="32"/>
          <w:szCs w:val="32"/>
          <w:highlight w:val="none"/>
        </w:rPr>
        <w:t>为</w:t>
      </w:r>
      <w:r>
        <w:rPr>
          <w:rFonts w:hint="eastAsia" w:ascii="宋体" w:hAnsi="宋体" w:eastAsia="宋体"/>
          <w:sz w:val="32"/>
          <w:szCs w:val="32"/>
          <w:highlight w:val="none"/>
          <w:lang w:eastAsia="zh-CN"/>
        </w:rPr>
        <w:t>三</w:t>
      </w:r>
      <w:r>
        <w:rPr>
          <w:rFonts w:hint="eastAsia" w:ascii="宋体" w:hAnsi="宋体" w:eastAsia="宋体"/>
          <w:sz w:val="32"/>
          <w:szCs w:val="32"/>
          <w:highlight w:val="none"/>
        </w:rPr>
        <w:t>年。</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在聘用期间，出现下列情形的，由街道综合行政执法部门负责人提请街道</w:t>
      </w:r>
      <w:r>
        <w:rPr>
          <w:rFonts w:hint="eastAsia" w:ascii="宋体" w:hAnsi="宋体" w:eastAsia="宋体"/>
          <w:sz w:val="32"/>
          <w:szCs w:val="32"/>
          <w:highlight w:val="none"/>
          <w:lang w:eastAsia="zh-CN"/>
        </w:rPr>
        <w:t>办事处</w:t>
      </w:r>
      <w:r>
        <w:rPr>
          <w:rFonts w:hint="eastAsia" w:ascii="宋体" w:hAnsi="宋体" w:eastAsia="宋体"/>
          <w:sz w:val="32"/>
          <w:szCs w:val="32"/>
          <w:highlight w:val="none"/>
        </w:rPr>
        <w:t>予以解聘：</w:t>
      </w:r>
    </w:p>
    <w:p>
      <w:pPr>
        <w:pStyle w:val="8"/>
        <w:numPr>
          <w:ilvl w:val="0"/>
          <w:numId w:val="4"/>
        </w:numPr>
        <w:spacing w:before="156" w:beforeLines="50" w:after="156" w:afterLines="50" w:line="360" w:lineRule="auto"/>
        <w:ind w:left="0" w:firstLine="640" w:firstLineChars="0"/>
        <w:rPr>
          <w:rFonts w:ascii="宋体" w:hAnsi="宋体" w:eastAsia="宋体"/>
          <w:sz w:val="32"/>
          <w:szCs w:val="32"/>
          <w:highlight w:val="none"/>
        </w:rPr>
      </w:pPr>
      <w:r>
        <w:rPr>
          <w:rFonts w:hint="eastAsia" w:ascii="宋体" w:hAnsi="宋体" w:eastAsia="宋体"/>
          <w:sz w:val="32"/>
          <w:szCs w:val="32"/>
          <w:highlight w:val="none"/>
        </w:rPr>
        <w:t>公众评议员向街道综合行政执法部门提交书面辞呈的；</w:t>
      </w:r>
    </w:p>
    <w:p>
      <w:pPr>
        <w:pStyle w:val="8"/>
        <w:numPr>
          <w:ilvl w:val="0"/>
          <w:numId w:val="4"/>
        </w:numPr>
        <w:spacing w:before="156" w:beforeLines="50" w:after="156" w:afterLines="50" w:line="360" w:lineRule="auto"/>
        <w:ind w:firstLineChars="0"/>
        <w:rPr>
          <w:rFonts w:ascii="宋体" w:hAnsi="宋体" w:eastAsia="宋体"/>
          <w:sz w:val="32"/>
          <w:szCs w:val="32"/>
          <w:highlight w:val="none"/>
        </w:rPr>
      </w:pPr>
      <w:r>
        <w:rPr>
          <w:rFonts w:hint="eastAsia" w:ascii="宋体" w:hAnsi="宋体" w:eastAsia="宋体"/>
          <w:sz w:val="32"/>
          <w:szCs w:val="32"/>
          <w:highlight w:val="none"/>
        </w:rPr>
        <w:t>不再符合本办法第十一条规定的条件的；</w:t>
      </w:r>
    </w:p>
    <w:p>
      <w:pPr>
        <w:pStyle w:val="8"/>
        <w:numPr>
          <w:ilvl w:val="0"/>
          <w:numId w:val="4"/>
        </w:numPr>
        <w:spacing w:before="156" w:beforeLines="50" w:after="156" w:afterLines="50" w:line="360" w:lineRule="auto"/>
        <w:ind w:firstLineChars="0"/>
        <w:rPr>
          <w:rFonts w:ascii="宋体" w:hAnsi="宋体" w:eastAsia="宋体"/>
          <w:sz w:val="32"/>
          <w:szCs w:val="32"/>
          <w:highlight w:val="none"/>
        </w:rPr>
      </w:pPr>
      <w:r>
        <w:rPr>
          <w:rFonts w:hint="eastAsia" w:ascii="宋体" w:hAnsi="宋体" w:eastAsia="宋体"/>
          <w:sz w:val="32"/>
          <w:szCs w:val="32"/>
          <w:highlight w:val="none"/>
        </w:rPr>
        <w:t>出现本办法第十二条规定的情形的；</w:t>
      </w:r>
    </w:p>
    <w:p>
      <w:pPr>
        <w:pStyle w:val="8"/>
        <w:numPr>
          <w:ilvl w:val="0"/>
          <w:numId w:val="4"/>
        </w:numPr>
        <w:spacing w:before="156" w:beforeLines="50" w:after="156" w:afterLines="50" w:line="360" w:lineRule="auto"/>
        <w:ind w:left="0" w:firstLine="419" w:firstLineChars="131"/>
        <w:rPr>
          <w:rFonts w:hint="eastAsia" w:ascii="宋体" w:hAnsi="宋体" w:eastAsia="宋体"/>
          <w:sz w:val="32"/>
          <w:szCs w:val="32"/>
          <w:highlight w:val="none"/>
        </w:rPr>
      </w:pPr>
      <w:r>
        <w:rPr>
          <w:rFonts w:hint="eastAsia" w:ascii="宋体" w:hAnsi="宋体" w:eastAsia="宋体"/>
          <w:sz w:val="32"/>
          <w:szCs w:val="32"/>
          <w:highlight w:val="none"/>
        </w:rPr>
        <w:t>一年内无特殊原因在收到通知后三次不参加案件评议活动的；</w:t>
      </w:r>
    </w:p>
    <w:p>
      <w:pPr>
        <w:pStyle w:val="8"/>
        <w:numPr>
          <w:ilvl w:val="0"/>
          <w:numId w:val="4"/>
        </w:numPr>
        <w:spacing w:before="156" w:beforeLines="50" w:after="156" w:afterLines="50" w:line="360" w:lineRule="auto"/>
        <w:ind w:firstLineChars="0"/>
        <w:rPr>
          <w:rFonts w:hint="eastAsia" w:ascii="宋体" w:hAnsi="宋体" w:eastAsia="宋体"/>
          <w:sz w:val="32"/>
          <w:szCs w:val="32"/>
          <w:highlight w:val="none"/>
        </w:rPr>
      </w:pPr>
      <w:r>
        <w:rPr>
          <w:rFonts w:hint="eastAsia" w:ascii="宋体" w:hAnsi="宋体" w:eastAsia="宋体"/>
          <w:sz w:val="32"/>
          <w:szCs w:val="32"/>
          <w:highlight w:val="none"/>
        </w:rPr>
        <w:t>违反本办法规定，造成不良后果的。</w:t>
      </w:r>
    </w:p>
    <w:p>
      <w:pPr>
        <w:pStyle w:val="4"/>
        <w:numPr>
          <w:ilvl w:val="-1"/>
          <w:numId w:val="0"/>
        </w:numPr>
        <w:spacing w:line="456" w:lineRule="auto"/>
        <w:ind w:left="-4" w:firstLine="0"/>
        <w:jc w:val="center"/>
        <w:rPr>
          <w:rFonts w:hint="eastAsia" w:ascii="黑体" w:hAnsi="黑体" w:eastAsia="黑体" w:cs="黑体"/>
          <w:color w:val="333333"/>
          <w:sz w:val="36"/>
          <w:szCs w:val="36"/>
          <w:highlight w:val="none"/>
        </w:rPr>
      </w:pPr>
      <w:r>
        <w:rPr>
          <w:rFonts w:hint="eastAsia" w:ascii="黑体" w:hAnsi="黑体" w:eastAsia="黑体" w:cs="黑体"/>
          <w:color w:val="333333"/>
          <w:sz w:val="36"/>
          <w:szCs w:val="36"/>
          <w:highlight w:val="none"/>
          <w:lang w:eastAsia="zh-CN"/>
        </w:rPr>
        <w:t>第四章</w:t>
      </w:r>
      <w:r>
        <w:rPr>
          <w:rFonts w:hint="eastAsia" w:ascii="黑体" w:hAnsi="黑体" w:eastAsia="黑体" w:cs="黑体"/>
          <w:color w:val="333333"/>
          <w:sz w:val="36"/>
          <w:szCs w:val="36"/>
          <w:highlight w:val="none"/>
          <w:lang w:val="en-US" w:eastAsia="zh-CN"/>
        </w:rPr>
        <w:t xml:space="preserve">  </w:t>
      </w:r>
      <w:r>
        <w:rPr>
          <w:rFonts w:hint="eastAsia" w:ascii="黑体" w:hAnsi="黑体" w:eastAsia="黑体" w:cs="黑体"/>
          <w:color w:val="333333"/>
          <w:sz w:val="36"/>
          <w:szCs w:val="36"/>
          <w:highlight w:val="none"/>
        </w:rPr>
        <w:t>公众评议程序</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街道综合行政执法部门承办的案件具有本办法第六条情形的，执法案件承办人应当在提出拟处理决定时一并将拟处理决定、案件卷宗材料包括立案呈批表、调查笔录、勘察笔录、现场照片等证据材料</w:t>
      </w:r>
      <w:r>
        <w:rPr>
          <w:rFonts w:hint="eastAsia" w:ascii="宋体" w:hAnsi="宋体" w:eastAsia="宋体"/>
          <w:sz w:val="32"/>
          <w:szCs w:val="32"/>
          <w:highlight w:val="none"/>
          <w:lang w:eastAsia="zh-CN"/>
        </w:rPr>
        <w:t>，提</w:t>
      </w:r>
      <w:r>
        <w:rPr>
          <w:rFonts w:hint="eastAsia" w:ascii="宋体" w:hAnsi="宋体" w:eastAsia="宋体"/>
          <w:sz w:val="32"/>
          <w:szCs w:val="32"/>
          <w:highlight w:val="none"/>
        </w:rPr>
        <w:t>交街道综合行政执法部门指定的公众评议办事机构或者专人进行公众评议准备。</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公众评议办事机构或者专人收到案件承办人移送的有关案件材料后，应当在</w:t>
      </w:r>
      <w:r>
        <w:rPr>
          <w:rFonts w:ascii="宋体" w:hAnsi="宋体" w:eastAsia="宋体"/>
          <w:sz w:val="32"/>
          <w:szCs w:val="32"/>
          <w:highlight w:val="none"/>
        </w:rPr>
        <w:t>3</w:t>
      </w:r>
      <w:r>
        <w:rPr>
          <w:rFonts w:hint="eastAsia" w:ascii="宋体" w:hAnsi="宋体" w:eastAsia="宋体"/>
          <w:sz w:val="32"/>
          <w:szCs w:val="32"/>
          <w:highlight w:val="none"/>
        </w:rPr>
        <w:t>日内进行审查。经审查认为符合应当进行公众评议的情形的，启动公众评议程序。</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街道综合行政执法部门实施行政处罚需要由公众评议员参加评议的，一般应当由三名公众评议员共同进行评议，特别重大的案件，应当由五名公众评议员进行评议。</w:t>
      </w:r>
    </w:p>
    <w:p>
      <w:pPr>
        <w:spacing w:before="156" w:beforeLines="50" w:after="156" w:afterLines="50" w:line="360" w:lineRule="auto"/>
        <w:ind w:firstLine="640" w:firstLineChars="200"/>
        <w:rPr>
          <w:rFonts w:ascii="宋体" w:hAnsi="宋体" w:eastAsia="宋体"/>
          <w:sz w:val="32"/>
          <w:szCs w:val="32"/>
          <w:highlight w:val="none"/>
        </w:rPr>
      </w:pPr>
      <w:r>
        <w:rPr>
          <w:rFonts w:hint="eastAsia" w:ascii="宋体" w:hAnsi="宋体" w:eastAsia="宋体"/>
          <w:sz w:val="32"/>
          <w:szCs w:val="32"/>
          <w:highlight w:val="none"/>
        </w:rPr>
        <w:t>参加评议的公众评议员应当在公众评议员名单中随机抽取确定。公众评议机构或专人应当从所确定的公众评议员中指定一人为评议主持人。</w:t>
      </w:r>
    </w:p>
    <w:p>
      <w:pPr>
        <w:pStyle w:val="8"/>
        <w:numPr>
          <w:ilvl w:val="0"/>
          <w:numId w:val="2"/>
        </w:numPr>
        <w:spacing w:before="156" w:beforeLines="50" w:after="156" w:afterLines="50" w:line="360" w:lineRule="auto"/>
        <w:ind w:left="0" w:firstLine="480"/>
        <w:rPr>
          <w:rFonts w:hint="eastAsia" w:ascii="宋体" w:hAnsi="宋体" w:eastAsia="宋体"/>
          <w:sz w:val="32"/>
          <w:szCs w:val="32"/>
          <w:highlight w:val="none"/>
        </w:rPr>
      </w:pPr>
      <w:r>
        <w:rPr>
          <w:rFonts w:hint="eastAsia" w:ascii="宋体" w:hAnsi="宋体" w:eastAsia="宋体"/>
          <w:sz w:val="32"/>
          <w:szCs w:val="32"/>
          <w:highlight w:val="none"/>
        </w:rPr>
        <w:t>公众评议员参加评议的案件与本人及其近亲属有利害关系的，应当向公众评议办事机构或专人说明情况并主动回避。公众评议员的回避由</w:t>
      </w:r>
      <w:r>
        <w:rPr>
          <w:rFonts w:ascii="宋体" w:hAnsi="宋体" w:eastAsia="宋体"/>
          <w:sz w:val="32"/>
          <w:szCs w:val="32"/>
          <w:highlight w:val="none"/>
        </w:rPr>
        <w:t>公众评议办事机构</w:t>
      </w:r>
      <w:r>
        <w:rPr>
          <w:rFonts w:hint="eastAsia" w:ascii="宋体" w:hAnsi="宋体" w:eastAsia="宋体"/>
          <w:sz w:val="32"/>
          <w:szCs w:val="32"/>
          <w:highlight w:val="none"/>
        </w:rPr>
        <w:t>或专人</w:t>
      </w:r>
      <w:r>
        <w:rPr>
          <w:rFonts w:ascii="宋体" w:hAnsi="宋体" w:eastAsia="宋体"/>
          <w:sz w:val="32"/>
          <w:szCs w:val="32"/>
          <w:highlight w:val="none"/>
        </w:rPr>
        <w:t>决定。</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参加案件评议的公众评议员确定后，公众评议办事机构或者专人应当在举行案件评议</w:t>
      </w: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个工作日前将评议案件的时间和地点通知参加案件公众评议的公众评议员和案件承办人，并应将</w:t>
      </w:r>
      <w:r>
        <w:rPr>
          <w:rFonts w:ascii="宋体" w:hAnsi="宋体" w:eastAsia="宋体"/>
          <w:sz w:val="32"/>
          <w:szCs w:val="32"/>
          <w:highlight w:val="none"/>
        </w:rPr>
        <w:t>拟处理决定（意见）书、案宗有关材料</w:t>
      </w:r>
      <w:r>
        <w:rPr>
          <w:rFonts w:hint="eastAsia" w:ascii="宋体" w:hAnsi="宋体" w:eastAsia="宋体"/>
          <w:sz w:val="32"/>
          <w:szCs w:val="32"/>
          <w:highlight w:val="none"/>
        </w:rPr>
        <w:t>发送给</w:t>
      </w:r>
      <w:r>
        <w:rPr>
          <w:rFonts w:ascii="宋体" w:hAnsi="宋体" w:eastAsia="宋体"/>
          <w:sz w:val="32"/>
          <w:szCs w:val="32"/>
          <w:highlight w:val="none"/>
        </w:rPr>
        <w:t>公众评议员</w:t>
      </w:r>
      <w:r>
        <w:rPr>
          <w:rFonts w:hint="eastAsia" w:ascii="宋体" w:hAnsi="宋体" w:eastAsia="宋体"/>
          <w:sz w:val="32"/>
          <w:szCs w:val="32"/>
          <w:highlight w:val="none"/>
        </w:rPr>
        <w:t>进行研究和审阅。</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案件评议工作应当依照下列步骤进行：</w:t>
      </w:r>
    </w:p>
    <w:p>
      <w:pPr>
        <w:pStyle w:val="8"/>
        <w:numPr>
          <w:ilvl w:val="0"/>
          <w:numId w:val="5"/>
        </w:numPr>
        <w:spacing w:before="156" w:beforeLines="50" w:after="156" w:afterLines="50" w:line="360" w:lineRule="auto"/>
        <w:ind w:left="0" w:leftChars="0" w:firstLine="419" w:firstLineChars="131"/>
        <w:rPr>
          <w:rFonts w:ascii="宋体" w:hAnsi="宋体" w:eastAsia="宋体"/>
          <w:sz w:val="32"/>
          <w:szCs w:val="32"/>
          <w:highlight w:val="none"/>
        </w:rPr>
      </w:pPr>
      <w:r>
        <w:rPr>
          <w:rFonts w:hint="eastAsia" w:ascii="宋体" w:hAnsi="宋体" w:eastAsia="宋体"/>
          <w:sz w:val="32"/>
          <w:szCs w:val="32"/>
          <w:highlight w:val="none"/>
        </w:rPr>
        <w:t>案件承办人向公众评议员介绍案情，说明拟处理决定（意见）的理由和依据；</w:t>
      </w:r>
    </w:p>
    <w:p>
      <w:pPr>
        <w:pStyle w:val="8"/>
        <w:numPr>
          <w:ilvl w:val="0"/>
          <w:numId w:val="5"/>
        </w:numPr>
        <w:spacing w:before="156" w:beforeLines="50" w:after="156" w:afterLines="50" w:line="360" w:lineRule="auto"/>
        <w:ind w:firstLineChars="0"/>
        <w:rPr>
          <w:rFonts w:ascii="宋体" w:hAnsi="宋体" w:eastAsia="宋体"/>
          <w:sz w:val="32"/>
          <w:szCs w:val="32"/>
          <w:highlight w:val="none"/>
        </w:rPr>
      </w:pPr>
      <w:r>
        <w:rPr>
          <w:rFonts w:hint="eastAsia" w:ascii="宋体" w:hAnsi="宋体" w:eastAsia="宋体"/>
          <w:sz w:val="32"/>
          <w:szCs w:val="32"/>
          <w:highlight w:val="none"/>
        </w:rPr>
        <w:t>案件承办人回答公众评议员提出的问题；</w:t>
      </w:r>
    </w:p>
    <w:p>
      <w:pPr>
        <w:numPr>
          <w:ilvl w:val="0"/>
          <w:numId w:val="5"/>
        </w:numPr>
        <w:spacing w:before="156" w:beforeLines="50" w:after="156" w:afterLines="50" w:line="360" w:lineRule="auto"/>
        <w:ind w:left="1200" w:hanging="720"/>
        <w:rPr>
          <w:rFonts w:hint="eastAsia" w:ascii="宋体" w:hAnsi="宋体" w:eastAsia="宋体"/>
          <w:sz w:val="32"/>
          <w:szCs w:val="32"/>
          <w:highlight w:val="none"/>
        </w:rPr>
      </w:pPr>
      <w:r>
        <w:rPr>
          <w:rFonts w:hint="eastAsia" w:ascii="宋体" w:hAnsi="宋体" w:eastAsia="宋体"/>
          <w:sz w:val="32"/>
          <w:szCs w:val="32"/>
          <w:highlight w:val="none"/>
        </w:rPr>
        <w:t>公众评议员进行独立评议和表决。</w:t>
      </w:r>
    </w:p>
    <w:p>
      <w:pPr>
        <w:numPr>
          <w:ilvl w:val="-1"/>
          <w:numId w:val="0"/>
        </w:numPr>
        <w:spacing w:before="156" w:beforeLines="50" w:after="156" w:afterLines="50" w:line="360" w:lineRule="auto"/>
        <w:ind w:left="0" w:firstLine="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 xml:space="preserve">   街道综合行政执法部门综合室（或案审部门）、驻队律师应当列席公众评议，接受公众评议员的询问。</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公众评议员在评议时，应当对案件事实的查明情况、法律适用情况、办案程序的合规情况等充分发表意见，并说明是否同意街道综合行政执法部门的拟处理决定（意见）。</w:t>
      </w:r>
    </w:p>
    <w:p>
      <w:pPr>
        <w:spacing w:before="156" w:beforeLines="50" w:after="156" w:afterLines="50" w:line="360" w:lineRule="auto"/>
        <w:ind w:firstLine="640" w:firstLineChars="200"/>
        <w:rPr>
          <w:rFonts w:ascii="宋体" w:hAnsi="宋体" w:eastAsia="宋体"/>
          <w:sz w:val="32"/>
          <w:szCs w:val="32"/>
          <w:highlight w:val="none"/>
        </w:rPr>
      </w:pPr>
      <w:r>
        <w:rPr>
          <w:rFonts w:hint="eastAsia" w:ascii="宋体" w:hAnsi="宋体" w:eastAsia="宋体"/>
          <w:sz w:val="32"/>
          <w:szCs w:val="32"/>
          <w:highlight w:val="none"/>
        </w:rPr>
        <w:t>公众评议员进行评议和表决时，案件承办人和其他工作人员应当回避。</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评议主持人应当场制作《公众评议员表决意见书》，说明表决情况、结果和理由。</w:t>
      </w:r>
    </w:p>
    <w:p>
      <w:pPr>
        <w:spacing w:before="156" w:beforeLines="50" w:after="156" w:afterLines="50" w:line="360" w:lineRule="auto"/>
        <w:ind w:firstLine="640" w:firstLineChars="200"/>
        <w:rPr>
          <w:rFonts w:ascii="宋体" w:hAnsi="宋体" w:eastAsia="宋体"/>
          <w:sz w:val="32"/>
          <w:szCs w:val="32"/>
          <w:highlight w:val="none"/>
        </w:rPr>
      </w:pPr>
      <w:r>
        <w:rPr>
          <w:rFonts w:hint="eastAsia" w:ascii="宋体" w:hAnsi="宋体" w:eastAsia="宋体"/>
          <w:sz w:val="32"/>
          <w:szCs w:val="32"/>
          <w:highlight w:val="none"/>
        </w:rPr>
        <w:t>公众评议员对案件评议意见不一致的，评议主持人应当组织公众评议员进行投票，并根据多数人的意见，形成表决意见。持不同意见的公众评议员的意见亦应当记录在案。</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承办行政处罚案件的街道综合行政执法部门在作出最终处理决定时应当将公众评议意见作为重要参考。</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rPr>
        <w:t>街道综合行政</w:t>
      </w:r>
      <w:r>
        <w:rPr>
          <w:rFonts w:ascii="宋体" w:hAnsi="宋体" w:eastAsia="宋体"/>
          <w:sz w:val="32"/>
          <w:szCs w:val="32"/>
          <w:highlight w:val="none"/>
        </w:rPr>
        <w:t>执法部门的拟处理决定与公众评议意见在案件事实认定、法律适用及行政处罚的种类、数额等方面存在重大分歧的，应将案件提交</w:t>
      </w:r>
      <w:r>
        <w:rPr>
          <w:rFonts w:hint="eastAsia" w:ascii="宋体" w:hAnsi="宋体" w:eastAsia="宋体"/>
          <w:sz w:val="32"/>
          <w:szCs w:val="32"/>
          <w:highlight w:val="none"/>
        </w:rPr>
        <w:t>街道</w:t>
      </w:r>
      <w:r>
        <w:rPr>
          <w:rFonts w:ascii="宋体" w:hAnsi="宋体" w:eastAsia="宋体"/>
          <w:sz w:val="32"/>
          <w:szCs w:val="32"/>
          <w:highlight w:val="none"/>
        </w:rPr>
        <w:t>综合</w:t>
      </w:r>
      <w:r>
        <w:rPr>
          <w:rFonts w:hint="eastAsia" w:ascii="宋体" w:hAnsi="宋体" w:eastAsia="宋体"/>
          <w:sz w:val="32"/>
          <w:szCs w:val="32"/>
          <w:highlight w:val="none"/>
        </w:rPr>
        <w:t>行政</w:t>
      </w:r>
      <w:r>
        <w:rPr>
          <w:rFonts w:ascii="宋体" w:hAnsi="宋体" w:eastAsia="宋体"/>
          <w:sz w:val="32"/>
          <w:szCs w:val="32"/>
          <w:highlight w:val="none"/>
        </w:rPr>
        <w:t>执法案审会进行讨论，由案审会作出最终决定。</w:t>
      </w:r>
    </w:p>
    <w:p>
      <w:pPr>
        <w:pStyle w:val="8"/>
        <w:numPr>
          <w:ilvl w:val="-1"/>
          <w:numId w:val="0"/>
        </w:numPr>
        <w:spacing w:before="156" w:beforeLines="50" w:after="156" w:afterLines="50" w:line="360" w:lineRule="auto"/>
        <w:ind w:left="0" w:leftChars="0" w:firstLine="640" w:firstLineChars="200"/>
        <w:rPr>
          <w:rFonts w:hint="eastAsia" w:ascii="宋体" w:hAnsi="宋体" w:eastAsia="宋体"/>
          <w:sz w:val="32"/>
          <w:szCs w:val="32"/>
          <w:highlight w:val="none"/>
          <w:lang w:eastAsia="zh-CN"/>
        </w:rPr>
      </w:pPr>
      <w:r>
        <w:rPr>
          <w:rFonts w:hint="eastAsia" w:ascii="宋体" w:hAnsi="宋体" w:eastAsia="宋体"/>
          <w:sz w:val="32"/>
          <w:szCs w:val="32"/>
          <w:highlight w:val="none"/>
          <w:lang w:eastAsia="zh-CN"/>
        </w:rPr>
        <w:t>街道综合行政执法部门应当邀请该案的公众评议员列席案审会。</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ascii="宋体" w:hAnsi="宋体" w:eastAsia="宋体"/>
          <w:sz w:val="32"/>
          <w:szCs w:val="32"/>
          <w:highlight w:val="none"/>
        </w:rPr>
        <w:t>案审委员会的</w:t>
      </w:r>
      <w:r>
        <w:rPr>
          <w:rFonts w:hint="eastAsia" w:ascii="宋体" w:hAnsi="宋体" w:eastAsia="宋体"/>
          <w:sz w:val="32"/>
          <w:szCs w:val="32"/>
          <w:highlight w:val="none"/>
        </w:rPr>
        <w:t>最终</w:t>
      </w:r>
      <w:r>
        <w:rPr>
          <w:rFonts w:ascii="宋体" w:hAnsi="宋体" w:eastAsia="宋体"/>
          <w:sz w:val="32"/>
          <w:szCs w:val="32"/>
          <w:highlight w:val="none"/>
        </w:rPr>
        <w:t>决定与公众评议意见不一致的，承办行政处罚案件的</w:t>
      </w:r>
      <w:r>
        <w:rPr>
          <w:rFonts w:hint="eastAsia" w:ascii="宋体" w:hAnsi="宋体" w:eastAsia="宋体"/>
          <w:sz w:val="32"/>
          <w:szCs w:val="32"/>
          <w:highlight w:val="none"/>
        </w:rPr>
        <w:t>街道综合行政</w:t>
      </w:r>
      <w:r>
        <w:rPr>
          <w:rFonts w:ascii="宋体" w:hAnsi="宋体" w:eastAsia="宋体"/>
          <w:sz w:val="32"/>
          <w:szCs w:val="32"/>
          <w:highlight w:val="none"/>
        </w:rPr>
        <w:t>执法部门应当于10个工作日内向</w:t>
      </w:r>
      <w:r>
        <w:rPr>
          <w:rFonts w:hint="eastAsia" w:ascii="宋体" w:hAnsi="宋体" w:eastAsia="宋体"/>
          <w:sz w:val="32"/>
          <w:szCs w:val="32"/>
          <w:highlight w:val="none"/>
        </w:rPr>
        <w:t>参见评议的</w:t>
      </w:r>
      <w:r>
        <w:rPr>
          <w:rFonts w:ascii="宋体" w:hAnsi="宋体" w:eastAsia="宋体"/>
          <w:sz w:val="32"/>
          <w:szCs w:val="32"/>
          <w:highlight w:val="none"/>
        </w:rPr>
        <w:t>公众评议员书面说明，同时将处理决定报区</w:t>
      </w:r>
      <w:r>
        <w:rPr>
          <w:rFonts w:hint="eastAsia" w:ascii="宋体" w:hAnsi="宋体" w:eastAsia="宋体"/>
          <w:sz w:val="32"/>
          <w:szCs w:val="32"/>
          <w:highlight w:val="none"/>
        </w:rPr>
        <w:t>司法局和街道</w:t>
      </w:r>
      <w:r>
        <w:rPr>
          <w:rFonts w:ascii="宋体" w:hAnsi="宋体" w:eastAsia="宋体"/>
          <w:sz w:val="32"/>
          <w:szCs w:val="32"/>
          <w:highlight w:val="none"/>
        </w:rPr>
        <w:t>综合</w:t>
      </w:r>
      <w:r>
        <w:rPr>
          <w:rFonts w:hint="eastAsia" w:ascii="宋体" w:hAnsi="宋体" w:eastAsia="宋体"/>
          <w:sz w:val="32"/>
          <w:szCs w:val="32"/>
          <w:highlight w:val="none"/>
        </w:rPr>
        <w:t>行政</w:t>
      </w:r>
      <w:r>
        <w:rPr>
          <w:rFonts w:ascii="宋体" w:hAnsi="宋体" w:eastAsia="宋体"/>
          <w:sz w:val="32"/>
          <w:szCs w:val="32"/>
          <w:highlight w:val="none"/>
        </w:rPr>
        <w:t>执法部门监察机构备案。</w:t>
      </w:r>
    </w:p>
    <w:p>
      <w:pPr>
        <w:pStyle w:val="4"/>
        <w:numPr>
          <w:ilvl w:val="-1"/>
          <w:numId w:val="0"/>
        </w:numPr>
        <w:spacing w:line="456" w:lineRule="auto"/>
        <w:ind w:left="-4" w:firstLine="0"/>
        <w:jc w:val="center"/>
        <w:rPr>
          <w:rFonts w:hint="eastAsia" w:ascii="黑体" w:hAnsi="黑体" w:eastAsia="黑体" w:cs="黑体"/>
          <w:color w:val="333333"/>
          <w:sz w:val="36"/>
          <w:szCs w:val="36"/>
          <w:highlight w:val="none"/>
        </w:rPr>
      </w:pPr>
      <w:r>
        <w:rPr>
          <w:rFonts w:hint="eastAsia" w:ascii="黑体" w:hAnsi="黑体" w:eastAsia="黑体" w:cs="黑体"/>
          <w:color w:val="333333"/>
          <w:sz w:val="36"/>
          <w:szCs w:val="36"/>
          <w:highlight w:val="none"/>
          <w:lang w:eastAsia="zh-CN"/>
        </w:rPr>
        <w:t>第五章</w:t>
      </w:r>
      <w:r>
        <w:rPr>
          <w:rFonts w:hint="eastAsia" w:ascii="黑体" w:hAnsi="黑体" w:eastAsia="黑体" w:cs="黑体"/>
          <w:color w:val="333333"/>
          <w:sz w:val="36"/>
          <w:szCs w:val="36"/>
          <w:highlight w:val="none"/>
          <w:lang w:val="en-US" w:eastAsia="zh-CN"/>
        </w:rPr>
        <w:t xml:space="preserve">  </w:t>
      </w:r>
      <w:r>
        <w:rPr>
          <w:rFonts w:hint="eastAsia" w:ascii="黑体" w:hAnsi="黑体" w:eastAsia="黑体" w:cs="黑体"/>
          <w:color w:val="333333"/>
          <w:sz w:val="36"/>
          <w:szCs w:val="36"/>
          <w:highlight w:val="none"/>
        </w:rPr>
        <w:t>附  则</w:t>
      </w:r>
    </w:p>
    <w:p>
      <w:pPr>
        <w:pStyle w:val="8"/>
        <w:numPr>
          <w:ilvl w:val="0"/>
          <w:numId w:val="2"/>
        </w:numPr>
        <w:spacing w:before="156" w:beforeLines="50" w:after="156" w:afterLines="50" w:line="360" w:lineRule="auto"/>
        <w:ind w:left="0" w:firstLine="480"/>
        <w:rPr>
          <w:rFonts w:hint="eastAsia" w:ascii="宋体" w:hAnsi="宋体" w:eastAsia="宋体"/>
          <w:sz w:val="32"/>
          <w:szCs w:val="32"/>
          <w:highlight w:val="none"/>
        </w:rPr>
      </w:pPr>
      <w:r>
        <w:rPr>
          <w:rFonts w:ascii="宋体" w:hAnsi="宋体" w:eastAsia="宋体"/>
          <w:sz w:val="32"/>
          <w:szCs w:val="32"/>
          <w:highlight w:val="none"/>
        </w:rPr>
        <w:t>依照本办法应当进行公众评议而</w:t>
      </w:r>
      <w:r>
        <w:rPr>
          <w:rFonts w:hint="eastAsia" w:ascii="宋体" w:hAnsi="宋体" w:eastAsia="宋体"/>
          <w:sz w:val="32"/>
          <w:szCs w:val="32"/>
          <w:highlight w:val="none"/>
        </w:rPr>
        <w:t>径行</w:t>
      </w:r>
      <w:r>
        <w:rPr>
          <w:rFonts w:ascii="宋体" w:hAnsi="宋体" w:eastAsia="宋体"/>
          <w:sz w:val="32"/>
          <w:szCs w:val="32"/>
          <w:highlight w:val="none"/>
        </w:rPr>
        <w:t>作出处理决定的，</w:t>
      </w:r>
      <w:r>
        <w:rPr>
          <w:rFonts w:hint="eastAsia" w:ascii="宋体" w:hAnsi="宋体" w:eastAsia="宋体"/>
          <w:sz w:val="32"/>
          <w:szCs w:val="32"/>
          <w:highlight w:val="none"/>
        </w:rPr>
        <w:t>街道综合行政</w:t>
      </w:r>
      <w:r>
        <w:rPr>
          <w:rFonts w:ascii="宋体" w:hAnsi="宋体" w:eastAsia="宋体"/>
          <w:sz w:val="32"/>
          <w:szCs w:val="32"/>
          <w:highlight w:val="none"/>
        </w:rPr>
        <w:t>执法监察机构应当予以通报</w:t>
      </w:r>
      <w:r>
        <w:rPr>
          <w:rFonts w:hint="eastAsia" w:ascii="宋体" w:hAnsi="宋体" w:eastAsia="宋体"/>
          <w:sz w:val="32"/>
          <w:szCs w:val="32"/>
          <w:highlight w:val="none"/>
          <w:lang w:eastAsia="zh-CN"/>
        </w:rPr>
        <w:t>或者</w:t>
      </w:r>
      <w:r>
        <w:rPr>
          <w:rFonts w:ascii="宋体" w:hAnsi="宋体" w:eastAsia="宋体"/>
          <w:sz w:val="32"/>
          <w:szCs w:val="32"/>
          <w:highlight w:val="none"/>
        </w:rPr>
        <w:t>批评。</w:t>
      </w:r>
      <w:r>
        <w:rPr>
          <w:rFonts w:hint="eastAsia" w:ascii="宋体" w:hAnsi="宋体" w:eastAsia="宋体"/>
          <w:sz w:val="32"/>
          <w:szCs w:val="32"/>
          <w:highlight w:val="none"/>
          <w:lang w:eastAsia="zh-CN"/>
        </w:rPr>
        <w:t>经街道综合行政执法负责人批准，</w:t>
      </w:r>
      <w:r>
        <w:rPr>
          <w:rFonts w:ascii="宋体" w:hAnsi="宋体" w:eastAsia="宋体"/>
          <w:sz w:val="32"/>
          <w:szCs w:val="32"/>
          <w:highlight w:val="none"/>
        </w:rPr>
        <w:t>必要时</w:t>
      </w:r>
      <w:r>
        <w:rPr>
          <w:rFonts w:hint="eastAsia" w:ascii="宋体" w:hAnsi="宋体" w:eastAsia="宋体"/>
          <w:sz w:val="32"/>
          <w:szCs w:val="32"/>
          <w:highlight w:val="none"/>
          <w:lang w:eastAsia="zh-CN"/>
        </w:rPr>
        <w:t>可以启动</w:t>
      </w:r>
      <w:r>
        <w:rPr>
          <w:rFonts w:ascii="宋体" w:hAnsi="宋体" w:eastAsia="宋体"/>
          <w:sz w:val="32"/>
          <w:szCs w:val="32"/>
          <w:highlight w:val="none"/>
        </w:rPr>
        <w:t>案件监督复查程序。</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ascii="宋体" w:hAnsi="宋体" w:eastAsia="宋体"/>
          <w:sz w:val="32"/>
          <w:szCs w:val="32"/>
          <w:highlight w:val="none"/>
        </w:rPr>
        <w:t>案件评议终结后，</w:t>
      </w:r>
      <w:r>
        <w:rPr>
          <w:rFonts w:hint="eastAsia" w:ascii="宋体" w:hAnsi="宋体" w:eastAsia="宋体"/>
          <w:sz w:val="32"/>
          <w:szCs w:val="32"/>
          <w:highlight w:val="none"/>
        </w:rPr>
        <w:t>街道综合行政执法</w:t>
      </w:r>
      <w:r>
        <w:rPr>
          <w:rFonts w:ascii="宋体" w:hAnsi="宋体" w:eastAsia="宋体"/>
          <w:sz w:val="32"/>
          <w:szCs w:val="32"/>
          <w:highlight w:val="none"/>
        </w:rPr>
        <w:t>评议办事机构</w:t>
      </w:r>
      <w:r>
        <w:rPr>
          <w:rFonts w:hint="eastAsia" w:ascii="宋体" w:hAnsi="宋体" w:eastAsia="宋体"/>
          <w:sz w:val="32"/>
          <w:szCs w:val="32"/>
          <w:highlight w:val="none"/>
        </w:rPr>
        <w:t>或专人</w:t>
      </w:r>
      <w:r>
        <w:rPr>
          <w:rFonts w:ascii="宋体" w:hAnsi="宋体" w:eastAsia="宋体"/>
          <w:sz w:val="32"/>
          <w:szCs w:val="32"/>
          <w:highlight w:val="none"/>
        </w:rPr>
        <w:t>应当对所有的文书和材料进行整理、归档</w:t>
      </w:r>
      <w:r>
        <w:rPr>
          <w:rFonts w:hint="eastAsia" w:ascii="宋体" w:hAnsi="宋体" w:eastAsia="宋体"/>
          <w:sz w:val="32"/>
          <w:szCs w:val="32"/>
          <w:highlight w:val="none"/>
          <w:lang w:eastAsia="zh-CN"/>
        </w:rPr>
        <w:t>，公众评议材料作为行政执法案卷组成部分纳入管理</w:t>
      </w:r>
      <w:r>
        <w:rPr>
          <w:rFonts w:ascii="宋体" w:hAnsi="宋体" w:eastAsia="宋体"/>
          <w:sz w:val="32"/>
          <w:szCs w:val="32"/>
          <w:highlight w:val="none"/>
        </w:rPr>
        <w:t>。</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hint="eastAsia" w:ascii="宋体" w:hAnsi="宋体" w:eastAsia="宋体"/>
          <w:sz w:val="32"/>
          <w:szCs w:val="32"/>
          <w:highlight w:val="none"/>
          <w:lang w:eastAsia="zh-CN"/>
        </w:rPr>
        <w:t>本办法由街道司法所负责解释。</w:t>
      </w:r>
    </w:p>
    <w:p>
      <w:pPr>
        <w:pStyle w:val="8"/>
        <w:numPr>
          <w:ilvl w:val="0"/>
          <w:numId w:val="2"/>
        </w:numPr>
        <w:spacing w:before="156" w:beforeLines="50" w:after="156" w:afterLines="50" w:line="360" w:lineRule="auto"/>
        <w:ind w:left="0" w:firstLine="480"/>
        <w:rPr>
          <w:rFonts w:ascii="宋体" w:hAnsi="宋体" w:eastAsia="宋体"/>
          <w:sz w:val="32"/>
          <w:szCs w:val="32"/>
          <w:highlight w:val="none"/>
        </w:rPr>
      </w:pPr>
      <w:r>
        <w:rPr>
          <w:rFonts w:ascii="宋体" w:hAnsi="宋体" w:eastAsia="宋体"/>
          <w:sz w:val="32"/>
          <w:szCs w:val="32"/>
          <w:highlight w:val="none"/>
        </w:rPr>
        <w:t>本办法自</w:t>
      </w:r>
      <w:r>
        <w:rPr>
          <w:rFonts w:hint="eastAsia" w:ascii="宋体" w:hAnsi="宋体" w:eastAsia="宋体"/>
          <w:sz w:val="32"/>
          <w:szCs w:val="32"/>
          <w:highlight w:val="none"/>
          <w:lang w:eastAsia="zh-CN"/>
        </w:rPr>
        <w:t>印发</w:t>
      </w:r>
      <w:r>
        <w:rPr>
          <w:rFonts w:ascii="宋体" w:hAnsi="宋体" w:eastAsia="宋体"/>
          <w:sz w:val="32"/>
          <w:szCs w:val="32"/>
          <w:highlight w:val="none"/>
        </w:rPr>
        <w:t>之日起施行。</w:t>
      </w:r>
    </w:p>
    <w:p>
      <w:pPr>
        <w:spacing w:before="156" w:beforeLines="50" w:after="156" w:afterLines="50" w:line="360" w:lineRule="auto"/>
        <w:rPr>
          <w:rFonts w:ascii="宋体" w:hAnsi="宋体" w:eastAsia="宋体"/>
          <w:sz w:val="32"/>
          <w:szCs w:val="32"/>
          <w:highlight w:val="none"/>
        </w:rPr>
      </w:pPr>
    </w:p>
    <w:sectPr>
      <w:footerReference r:id="rId3" w:type="default"/>
      <w:pgSz w:w="11906" w:h="16838"/>
      <w:pgMar w:top="1440" w:right="1800" w:bottom="1440" w:left="2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8325E"/>
    <w:multiLevelType w:val="multilevel"/>
    <w:tmpl w:val="02E8325E"/>
    <w:lvl w:ilvl="0" w:tentative="0">
      <w:start w:val="1"/>
      <w:numFmt w:val="japaneseCounting"/>
      <w:lvlText w:val="第%1章"/>
      <w:lvlJc w:val="left"/>
      <w:pPr>
        <w:ind w:left="4160" w:hanging="1280"/>
      </w:pPr>
      <w:rPr>
        <w:rFonts w:hint="default"/>
      </w:rPr>
    </w:lvl>
    <w:lvl w:ilvl="1" w:tentative="0">
      <w:start w:val="1"/>
      <w:numFmt w:val="lowerLetter"/>
      <w:lvlText w:val="%2)"/>
      <w:lvlJc w:val="left"/>
      <w:pPr>
        <w:ind w:left="3720" w:hanging="420"/>
      </w:pPr>
    </w:lvl>
    <w:lvl w:ilvl="2" w:tentative="0">
      <w:start w:val="1"/>
      <w:numFmt w:val="lowerRoman"/>
      <w:lvlText w:val="%3."/>
      <w:lvlJc w:val="right"/>
      <w:pPr>
        <w:ind w:left="4140" w:hanging="420"/>
      </w:pPr>
    </w:lvl>
    <w:lvl w:ilvl="3" w:tentative="0">
      <w:start w:val="1"/>
      <w:numFmt w:val="decimal"/>
      <w:lvlText w:val="%4."/>
      <w:lvlJc w:val="left"/>
      <w:pPr>
        <w:ind w:left="4560" w:hanging="420"/>
      </w:pPr>
    </w:lvl>
    <w:lvl w:ilvl="4" w:tentative="0">
      <w:start w:val="1"/>
      <w:numFmt w:val="lowerLetter"/>
      <w:lvlText w:val="%5)"/>
      <w:lvlJc w:val="left"/>
      <w:pPr>
        <w:ind w:left="4980" w:hanging="420"/>
      </w:pPr>
    </w:lvl>
    <w:lvl w:ilvl="5" w:tentative="0">
      <w:start w:val="1"/>
      <w:numFmt w:val="lowerRoman"/>
      <w:lvlText w:val="%6."/>
      <w:lvlJc w:val="right"/>
      <w:pPr>
        <w:ind w:left="5400" w:hanging="420"/>
      </w:pPr>
    </w:lvl>
    <w:lvl w:ilvl="6" w:tentative="0">
      <w:start w:val="1"/>
      <w:numFmt w:val="decimal"/>
      <w:lvlText w:val="%7."/>
      <w:lvlJc w:val="left"/>
      <w:pPr>
        <w:ind w:left="5820" w:hanging="420"/>
      </w:pPr>
    </w:lvl>
    <w:lvl w:ilvl="7" w:tentative="0">
      <w:start w:val="1"/>
      <w:numFmt w:val="lowerLetter"/>
      <w:lvlText w:val="%8)"/>
      <w:lvlJc w:val="left"/>
      <w:pPr>
        <w:ind w:left="6240" w:hanging="420"/>
      </w:pPr>
    </w:lvl>
    <w:lvl w:ilvl="8" w:tentative="0">
      <w:start w:val="1"/>
      <w:numFmt w:val="lowerRoman"/>
      <w:lvlText w:val="%9."/>
      <w:lvlJc w:val="right"/>
      <w:pPr>
        <w:ind w:left="6660" w:hanging="420"/>
      </w:pPr>
    </w:lvl>
  </w:abstractNum>
  <w:abstractNum w:abstractNumId="1">
    <w:nsid w:val="214229C5"/>
    <w:multiLevelType w:val="multilevel"/>
    <w:tmpl w:val="214229C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5EC3B22"/>
    <w:multiLevelType w:val="multilevel"/>
    <w:tmpl w:val="45EC3B22"/>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D764A64"/>
    <w:multiLevelType w:val="multilevel"/>
    <w:tmpl w:val="5D764A64"/>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1E606D5"/>
    <w:multiLevelType w:val="multilevel"/>
    <w:tmpl w:val="61E606D5"/>
    <w:lvl w:ilvl="0" w:tentative="0">
      <w:start w:val="1"/>
      <w:numFmt w:val="japaneseCounting"/>
      <w:lvlText w:val="第%1条"/>
      <w:lvlJc w:val="left"/>
      <w:pPr>
        <w:ind w:left="840" w:hanging="84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17"/>
    <w:rsid w:val="00001FC5"/>
    <w:rsid w:val="000042EE"/>
    <w:rsid w:val="00031797"/>
    <w:rsid w:val="000407EF"/>
    <w:rsid w:val="000935F1"/>
    <w:rsid w:val="000B4410"/>
    <w:rsid w:val="000D20A8"/>
    <w:rsid w:val="001129E4"/>
    <w:rsid w:val="00122BB5"/>
    <w:rsid w:val="00141F05"/>
    <w:rsid w:val="00157A00"/>
    <w:rsid w:val="001670B1"/>
    <w:rsid w:val="001A1143"/>
    <w:rsid w:val="001A1DE7"/>
    <w:rsid w:val="001D12F2"/>
    <w:rsid w:val="001E071E"/>
    <w:rsid w:val="001F52BC"/>
    <w:rsid w:val="001F6E22"/>
    <w:rsid w:val="0021199C"/>
    <w:rsid w:val="00246491"/>
    <w:rsid w:val="002A7272"/>
    <w:rsid w:val="002D57DF"/>
    <w:rsid w:val="002D5DBE"/>
    <w:rsid w:val="002E1F17"/>
    <w:rsid w:val="002F41B3"/>
    <w:rsid w:val="002F6714"/>
    <w:rsid w:val="00315439"/>
    <w:rsid w:val="00336557"/>
    <w:rsid w:val="00336E92"/>
    <w:rsid w:val="00353EB5"/>
    <w:rsid w:val="003B6898"/>
    <w:rsid w:val="003C58B9"/>
    <w:rsid w:val="003D575C"/>
    <w:rsid w:val="003D5DD5"/>
    <w:rsid w:val="003E5A2F"/>
    <w:rsid w:val="00404947"/>
    <w:rsid w:val="00443611"/>
    <w:rsid w:val="0045615C"/>
    <w:rsid w:val="00463EA0"/>
    <w:rsid w:val="00475688"/>
    <w:rsid w:val="00483B47"/>
    <w:rsid w:val="00490329"/>
    <w:rsid w:val="004C4265"/>
    <w:rsid w:val="004D1F90"/>
    <w:rsid w:val="004D4AC0"/>
    <w:rsid w:val="004E7080"/>
    <w:rsid w:val="004F261D"/>
    <w:rsid w:val="00504057"/>
    <w:rsid w:val="005665C5"/>
    <w:rsid w:val="00566FDA"/>
    <w:rsid w:val="00573F40"/>
    <w:rsid w:val="00575591"/>
    <w:rsid w:val="00593A4B"/>
    <w:rsid w:val="005A316B"/>
    <w:rsid w:val="005D57DA"/>
    <w:rsid w:val="005E0E6A"/>
    <w:rsid w:val="005E5115"/>
    <w:rsid w:val="00622A5F"/>
    <w:rsid w:val="0064038C"/>
    <w:rsid w:val="00653CFC"/>
    <w:rsid w:val="00653DD6"/>
    <w:rsid w:val="00664209"/>
    <w:rsid w:val="00680056"/>
    <w:rsid w:val="006803F5"/>
    <w:rsid w:val="006842C1"/>
    <w:rsid w:val="0069733C"/>
    <w:rsid w:val="006C2B17"/>
    <w:rsid w:val="006D315B"/>
    <w:rsid w:val="00735EFE"/>
    <w:rsid w:val="00736A55"/>
    <w:rsid w:val="00740825"/>
    <w:rsid w:val="007467CE"/>
    <w:rsid w:val="0076577C"/>
    <w:rsid w:val="00781336"/>
    <w:rsid w:val="0078285D"/>
    <w:rsid w:val="007C28ED"/>
    <w:rsid w:val="0081612D"/>
    <w:rsid w:val="008327C0"/>
    <w:rsid w:val="0084551B"/>
    <w:rsid w:val="00862C3E"/>
    <w:rsid w:val="0087415A"/>
    <w:rsid w:val="008850A7"/>
    <w:rsid w:val="00894015"/>
    <w:rsid w:val="008F6B99"/>
    <w:rsid w:val="00927E0C"/>
    <w:rsid w:val="009369D1"/>
    <w:rsid w:val="009673E1"/>
    <w:rsid w:val="009A401E"/>
    <w:rsid w:val="009A7A07"/>
    <w:rsid w:val="009C39A0"/>
    <w:rsid w:val="009C4938"/>
    <w:rsid w:val="009D21A2"/>
    <w:rsid w:val="009E1B57"/>
    <w:rsid w:val="009E39CC"/>
    <w:rsid w:val="009E5ED0"/>
    <w:rsid w:val="009F27AF"/>
    <w:rsid w:val="00A11B88"/>
    <w:rsid w:val="00A13C28"/>
    <w:rsid w:val="00A15802"/>
    <w:rsid w:val="00A3492D"/>
    <w:rsid w:val="00A3673F"/>
    <w:rsid w:val="00A47C1E"/>
    <w:rsid w:val="00A615ED"/>
    <w:rsid w:val="00A7732A"/>
    <w:rsid w:val="00A93B4F"/>
    <w:rsid w:val="00AA0084"/>
    <w:rsid w:val="00AC3641"/>
    <w:rsid w:val="00AD0099"/>
    <w:rsid w:val="00AF72FA"/>
    <w:rsid w:val="00B006A3"/>
    <w:rsid w:val="00B12EB9"/>
    <w:rsid w:val="00B14EF8"/>
    <w:rsid w:val="00B171C9"/>
    <w:rsid w:val="00B2004B"/>
    <w:rsid w:val="00B25634"/>
    <w:rsid w:val="00B56C24"/>
    <w:rsid w:val="00B6385B"/>
    <w:rsid w:val="00B80865"/>
    <w:rsid w:val="00B82EE4"/>
    <w:rsid w:val="00B97B13"/>
    <w:rsid w:val="00BB1467"/>
    <w:rsid w:val="00BC02A4"/>
    <w:rsid w:val="00BC6502"/>
    <w:rsid w:val="00BC652E"/>
    <w:rsid w:val="00BD0F7A"/>
    <w:rsid w:val="00BD6DF6"/>
    <w:rsid w:val="00C02B58"/>
    <w:rsid w:val="00C04379"/>
    <w:rsid w:val="00C26882"/>
    <w:rsid w:val="00C35BDC"/>
    <w:rsid w:val="00C50E44"/>
    <w:rsid w:val="00C52674"/>
    <w:rsid w:val="00C53382"/>
    <w:rsid w:val="00CA49FA"/>
    <w:rsid w:val="00CB32ED"/>
    <w:rsid w:val="00CB7B23"/>
    <w:rsid w:val="00D23F85"/>
    <w:rsid w:val="00D35E92"/>
    <w:rsid w:val="00D40B5B"/>
    <w:rsid w:val="00D632D2"/>
    <w:rsid w:val="00D64AA2"/>
    <w:rsid w:val="00D7334A"/>
    <w:rsid w:val="00D86615"/>
    <w:rsid w:val="00D87353"/>
    <w:rsid w:val="00D946E6"/>
    <w:rsid w:val="00DB6C67"/>
    <w:rsid w:val="00DC318A"/>
    <w:rsid w:val="00DD594F"/>
    <w:rsid w:val="00DE3CFA"/>
    <w:rsid w:val="00DE7A7B"/>
    <w:rsid w:val="00DF303D"/>
    <w:rsid w:val="00E30CD8"/>
    <w:rsid w:val="00E37708"/>
    <w:rsid w:val="00E5164A"/>
    <w:rsid w:val="00E52A6F"/>
    <w:rsid w:val="00E70D5A"/>
    <w:rsid w:val="00E72D33"/>
    <w:rsid w:val="00E83144"/>
    <w:rsid w:val="00E84C19"/>
    <w:rsid w:val="00E85ED2"/>
    <w:rsid w:val="00E86FD9"/>
    <w:rsid w:val="00EA3288"/>
    <w:rsid w:val="00EB1136"/>
    <w:rsid w:val="00EC4688"/>
    <w:rsid w:val="00EF164D"/>
    <w:rsid w:val="00F134D8"/>
    <w:rsid w:val="00F31E2E"/>
    <w:rsid w:val="00F440DE"/>
    <w:rsid w:val="00F81E83"/>
    <w:rsid w:val="00F8669D"/>
    <w:rsid w:val="00F93D9B"/>
    <w:rsid w:val="00FB1918"/>
    <w:rsid w:val="00FB761C"/>
    <w:rsid w:val="00FD5EEE"/>
    <w:rsid w:val="00FE5807"/>
    <w:rsid w:val="00FF2537"/>
    <w:rsid w:val="00FF30FF"/>
    <w:rsid w:val="00FF5B58"/>
    <w:rsid w:val="017C3EF2"/>
    <w:rsid w:val="01E5568F"/>
    <w:rsid w:val="03F206B6"/>
    <w:rsid w:val="046F00CA"/>
    <w:rsid w:val="07E534BC"/>
    <w:rsid w:val="08D8085C"/>
    <w:rsid w:val="0EFE357B"/>
    <w:rsid w:val="13AD6102"/>
    <w:rsid w:val="148020F6"/>
    <w:rsid w:val="1D13576B"/>
    <w:rsid w:val="211A5D64"/>
    <w:rsid w:val="22961B6D"/>
    <w:rsid w:val="2846220B"/>
    <w:rsid w:val="2A491A34"/>
    <w:rsid w:val="341E19C5"/>
    <w:rsid w:val="34AC4BFE"/>
    <w:rsid w:val="35075D73"/>
    <w:rsid w:val="356F456A"/>
    <w:rsid w:val="3C020D67"/>
    <w:rsid w:val="3CA70B22"/>
    <w:rsid w:val="3F0D036F"/>
    <w:rsid w:val="424F47D0"/>
    <w:rsid w:val="461B160B"/>
    <w:rsid w:val="4ABB4B22"/>
    <w:rsid w:val="4D6818DA"/>
    <w:rsid w:val="53154321"/>
    <w:rsid w:val="54630651"/>
    <w:rsid w:val="54B64FA5"/>
    <w:rsid w:val="5ACC67C6"/>
    <w:rsid w:val="5AD22E0A"/>
    <w:rsid w:val="5F1620AA"/>
    <w:rsid w:val="615D2993"/>
    <w:rsid w:val="626E5EA5"/>
    <w:rsid w:val="62D02A6B"/>
    <w:rsid w:val="62D94925"/>
    <w:rsid w:val="69EA0ED2"/>
    <w:rsid w:val="6AED1D56"/>
    <w:rsid w:val="6B2759F0"/>
    <w:rsid w:val="6CB42144"/>
    <w:rsid w:val="71497F27"/>
    <w:rsid w:val="73FE68BF"/>
    <w:rsid w:val="761E0A16"/>
    <w:rsid w:val="777D1B4C"/>
    <w:rsid w:val="7E7F0AF7"/>
    <w:rsid w:val="7E8E2DBA"/>
    <w:rsid w:val="FBFF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Char"/>
    <w:basedOn w:val="1"/>
    <w:qFormat/>
    <w:uiPriority w:val="0"/>
    <w:pPr>
      <w:jc w:val="center"/>
    </w:pPr>
    <w:rPr>
      <w:rFonts w:ascii="Times New Roman" w:hAnsi="Times New Roman" w:eastAsia="宋体" w:cs="Times New Roman"/>
      <w:szCs w:val="20"/>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414</Words>
  <Characters>2365</Characters>
  <Lines>19</Lines>
  <Paragraphs>5</Paragraphs>
  <TotalTime>157</TotalTime>
  <ScaleCrop>false</ScaleCrop>
  <LinksUpToDate>false</LinksUpToDate>
  <CharactersWithSpaces>2774</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2021-08-06T14:37:00Z</dcterms:created>
  <dc:creator>Zhou, Yuan /ZL</dc:creator>
  <cp:lastModifiedBy>chenxiangfan</cp:lastModifiedBy>
  <dcterms:modified xsi:type="dcterms:W3CDTF">2023-03-29T16:04:22Z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716BD7A4408C236DC0F023642A6341FB</vt:lpwstr>
  </property>
</Properties>
</file>