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rPr>
          <w:rFonts w:ascii="仿宋" w:hAnsi="仿宋" w:eastAsia="仿宋" w:cs="仿宋"/>
          <w:sz w:val="32"/>
          <w:szCs w:val="32"/>
        </w:rPr>
      </w:pPr>
      <w:r>
        <w:rPr>
          <w:rFonts w:hint="eastAsia" w:ascii="仿宋" w:hAnsi="仿宋" w:eastAsia="仿宋" w:cs="仿宋"/>
          <w:sz w:val="32"/>
          <w:szCs w:val="32"/>
        </w:rPr>
        <w:t>附件：</w:t>
      </w:r>
    </w:p>
    <w:p>
      <w:pPr>
        <w:spacing w:before="156" w:beforeLines="50" w:after="156" w:afterLines="50" w:line="360" w:lineRule="auto"/>
        <w:jc w:val="center"/>
        <w:rPr>
          <w:rFonts w:ascii="方正小标宋简体" w:hAnsi="宋体" w:eastAsia="方正小标宋简体"/>
          <w:sz w:val="36"/>
          <w:szCs w:val="40"/>
        </w:rPr>
      </w:pPr>
      <w:r>
        <w:rPr>
          <w:rFonts w:hint="eastAsia" w:ascii="方正小标宋简体" w:hAnsi="宋体" w:eastAsia="方正小标宋简体"/>
          <w:sz w:val="36"/>
          <w:szCs w:val="40"/>
        </w:rPr>
        <w:t>深圳市福田区香蜜湖街道综合行政执法公众评议办法</w:t>
      </w:r>
    </w:p>
    <w:p>
      <w:pPr>
        <w:spacing w:before="156" w:beforeLines="50" w:after="156" w:afterLines="50" w:line="360" w:lineRule="auto"/>
        <w:jc w:val="center"/>
        <w:rPr>
          <w:rFonts w:ascii="方正小标宋简体" w:hAnsi="宋体" w:eastAsia="方正小标宋简体"/>
          <w:sz w:val="36"/>
          <w:szCs w:val="40"/>
        </w:rPr>
      </w:pPr>
      <w:r>
        <w:rPr>
          <w:rFonts w:hint="eastAsia" w:ascii="方正小标宋简体" w:hAnsi="宋体" w:eastAsia="方正小标宋简体"/>
          <w:sz w:val="36"/>
          <w:szCs w:val="40"/>
        </w:rPr>
        <w:t>（草案）</w:t>
      </w:r>
    </w:p>
    <w:p>
      <w:pPr>
        <w:pStyle w:val="4"/>
        <w:numPr>
          <w:ilvl w:val="0"/>
          <w:numId w:val="1"/>
        </w:numPr>
        <w:spacing w:line="456" w:lineRule="auto"/>
        <w:ind w:left="1276"/>
        <w:jc w:val="center"/>
        <w:rPr>
          <w:rFonts w:ascii="黑体" w:hAnsi="黑体" w:eastAsia="黑体" w:cs="黑体"/>
          <w:color w:val="333333"/>
          <w:sz w:val="28"/>
          <w:szCs w:val="28"/>
        </w:rPr>
      </w:pPr>
      <w:r>
        <w:rPr>
          <w:rFonts w:hint="eastAsia" w:ascii="黑体" w:hAnsi="黑体" w:eastAsia="黑体" w:cs="黑体"/>
          <w:color w:val="333333"/>
          <w:sz w:val="28"/>
          <w:szCs w:val="28"/>
        </w:rPr>
        <w:t>总  则</w:t>
      </w:r>
    </w:p>
    <w:p>
      <w:pPr>
        <w:pStyle w:val="8"/>
        <w:numPr>
          <w:ilvl w:val="0"/>
          <w:numId w:val="2"/>
        </w:numPr>
        <w:spacing w:before="156" w:beforeLines="50" w:after="156" w:afterLines="50" w:line="360" w:lineRule="auto"/>
        <w:ind w:left="0" w:firstLine="480"/>
        <w:rPr>
          <w:rFonts w:ascii="宋体" w:hAnsi="宋体" w:eastAsia="宋体"/>
          <w:sz w:val="24"/>
          <w:szCs w:val="28"/>
        </w:rPr>
      </w:pPr>
      <w:r>
        <w:rPr>
          <w:rFonts w:ascii="宋体" w:hAnsi="宋体" w:eastAsia="宋体"/>
          <w:sz w:val="24"/>
          <w:szCs w:val="28"/>
        </w:rPr>
        <w:t>为加强对</w:t>
      </w:r>
      <w:r>
        <w:rPr>
          <w:rFonts w:hint="eastAsia" w:ascii="宋体" w:hAnsi="宋体" w:eastAsia="宋体"/>
          <w:sz w:val="24"/>
          <w:szCs w:val="28"/>
        </w:rPr>
        <w:t>街道综合行政</w:t>
      </w:r>
      <w:r>
        <w:rPr>
          <w:rFonts w:ascii="宋体" w:hAnsi="宋体" w:eastAsia="宋体"/>
          <w:sz w:val="24"/>
          <w:szCs w:val="28"/>
        </w:rPr>
        <w:t>执法的监督，</w:t>
      </w:r>
      <w:r>
        <w:rPr>
          <w:rFonts w:hint="eastAsia" w:ascii="宋体" w:hAnsi="宋体" w:eastAsia="宋体"/>
          <w:sz w:val="24"/>
          <w:szCs w:val="28"/>
        </w:rPr>
        <w:t>确保街道综合行政</w:t>
      </w:r>
      <w:r>
        <w:rPr>
          <w:rFonts w:ascii="宋体" w:hAnsi="宋体" w:eastAsia="宋体"/>
          <w:sz w:val="24"/>
          <w:szCs w:val="28"/>
        </w:rPr>
        <w:t>执法部门依法公正地作出行政处罚决定，维护公民、法人或者其他组织的合法权益，根据《中华人民共和国行政处罚法》</w:t>
      </w:r>
      <w:r>
        <w:rPr>
          <w:rFonts w:hint="eastAsia" w:ascii="宋体" w:hAnsi="宋体" w:eastAsia="宋体"/>
          <w:sz w:val="24"/>
          <w:szCs w:val="28"/>
        </w:rPr>
        <w:t>《深圳经济特区城市管理综合执法条例》</w:t>
      </w:r>
      <w:r>
        <w:rPr>
          <w:rFonts w:ascii="宋体" w:hAnsi="宋体" w:eastAsia="宋体"/>
          <w:sz w:val="24"/>
          <w:szCs w:val="28"/>
        </w:rPr>
        <w:t>和《</w:t>
      </w:r>
      <w:bookmarkStart w:id="0" w:name="_GoBack"/>
      <w:bookmarkEnd w:id="0"/>
      <w:r>
        <w:rPr>
          <w:rFonts w:hint="eastAsia" w:ascii="宋体" w:hAnsi="宋体" w:eastAsia="宋体"/>
          <w:sz w:val="24"/>
          <w:szCs w:val="28"/>
          <w:lang w:eastAsia="zh-CN"/>
        </w:rPr>
        <w:t>深圳市人民政府</w:t>
      </w:r>
      <w:r>
        <w:rPr>
          <w:rFonts w:hint="eastAsia" w:ascii="宋体" w:hAnsi="宋体" w:eastAsia="宋体"/>
          <w:sz w:val="24"/>
          <w:szCs w:val="28"/>
        </w:rPr>
        <w:t>关于街道综合行政执法的公告</w:t>
      </w:r>
      <w:r>
        <w:rPr>
          <w:rFonts w:ascii="宋体" w:hAnsi="宋体" w:eastAsia="宋体"/>
          <w:sz w:val="24"/>
          <w:szCs w:val="28"/>
        </w:rPr>
        <w:t>》</w:t>
      </w:r>
      <w:r>
        <w:rPr>
          <w:rFonts w:hint="eastAsia" w:ascii="宋体" w:hAnsi="宋体" w:eastAsia="宋体"/>
          <w:sz w:val="24"/>
          <w:szCs w:val="28"/>
        </w:rPr>
        <w:t>以及有关法律、行政法的基本原则</w:t>
      </w:r>
      <w:r>
        <w:rPr>
          <w:rFonts w:ascii="宋体" w:hAnsi="宋体" w:eastAsia="宋体"/>
          <w:sz w:val="24"/>
          <w:szCs w:val="28"/>
        </w:rPr>
        <w:t>，结合本市实际，制定本办法。</w:t>
      </w:r>
    </w:p>
    <w:p>
      <w:pPr>
        <w:pStyle w:val="8"/>
        <w:numPr>
          <w:ilvl w:val="0"/>
          <w:numId w:val="2"/>
        </w:numPr>
        <w:spacing w:before="156" w:beforeLines="50" w:after="156" w:afterLines="50" w:line="360" w:lineRule="auto"/>
        <w:ind w:left="0" w:firstLine="480"/>
        <w:rPr>
          <w:rFonts w:ascii="宋体" w:hAnsi="宋体" w:eastAsia="宋体"/>
          <w:sz w:val="24"/>
          <w:szCs w:val="28"/>
        </w:rPr>
      </w:pPr>
      <w:r>
        <w:rPr>
          <w:rFonts w:hint="eastAsia" w:ascii="宋体" w:hAnsi="宋体" w:eastAsia="宋体"/>
          <w:sz w:val="24"/>
          <w:szCs w:val="28"/>
        </w:rPr>
        <w:t>本办法所称的街道综合行政执法公众评议，是指街道执法部门在对重大、复杂、社会影响大或者争议大的案件，作出行政处罚决定前，将案件提交给由公众评议员进行评议，并将评议结论作为行政处罚决定的重要参考。</w:t>
      </w:r>
    </w:p>
    <w:p>
      <w:pPr>
        <w:pStyle w:val="8"/>
        <w:numPr>
          <w:ilvl w:val="0"/>
          <w:numId w:val="2"/>
        </w:numPr>
        <w:spacing w:before="156" w:beforeLines="50" w:after="156" w:afterLines="50" w:line="360" w:lineRule="auto"/>
        <w:ind w:left="0" w:firstLine="480"/>
        <w:rPr>
          <w:rFonts w:ascii="宋体" w:hAnsi="宋体" w:eastAsia="宋体"/>
          <w:sz w:val="24"/>
          <w:szCs w:val="28"/>
        </w:rPr>
      </w:pPr>
      <w:r>
        <w:rPr>
          <w:rFonts w:hint="eastAsia" w:ascii="宋体" w:hAnsi="宋体" w:eastAsia="宋体"/>
          <w:sz w:val="24"/>
          <w:szCs w:val="28"/>
        </w:rPr>
        <w:t>综合行政执法公众评议应当遵循公正、公平、公开、独立的原则。</w:t>
      </w:r>
    </w:p>
    <w:p>
      <w:pPr>
        <w:pStyle w:val="8"/>
        <w:numPr>
          <w:ilvl w:val="0"/>
          <w:numId w:val="2"/>
        </w:numPr>
        <w:spacing w:before="156" w:beforeLines="50" w:after="156" w:afterLines="50" w:line="360" w:lineRule="auto"/>
        <w:ind w:left="0" w:firstLine="480"/>
        <w:rPr>
          <w:rFonts w:ascii="宋体" w:hAnsi="宋体" w:eastAsia="宋体"/>
          <w:sz w:val="24"/>
          <w:szCs w:val="28"/>
        </w:rPr>
      </w:pPr>
      <w:r>
        <w:rPr>
          <w:rFonts w:hint="eastAsia" w:ascii="宋体" w:hAnsi="宋体" w:eastAsia="宋体"/>
          <w:sz w:val="24"/>
          <w:szCs w:val="28"/>
        </w:rPr>
        <w:t>街道综合行政执法公众评议活动受市、区</w:t>
      </w:r>
      <w:r>
        <w:rPr>
          <w:rFonts w:ascii="宋体" w:hAnsi="宋体" w:eastAsia="宋体"/>
          <w:sz w:val="24"/>
          <w:szCs w:val="28"/>
        </w:rPr>
        <w:t>综合</w:t>
      </w:r>
      <w:r>
        <w:rPr>
          <w:rFonts w:hint="eastAsia" w:ascii="宋体" w:hAnsi="宋体" w:eastAsia="宋体"/>
          <w:sz w:val="24"/>
          <w:szCs w:val="28"/>
        </w:rPr>
        <w:t>行政</w:t>
      </w:r>
      <w:r>
        <w:rPr>
          <w:rFonts w:ascii="宋体" w:hAnsi="宋体" w:eastAsia="宋体"/>
          <w:sz w:val="24"/>
          <w:szCs w:val="28"/>
        </w:rPr>
        <w:t>执法部门</w:t>
      </w:r>
      <w:r>
        <w:rPr>
          <w:rFonts w:hint="eastAsia" w:ascii="宋体" w:hAnsi="宋体" w:eastAsia="宋体"/>
          <w:sz w:val="24"/>
          <w:szCs w:val="28"/>
        </w:rPr>
        <w:t>、司法行政部门的指导和监督。</w:t>
      </w:r>
    </w:p>
    <w:p>
      <w:pPr>
        <w:pStyle w:val="8"/>
        <w:numPr>
          <w:ilvl w:val="0"/>
          <w:numId w:val="2"/>
        </w:numPr>
        <w:spacing w:before="156" w:beforeLines="50" w:after="156" w:afterLines="50" w:line="360" w:lineRule="auto"/>
        <w:ind w:left="0" w:firstLine="480"/>
        <w:rPr>
          <w:rFonts w:ascii="宋体" w:hAnsi="宋体" w:eastAsia="宋体"/>
          <w:sz w:val="24"/>
          <w:szCs w:val="28"/>
        </w:rPr>
      </w:pPr>
      <w:r>
        <w:rPr>
          <w:rFonts w:hint="eastAsia" w:ascii="宋体" w:hAnsi="宋体" w:eastAsia="宋体"/>
          <w:sz w:val="24"/>
          <w:szCs w:val="28"/>
        </w:rPr>
        <w:t>街道综合行政执法部门应当指定</w:t>
      </w:r>
      <w:r>
        <w:rPr>
          <w:rFonts w:ascii="宋体" w:hAnsi="宋体" w:eastAsia="宋体"/>
          <w:sz w:val="24"/>
          <w:szCs w:val="28"/>
        </w:rPr>
        <w:t>相关机构或者专人组织办理其管辖行政处罚案件的综合执法公众评议工作。</w:t>
      </w:r>
    </w:p>
    <w:p>
      <w:pPr>
        <w:pStyle w:val="8"/>
        <w:numPr>
          <w:ilvl w:val="0"/>
          <w:numId w:val="2"/>
        </w:numPr>
        <w:spacing w:before="156" w:beforeLines="50" w:after="156" w:afterLines="50" w:line="360" w:lineRule="auto"/>
        <w:ind w:left="0" w:firstLine="480"/>
        <w:rPr>
          <w:rFonts w:ascii="宋体" w:hAnsi="宋体" w:eastAsia="宋体"/>
          <w:sz w:val="24"/>
          <w:szCs w:val="28"/>
        </w:rPr>
      </w:pPr>
      <w:r>
        <w:rPr>
          <w:rFonts w:hint="eastAsia" w:ascii="宋体" w:hAnsi="宋体" w:eastAsia="宋体"/>
          <w:sz w:val="24"/>
          <w:szCs w:val="28"/>
        </w:rPr>
        <w:t>街道为实施综合行政执法公众评议活动所必需的人员和经费列入街道综合行政执法部门业务经费保障范围。</w:t>
      </w:r>
    </w:p>
    <w:p>
      <w:pPr>
        <w:spacing w:before="156" w:beforeLines="50" w:after="156" w:afterLines="50" w:line="360" w:lineRule="auto"/>
        <w:ind w:firstLine="480" w:firstLineChars="200"/>
        <w:rPr>
          <w:rFonts w:ascii="宋体" w:hAnsi="宋体" w:eastAsia="宋体"/>
          <w:sz w:val="24"/>
          <w:szCs w:val="28"/>
        </w:rPr>
      </w:pPr>
      <w:r>
        <w:rPr>
          <w:rFonts w:ascii="宋体" w:hAnsi="宋体" w:eastAsia="宋体"/>
          <w:sz w:val="24"/>
          <w:szCs w:val="28"/>
        </w:rPr>
        <w:t>公众评议员因参加行政处罚案件评议所支出</w:t>
      </w:r>
      <w:r>
        <w:rPr>
          <w:rFonts w:hint="eastAsia" w:ascii="宋体" w:hAnsi="宋体" w:eastAsia="宋体"/>
          <w:sz w:val="24"/>
          <w:szCs w:val="28"/>
        </w:rPr>
        <w:t>的合理</w:t>
      </w:r>
      <w:r>
        <w:rPr>
          <w:rFonts w:ascii="宋体" w:hAnsi="宋体" w:eastAsia="宋体"/>
          <w:sz w:val="24"/>
          <w:szCs w:val="28"/>
        </w:rPr>
        <w:t>费用</w:t>
      </w:r>
      <w:r>
        <w:rPr>
          <w:rFonts w:hint="eastAsia" w:ascii="宋体" w:hAnsi="宋体" w:eastAsia="宋体"/>
          <w:sz w:val="24"/>
          <w:szCs w:val="28"/>
        </w:rPr>
        <w:t>以及所发生的误工损失</w:t>
      </w:r>
      <w:r>
        <w:rPr>
          <w:rFonts w:ascii="宋体" w:hAnsi="宋体" w:eastAsia="宋体"/>
          <w:sz w:val="24"/>
          <w:szCs w:val="28"/>
        </w:rPr>
        <w:t>，</w:t>
      </w:r>
      <w:r>
        <w:rPr>
          <w:rFonts w:hint="eastAsia" w:ascii="宋体" w:hAnsi="宋体" w:eastAsia="宋体"/>
          <w:sz w:val="24"/>
          <w:szCs w:val="28"/>
        </w:rPr>
        <w:t>街道综合行政</w:t>
      </w:r>
      <w:r>
        <w:rPr>
          <w:rFonts w:ascii="宋体" w:hAnsi="宋体" w:eastAsia="宋体"/>
          <w:sz w:val="24"/>
          <w:szCs w:val="28"/>
        </w:rPr>
        <w:t>执法部门应当给予适当补助。</w:t>
      </w:r>
    </w:p>
    <w:p>
      <w:pPr>
        <w:spacing w:before="156" w:beforeLines="50" w:after="156" w:afterLines="50" w:line="360" w:lineRule="auto"/>
        <w:ind w:firstLine="480" w:firstLineChars="200"/>
        <w:rPr>
          <w:rFonts w:ascii="宋体" w:hAnsi="宋体" w:eastAsia="宋体"/>
          <w:sz w:val="28"/>
          <w:szCs w:val="28"/>
        </w:rPr>
      </w:pPr>
      <w:r>
        <w:rPr>
          <w:rFonts w:hint="eastAsia" w:ascii="宋体" w:hAnsi="宋体" w:eastAsia="宋体"/>
          <w:sz w:val="24"/>
          <w:szCs w:val="28"/>
        </w:rPr>
        <w:t xml:space="preserve">            </w:t>
      </w:r>
      <w:r>
        <w:rPr>
          <w:rFonts w:hint="eastAsia" w:ascii="黑体" w:hAnsi="黑体" w:eastAsia="黑体" w:cs="黑体"/>
          <w:sz w:val="28"/>
          <w:szCs w:val="28"/>
        </w:rPr>
        <w:t xml:space="preserve"> 第二章   公众评议案件范围</w:t>
      </w:r>
    </w:p>
    <w:p>
      <w:pPr>
        <w:pStyle w:val="8"/>
        <w:numPr>
          <w:ilvl w:val="0"/>
          <w:numId w:val="2"/>
        </w:numPr>
        <w:spacing w:before="156" w:beforeLines="50" w:after="156" w:afterLines="50" w:line="360" w:lineRule="auto"/>
        <w:ind w:left="0" w:firstLine="480"/>
        <w:rPr>
          <w:rFonts w:ascii="宋体" w:hAnsi="宋体" w:eastAsia="宋体"/>
          <w:sz w:val="24"/>
          <w:szCs w:val="28"/>
        </w:rPr>
      </w:pPr>
      <w:r>
        <w:rPr>
          <w:rFonts w:hint="eastAsia" w:ascii="宋体" w:hAnsi="宋体" w:eastAsia="宋体"/>
          <w:sz w:val="24"/>
          <w:szCs w:val="28"/>
        </w:rPr>
        <w:t>街道综合行政执法部门办理下列重大、复杂、社会影响大或者争议大的行政处罚案件，经街道综合行政执法部门负责人批准，可以按照本办法规定实行公众评议：</w:t>
      </w:r>
    </w:p>
    <w:p>
      <w:pPr>
        <w:pStyle w:val="8"/>
        <w:numPr>
          <w:ilvl w:val="0"/>
          <w:numId w:val="3"/>
        </w:numPr>
        <w:spacing w:before="156" w:beforeLines="50" w:after="156" w:afterLines="50" w:line="360" w:lineRule="auto"/>
        <w:ind w:firstLineChars="0"/>
        <w:rPr>
          <w:rFonts w:ascii="宋体" w:hAnsi="宋体" w:eastAsia="宋体"/>
          <w:sz w:val="24"/>
          <w:szCs w:val="28"/>
        </w:rPr>
      </w:pPr>
      <w:r>
        <w:rPr>
          <w:rFonts w:hint="eastAsia" w:ascii="宋体" w:hAnsi="宋体" w:eastAsia="宋体"/>
          <w:sz w:val="24"/>
          <w:szCs w:val="28"/>
        </w:rPr>
        <w:t>对个人拟处以</w:t>
      </w:r>
      <w:r>
        <w:rPr>
          <w:rFonts w:ascii="宋体" w:hAnsi="宋体" w:eastAsia="宋体"/>
          <w:sz w:val="24"/>
          <w:szCs w:val="28"/>
        </w:rPr>
        <w:t>5万元以上10万以下罚款、对法人</w:t>
      </w:r>
      <w:r>
        <w:rPr>
          <w:rFonts w:hint="eastAsia" w:ascii="宋体" w:hAnsi="宋体" w:eastAsia="宋体"/>
          <w:sz w:val="24"/>
          <w:szCs w:val="28"/>
        </w:rPr>
        <w:t>或其他组织</w:t>
      </w:r>
      <w:r>
        <w:rPr>
          <w:rFonts w:ascii="宋体" w:hAnsi="宋体" w:eastAsia="宋体"/>
          <w:sz w:val="24"/>
          <w:szCs w:val="28"/>
        </w:rPr>
        <w:t>拟处以10万元以上100万元以下罚款，且当事人申请听证的；</w:t>
      </w:r>
    </w:p>
    <w:p>
      <w:pPr>
        <w:pStyle w:val="8"/>
        <w:numPr>
          <w:ilvl w:val="0"/>
          <w:numId w:val="3"/>
        </w:numPr>
        <w:spacing w:before="156" w:beforeLines="50" w:after="156" w:afterLines="50" w:line="360" w:lineRule="auto"/>
        <w:ind w:firstLineChars="0"/>
        <w:rPr>
          <w:rFonts w:ascii="宋体" w:hAnsi="宋体" w:eastAsia="宋体"/>
          <w:sz w:val="24"/>
          <w:szCs w:val="28"/>
        </w:rPr>
      </w:pPr>
      <w:r>
        <w:rPr>
          <w:rFonts w:hint="eastAsia" w:ascii="宋体" w:hAnsi="宋体" w:eastAsia="宋体"/>
          <w:sz w:val="24"/>
          <w:szCs w:val="28"/>
        </w:rPr>
        <w:t>对个人拟处以</w:t>
      </w:r>
      <w:r>
        <w:rPr>
          <w:rFonts w:ascii="宋体" w:hAnsi="宋体" w:eastAsia="宋体"/>
          <w:sz w:val="24"/>
          <w:szCs w:val="28"/>
        </w:rPr>
        <w:t>10万元以上罚款，</w:t>
      </w:r>
      <w:r>
        <w:rPr>
          <w:rFonts w:hint="eastAsia" w:ascii="宋体" w:hAnsi="宋体" w:eastAsia="宋体"/>
          <w:sz w:val="24"/>
          <w:szCs w:val="28"/>
        </w:rPr>
        <w:t>对</w:t>
      </w:r>
      <w:r>
        <w:rPr>
          <w:rFonts w:ascii="宋体" w:hAnsi="宋体" w:eastAsia="宋体"/>
          <w:sz w:val="24"/>
          <w:szCs w:val="28"/>
        </w:rPr>
        <w:t>法人</w:t>
      </w:r>
      <w:r>
        <w:rPr>
          <w:rFonts w:hint="eastAsia" w:ascii="宋体" w:hAnsi="宋体" w:eastAsia="宋体"/>
          <w:sz w:val="24"/>
          <w:szCs w:val="28"/>
        </w:rPr>
        <w:t>或其他组织</w:t>
      </w:r>
      <w:r>
        <w:rPr>
          <w:rFonts w:ascii="宋体" w:hAnsi="宋体" w:eastAsia="宋体"/>
          <w:sz w:val="24"/>
          <w:szCs w:val="28"/>
        </w:rPr>
        <w:t>拟处以100万元以上罚款的；</w:t>
      </w:r>
    </w:p>
    <w:p>
      <w:pPr>
        <w:pStyle w:val="8"/>
        <w:numPr>
          <w:ilvl w:val="0"/>
          <w:numId w:val="3"/>
        </w:numPr>
        <w:spacing w:before="156" w:beforeLines="50" w:after="156" w:afterLines="50" w:line="360" w:lineRule="auto"/>
        <w:ind w:firstLineChars="0"/>
        <w:rPr>
          <w:rFonts w:ascii="宋体" w:hAnsi="宋体" w:eastAsia="宋体"/>
          <w:sz w:val="24"/>
          <w:szCs w:val="28"/>
        </w:rPr>
      </w:pPr>
      <w:r>
        <w:rPr>
          <w:rFonts w:hint="eastAsia" w:ascii="宋体" w:hAnsi="宋体" w:eastAsia="宋体"/>
          <w:sz w:val="24"/>
          <w:szCs w:val="28"/>
        </w:rPr>
        <w:t>同一执法案件涉及行政相对人五人以上的；</w:t>
      </w:r>
    </w:p>
    <w:p>
      <w:pPr>
        <w:pStyle w:val="8"/>
        <w:numPr>
          <w:ilvl w:val="0"/>
          <w:numId w:val="3"/>
        </w:numPr>
        <w:spacing w:before="156" w:beforeLines="50" w:after="156" w:afterLines="50" w:line="360" w:lineRule="auto"/>
        <w:ind w:firstLineChars="0"/>
        <w:rPr>
          <w:rFonts w:ascii="宋体" w:hAnsi="宋体" w:eastAsia="宋体"/>
          <w:sz w:val="24"/>
          <w:szCs w:val="28"/>
        </w:rPr>
      </w:pPr>
      <w:r>
        <w:rPr>
          <w:rFonts w:hint="eastAsia" w:ascii="宋体" w:hAnsi="宋体" w:eastAsia="宋体"/>
          <w:sz w:val="24"/>
          <w:szCs w:val="28"/>
        </w:rPr>
        <w:t>降低资质等级、吊销许可证件；　</w:t>
      </w:r>
    </w:p>
    <w:p>
      <w:pPr>
        <w:pStyle w:val="8"/>
        <w:numPr>
          <w:ilvl w:val="0"/>
          <w:numId w:val="3"/>
        </w:numPr>
        <w:spacing w:before="156" w:beforeLines="50" w:after="156" w:afterLines="50" w:line="360" w:lineRule="auto"/>
        <w:ind w:firstLineChars="0"/>
        <w:rPr>
          <w:rFonts w:ascii="宋体" w:hAnsi="宋体" w:eastAsia="宋体"/>
          <w:sz w:val="24"/>
          <w:szCs w:val="28"/>
        </w:rPr>
      </w:pPr>
      <w:r>
        <w:rPr>
          <w:rFonts w:hint="eastAsia" w:ascii="宋体" w:hAnsi="宋体" w:eastAsia="宋体"/>
          <w:sz w:val="24"/>
          <w:szCs w:val="28"/>
        </w:rPr>
        <w:t>责令停产停业、责令关闭、限制从业；　　</w:t>
      </w:r>
    </w:p>
    <w:p>
      <w:pPr>
        <w:pStyle w:val="8"/>
        <w:numPr>
          <w:ilvl w:val="0"/>
          <w:numId w:val="3"/>
        </w:numPr>
        <w:spacing w:before="156" w:beforeLines="50" w:after="156" w:afterLines="50" w:line="360" w:lineRule="auto"/>
        <w:ind w:firstLineChars="0"/>
        <w:rPr>
          <w:rFonts w:ascii="宋体" w:hAnsi="宋体" w:eastAsia="宋体"/>
          <w:sz w:val="24"/>
          <w:szCs w:val="28"/>
        </w:rPr>
      </w:pPr>
      <w:r>
        <w:rPr>
          <w:rFonts w:hint="eastAsia" w:ascii="宋体" w:hAnsi="宋体" w:eastAsia="宋体"/>
          <w:sz w:val="24"/>
          <w:szCs w:val="28"/>
        </w:rPr>
        <w:t>行政相对人提出书面申请要求进行公众评议的；</w:t>
      </w:r>
    </w:p>
    <w:p>
      <w:pPr>
        <w:pStyle w:val="8"/>
        <w:numPr>
          <w:ilvl w:val="0"/>
          <w:numId w:val="3"/>
        </w:numPr>
        <w:spacing w:before="156" w:beforeLines="50" w:after="156" w:afterLines="50" w:line="360" w:lineRule="auto"/>
        <w:ind w:firstLineChars="0"/>
        <w:rPr>
          <w:rFonts w:ascii="宋体" w:hAnsi="宋体" w:eastAsia="宋体"/>
          <w:sz w:val="24"/>
          <w:szCs w:val="28"/>
        </w:rPr>
      </w:pPr>
      <w:r>
        <w:rPr>
          <w:rFonts w:hint="eastAsia" w:ascii="宋体" w:hAnsi="宋体" w:eastAsia="宋体"/>
          <w:sz w:val="24"/>
          <w:szCs w:val="28"/>
        </w:rPr>
        <w:t>街道综合行政执法部门认为需要提交公众评议的案件。</w:t>
      </w:r>
    </w:p>
    <w:p>
      <w:pPr>
        <w:pStyle w:val="8"/>
        <w:numPr>
          <w:ilvl w:val="0"/>
          <w:numId w:val="2"/>
        </w:numPr>
        <w:spacing w:before="156" w:beforeLines="50" w:after="156" w:afterLines="50" w:line="360" w:lineRule="auto"/>
        <w:ind w:left="0" w:firstLine="480"/>
        <w:rPr>
          <w:rFonts w:ascii="宋体" w:hAnsi="宋体" w:eastAsia="宋体"/>
          <w:sz w:val="24"/>
          <w:szCs w:val="28"/>
        </w:rPr>
      </w:pPr>
      <w:r>
        <w:rPr>
          <w:rFonts w:ascii="宋体" w:hAnsi="宋体" w:eastAsia="宋体"/>
          <w:sz w:val="24"/>
          <w:szCs w:val="28"/>
        </w:rPr>
        <w:t>涉及国家秘密、商业秘密、个人隐私的案件，上级部门交办督办的紧急案件，不实行公众评议。</w:t>
      </w:r>
    </w:p>
    <w:p>
      <w:pPr>
        <w:pStyle w:val="4"/>
        <w:numPr>
          <w:ilvl w:val="255"/>
          <w:numId w:val="0"/>
        </w:numPr>
        <w:spacing w:line="456" w:lineRule="auto"/>
        <w:ind w:left="-4"/>
        <w:jc w:val="center"/>
        <w:rPr>
          <w:rFonts w:ascii="黑体" w:hAnsi="黑体" w:eastAsia="黑体" w:cs="黑体"/>
          <w:color w:val="333333"/>
          <w:sz w:val="32"/>
          <w:szCs w:val="32"/>
        </w:rPr>
      </w:pPr>
      <w:r>
        <w:rPr>
          <w:rFonts w:hint="eastAsia" w:ascii="黑体" w:hAnsi="黑体" w:eastAsia="黑体" w:cs="黑体"/>
          <w:color w:val="333333"/>
          <w:sz w:val="32"/>
          <w:szCs w:val="32"/>
        </w:rPr>
        <w:t>第三章  公众评议员</w:t>
      </w:r>
    </w:p>
    <w:p>
      <w:pPr>
        <w:pStyle w:val="8"/>
        <w:numPr>
          <w:ilvl w:val="0"/>
          <w:numId w:val="2"/>
        </w:numPr>
        <w:spacing w:before="156" w:beforeLines="50" w:after="156" w:afterLines="50" w:line="360" w:lineRule="auto"/>
        <w:ind w:left="0" w:firstLine="480"/>
        <w:rPr>
          <w:rFonts w:ascii="宋体" w:hAnsi="宋体" w:eastAsia="宋体"/>
          <w:sz w:val="24"/>
          <w:szCs w:val="28"/>
        </w:rPr>
      </w:pPr>
      <w:r>
        <w:rPr>
          <w:rFonts w:hint="eastAsia" w:ascii="宋体" w:hAnsi="宋体" w:eastAsia="宋体"/>
          <w:sz w:val="24"/>
          <w:szCs w:val="28"/>
        </w:rPr>
        <w:t>公众评议员依法享有参加综合执法评议活动、独立发表意见、获得履职保障等权利。</w:t>
      </w:r>
    </w:p>
    <w:p>
      <w:pPr>
        <w:pStyle w:val="8"/>
        <w:numPr>
          <w:ilvl w:val="0"/>
          <w:numId w:val="2"/>
        </w:numPr>
        <w:spacing w:before="156" w:beforeLines="50" w:after="156" w:afterLines="50" w:line="360" w:lineRule="auto"/>
        <w:ind w:left="0" w:firstLine="480"/>
        <w:rPr>
          <w:rFonts w:ascii="宋体" w:hAnsi="宋体" w:eastAsia="宋体"/>
          <w:sz w:val="24"/>
          <w:szCs w:val="28"/>
        </w:rPr>
      </w:pPr>
      <w:r>
        <w:rPr>
          <w:rFonts w:hint="eastAsia" w:ascii="宋体" w:hAnsi="宋体" w:eastAsia="宋体"/>
          <w:sz w:val="24"/>
          <w:szCs w:val="28"/>
        </w:rPr>
        <w:t>公众评议员应当忠实履行评议职责，保守评议秘密。</w:t>
      </w:r>
    </w:p>
    <w:p>
      <w:pPr>
        <w:pStyle w:val="8"/>
        <w:numPr>
          <w:ilvl w:val="0"/>
          <w:numId w:val="2"/>
        </w:numPr>
        <w:spacing w:before="156" w:beforeLines="50" w:after="156" w:afterLines="50" w:line="360" w:lineRule="auto"/>
        <w:ind w:left="0" w:firstLine="480"/>
        <w:rPr>
          <w:rFonts w:ascii="宋体" w:hAnsi="宋体" w:eastAsia="宋体"/>
          <w:sz w:val="24"/>
          <w:szCs w:val="28"/>
        </w:rPr>
      </w:pPr>
      <w:r>
        <w:rPr>
          <w:rFonts w:hint="eastAsia" w:ascii="宋体" w:hAnsi="宋体" w:eastAsia="宋体"/>
          <w:sz w:val="24"/>
          <w:szCs w:val="28"/>
        </w:rPr>
        <w:t>公众评议员应当具备以下条件：</w:t>
      </w:r>
    </w:p>
    <w:p>
      <w:pPr>
        <w:pStyle w:val="8"/>
        <w:spacing w:before="156" w:beforeLines="50" w:after="156" w:afterLines="50" w:line="360" w:lineRule="auto"/>
        <w:ind w:left="480" w:firstLine="0" w:firstLineChars="0"/>
        <w:rPr>
          <w:rFonts w:ascii="宋体" w:hAnsi="宋体" w:eastAsia="宋体"/>
          <w:sz w:val="24"/>
          <w:szCs w:val="28"/>
        </w:rPr>
      </w:pPr>
      <w:r>
        <w:rPr>
          <w:rFonts w:hint="eastAsia" w:ascii="宋体" w:hAnsi="宋体" w:eastAsia="宋体"/>
          <w:sz w:val="24"/>
          <w:szCs w:val="28"/>
        </w:rPr>
        <w:t>（一）拥护中华人民共和国宪法；</w:t>
      </w:r>
    </w:p>
    <w:p>
      <w:pPr>
        <w:pStyle w:val="8"/>
        <w:spacing w:before="156" w:beforeLines="50" w:after="156" w:afterLines="50" w:line="360" w:lineRule="auto"/>
        <w:ind w:left="480" w:firstLine="0" w:firstLineChars="0"/>
        <w:rPr>
          <w:rFonts w:ascii="宋体" w:hAnsi="宋体" w:eastAsia="宋体"/>
          <w:sz w:val="24"/>
          <w:szCs w:val="28"/>
        </w:rPr>
      </w:pPr>
      <w:r>
        <w:rPr>
          <w:rFonts w:hint="eastAsia" w:ascii="宋体" w:hAnsi="宋体" w:eastAsia="宋体"/>
          <w:sz w:val="24"/>
          <w:szCs w:val="28"/>
        </w:rPr>
        <w:t>（二）年满十八周岁；</w:t>
      </w:r>
    </w:p>
    <w:p>
      <w:pPr>
        <w:pStyle w:val="8"/>
        <w:spacing w:before="156" w:beforeLines="50" w:after="156" w:afterLines="50" w:line="360" w:lineRule="auto"/>
        <w:ind w:left="480" w:firstLine="0" w:firstLineChars="0"/>
      </w:pPr>
      <w:r>
        <w:rPr>
          <w:rFonts w:hint="eastAsia" w:ascii="宋体" w:hAnsi="宋体" w:eastAsia="宋体"/>
          <w:sz w:val="24"/>
          <w:szCs w:val="28"/>
        </w:rPr>
        <w:t>（三）遵纪守法、品行良好、公道正派</w:t>
      </w:r>
      <w:r>
        <w:rPr>
          <w:rFonts w:hint="eastAsia"/>
        </w:rPr>
        <w:t>。</w:t>
      </w:r>
    </w:p>
    <w:p>
      <w:pPr>
        <w:pStyle w:val="8"/>
        <w:spacing w:before="156" w:beforeLines="50" w:after="156" w:afterLines="50" w:line="360" w:lineRule="auto"/>
        <w:ind w:left="480" w:firstLine="0" w:firstLineChars="0"/>
        <w:rPr>
          <w:rFonts w:ascii="宋体" w:hAnsi="宋体" w:eastAsia="宋体"/>
          <w:sz w:val="24"/>
          <w:szCs w:val="28"/>
        </w:rPr>
      </w:pPr>
      <w:r>
        <w:rPr>
          <w:rFonts w:hint="eastAsia" w:ascii="宋体" w:hAnsi="宋体" w:eastAsia="宋体"/>
          <w:sz w:val="24"/>
          <w:szCs w:val="28"/>
        </w:rPr>
        <w:t>担任公众评议员，一般应当具有大专以上文化程度。</w:t>
      </w:r>
    </w:p>
    <w:p>
      <w:pPr>
        <w:pStyle w:val="8"/>
        <w:numPr>
          <w:ilvl w:val="0"/>
          <w:numId w:val="2"/>
        </w:numPr>
        <w:spacing w:before="156" w:beforeLines="50" w:after="156" w:afterLines="50" w:line="360" w:lineRule="auto"/>
        <w:ind w:left="0" w:firstLine="480"/>
        <w:rPr>
          <w:rFonts w:ascii="宋体" w:hAnsi="宋体" w:eastAsia="宋体"/>
          <w:sz w:val="24"/>
          <w:szCs w:val="28"/>
        </w:rPr>
      </w:pPr>
      <w:r>
        <w:rPr>
          <w:rFonts w:hint="eastAsia" w:ascii="宋体" w:hAnsi="宋体" w:eastAsia="宋体"/>
          <w:sz w:val="24"/>
          <w:szCs w:val="28"/>
        </w:rPr>
        <w:t>有下列情形之一的，不得担任公众评议员：</w:t>
      </w:r>
    </w:p>
    <w:p>
      <w:pPr>
        <w:pStyle w:val="8"/>
        <w:numPr>
          <w:ilvl w:val="0"/>
          <w:numId w:val="4"/>
        </w:numPr>
        <w:spacing w:before="156" w:beforeLines="50" w:after="156" w:afterLines="50" w:line="360" w:lineRule="auto"/>
        <w:ind w:firstLineChars="0"/>
        <w:rPr>
          <w:rFonts w:ascii="宋体" w:hAnsi="宋体" w:eastAsia="宋体"/>
          <w:sz w:val="24"/>
          <w:szCs w:val="28"/>
        </w:rPr>
      </w:pPr>
      <w:r>
        <w:rPr>
          <w:rFonts w:hint="eastAsia" w:ascii="宋体" w:hAnsi="宋体" w:eastAsia="宋体"/>
          <w:sz w:val="24"/>
          <w:szCs w:val="28"/>
        </w:rPr>
        <w:t>受过刑事处罚的；</w:t>
      </w:r>
    </w:p>
    <w:p>
      <w:pPr>
        <w:pStyle w:val="8"/>
        <w:spacing w:before="156" w:beforeLines="50" w:after="156" w:afterLines="50" w:line="360" w:lineRule="auto"/>
        <w:ind w:left="480" w:firstLine="0" w:firstLineChars="0"/>
        <w:rPr>
          <w:rFonts w:ascii="宋体" w:hAnsi="宋体" w:eastAsia="宋体"/>
          <w:sz w:val="24"/>
          <w:szCs w:val="28"/>
        </w:rPr>
      </w:pPr>
      <w:r>
        <w:rPr>
          <w:rFonts w:hint="eastAsia" w:ascii="宋体" w:hAnsi="宋体" w:eastAsia="宋体"/>
          <w:sz w:val="24"/>
          <w:szCs w:val="28"/>
        </w:rPr>
        <w:t>（二）被开除公职的；</w:t>
      </w:r>
    </w:p>
    <w:p>
      <w:pPr>
        <w:pStyle w:val="8"/>
        <w:spacing w:before="156" w:beforeLines="50" w:after="156" w:afterLines="50" w:line="360" w:lineRule="auto"/>
        <w:ind w:left="480" w:firstLine="0" w:firstLineChars="0"/>
        <w:rPr>
          <w:rFonts w:ascii="宋体" w:hAnsi="宋体" w:eastAsia="宋体"/>
          <w:sz w:val="24"/>
          <w:szCs w:val="28"/>
        </w:rPr>
      </w:pPr>
      <w:r>
        <w:rPr>
          <w:rFonts w:hint="eastAsia" w:ascii="宋体" w:hAnsi="宋体" w:eastAsia="宋体"/>
          <w:sz w:val="24"/>
          <w:szCs w:val="28"/>
        </w:rPr>
        <w:t>（三）被纳入失信被执行人名单的；</w:t>
      </w:r>
    </w:p>
    <w:p>
      <w:pPr>
        <w:pStyle w:val="8"/>
        <w:spacing w:before="156" w:beforeLines="50" w:after="156" w:afterLines="50" w:line="360" w:lineRule="auto"/>
        <w:ind w:left="480" w:firstLine="0" w:firstLineChars="0"/>
        <w:rPr>
          <w:rFonts w:ascii="宋体" w:hAnsi="宋体" w:eastAsia="宋体"/>
          <w:sz w:val="24"/>
          <w:szCs w:val="28"/>
        </w:rPr>
      </w:pPr>
      <w:r>
        <w:rPr>
          <w:rFonts w:hint="eastAsia" w:ascii="宋体" w:hAnsi="宋体" w:eastAsia="宋体"/>
          <w:sz w:val="24"/>
          <w:szCs w:val="28"/>
        </w:rPr>
        <w:t>（四）因受惩戒被从公众评议员名单中除名的；</w:t>
      </w:r>
    </w:p>
    <w:p>
      <w:pPr>
        <w:pStyle w:val="8"/>
        <w:spacing w:before="156" w:beforeLines="50" w:after="156" w:afterLines="50" w:line="360" w:lineRule="auto"/>
        <w:ind w:left="480" w:firstLine="0" w:firstLineChars="0"/>
        <w:rPr>
          <w:rFonts w:ascii="宋体" w:hAnsi="宋体" w:eastAsia="宋体"/>
          <w:sz w:val="24"/>
          <w:szCs w:val="28"/>
        </w:rPr>
      </w:pPr>
      <w:r>
        <w:rPr>
          <w:rFonts w:hint="eastAsia" w:ascii="宋体" w:hAnsi="宋体" w:eastAsia="宋体"/>
          <w:sz w:val="24"/>
          <w:szCs w:val="28"/>
        </w:rPr>
        <w:t>（六）其他有严重违法违纪行为，可能影响评议公正的。</w:t>
      </w:r>
    </w:p>
    <w:p>
      <w:pPr>
        <w:pStyle w:val="8"/>
        <w:numPr>
          <w:ilvl w:val="0"/>
          <w:numId w:val="2"/>
        </w:numPr>
        <w:spacing w:before="156" w:beforeLines="50" w:after="156" w:afterLines="50" w:line="360" w:lineRule="auto"/>
        <w:ind w:left="0" w:firstLine="480"/>
        <w:rPr>
          <w:rFonts w:ascii="宋体" w:hAnsi="宋体" w:eastAsia="宋体"/>
          <w:sz w:val="24"/>
          <w:szCs w:val="28"/>
        </w:rPr>
      </w:pPr>
      <w:r>
        <w:rPr>
          <w:rFonts w:hint="eastAsia" w:ascii="宋体" w:hAnsi="宋体" w:eastAsia="宋体"/>
          <w:sz w:val="24"/>
          <w:szCs w:val="28"/>
        </w:rPr>
        <w:t>公众评议员的名额，由街道综合行政执法部门根据街道的实际情况，提请街道办事处确定。</w:t>
      </w:r>
    </w:p>
    <w:p>
      <w:pPr>
        <w:pStyle w:val="8"/>
        <w:spacing w:before="156" w:beforeLines="50" w:after="156" w:afterLines="50" w:line="360" w:lineRule="auto"/>
        <w:ind w:left="480" w:firstLine="0" w:firstLineChars="0"/>
        <w:rPr>
          <w:rFonts w:ascii="宋体" w:hAnsi="宋体" w:eastAsia="宋体"/>
          <w:sz w:val="24"/>
          <w:szCs w:val="28"/>
        </w:rPr>
      </w:pPr>
      <w:r>
        <w:rPr>
          <w:rFonts w:hint="eastAsia" w:ascii="宋体" w:hAnsi="宋体" w:eastAsia="宋体"/>
          <w:sz w:val="24"/>
          <w:szCs w:val="28"/>
        </w:rPr>
        <w:t>公众评议员的名额数不低于街道执法员人数的两倍。</w:t>
      </w:r>
    </w:p>
    <w:p>
      <w:pPr>
        <w:pStyle w:val="8"/>
        <w:numPr>
          <w:ilvl w:val="0"/>
          <w:numId w:val="2"/>
        </w:numPr>
        <w:spacing w:before="156" w:beforeLines="50" w:after="156" w:afterLines="50" w:line="360" w:lineRule="auto"/>
        <w:ind w:left="0" w:firstLine="480"/>
        <w:rPr>
          <w:rFonts w:ascii="宋体" w:hAnsi="宋体" w:eastAsia="宋体"/>
          <w:sz w:val="24"/>
          <w:szCs w:val="28"/>
        </w:rPr>
      </w:pPr>
      <w:r>
        <w:rPr>
          <w:rFonts w:hint="eastAsia" w:ascii="宋体" w:hAnsi="宋体" w:eastAsia="宋体"/>
          <w:sz w:val="24"/>
          <w:szCs w:val="28"/>
        </w:rPr>
        <w:t>街道综合行政执法部门会同街道司法所、公安机关，从街道辖区内的常住居民名单中随机抽选拟任命公众评议员人数三倍以上的人员作为公众评议员候选人，对公众评议员候选人进行资格审查，征求候选人意见。</w:t>
      </w:r>
    </w:p>
    <w:p>
      <w:pPr>
        <w:pStyle w:val="8"/>
        <w:numPr>
          <w:ilvl w:val="0"/>
          <w:numId w:val="2"/>
        </w:numPr>
        <w:spacing w:before="156" w:beforeLines="50" w:after="156" w:afterLines="50" w:line="360" w:lineRule="auto"/>
        <w:ind w:left="0" w:firstLine="480"/>
        <w:rPr>
          <w:rFonts w:ascii="宋体" w:hAnsi="宋体" w:eastAsia="宋体"/>
          <w:sz w:val="24"/>
          <w:szCs w:val="28"/>
        </w:rPr>
      </w:pPr>
      <w:r>
        <w:rPr>
          <w:rFonts w:ascii="宋体" w:hAnsi="宋体" w:eastAsia="宋体"/>
          <w:sz w:val="24"/>
          <w:szCs w:val="28"/>
        </w:rPr>
        <w:t>街道综合行政执法部门会同街道司法所</w:t>
      </w:r>
      <w:r>
        <w:rPr>
          <w:rFonts w:hint="eastAsia" w:ascii="宋体" w:hAnsi="宋体" w:eastAsia="宋体"/>
          <w:sz w:val="24"/>
          <w:szCs w:val="28"/>
        </w:rPr>
        <w:t>，从通过资格审查的公众评议员候选人名单中随机抽选确定公众评议员人选，由街道综合行政执法部门负责人提请街道办事处任命并颁发聘用证书。</w:t>
      </w:r>
    </w:p>
    <w:p>
      <w:pPr>
        <w:pStyle w:val="8"/>
        <w:numPr>
          <w:ilvl w:val="0"/>
          <w:numId w:val="2"/>
        </w:numPr>
        <w:spacing w:before="156" w:beforeLines="50" w:after="156" w:afterLines="50" w:line="360" w:lineRule="auto"/>
        <w:ind w:left="0" w:firstLine="480"/>
        <w:rPr>
          <w:rFonts w:ascii="宋体" w:hAnsi="宋体" w:eastAsia="宋体"/>
          <w:sz w:val="24"/>
          <w:szCs w:val="28"/>
        </w:rPr>
      </w:pPr>
      <w:r>
        <w:rPr>
          <w:rFonts w:hint="eastAsia" w:ascii="宋体" w:hAnsi="宋体" w:eastAsia="宋体"/>
          <w:sz w:val="24"/>
          <w:szCs w:val="28"/>
        </w:rPr>
        <w:t>因综合行政执法活动需要，可以通过个人申请和通过所在单位、户籍所在地或者经常居住地的基层群众性自治组织、人民团体推荐的方式产生公众评议员候选人，经街道司法所会同街道综合行政执法部门进行资格审查，确定公众评议员人选，由街道综合行政执法部门负责人提请街道办事处任命并颁发聘用证书。</w:t>
      </w:r>
    </w:p>
    <w:p>
      <w:pPr>
        <w:pStyle w:val="8"/>
        <w:spacing w:before="156" w:beforeLines="50" w:after="156" w:afterLines="50" w:line="360" w:lineRule="auto"/>
        <w:ind w:left="480" w:firstLine="0" w:firstLineChars="0"/>
        <w:rPr>
          <w:rFonts w:ascii="宋体" w:hAnsi="宋体" w:eastAsia="宋体"/>
          <w:sz w:val="24"/>
          <w:szCs w:val="28"/>
        </w:rPr>
      </w:pPr>
      <w:r>
        <w:rPr>
          <w:rFonts w:hint="eastAsia" w:ascii="宋体" w:hAnsi="宋体" w:eastAsia="宋体"/>
          <w:sz w:val="24"/>
          <w:szCs w:val="28"/>
        </w:rPr>
        <w:t>依照前款规定产生的公众评议员，不得超过总公众评议员名额数的四分之一。</w:t>
      </w:r>
    </w:p>
    <w:p>
      <w:pPr>
        <w:pStyle w:val="8"/>
        <w:numPr>
          <w:ilvl w:val="0"/>
          <w:numId w:val="2"/>
        </w:numPr>
        <w:spacing w:before="156" w:beforeLines="50" w:after="156" w:afterLines="50" w:line="360" w:lineRule="auto"/>
        <w:ind w:left="0" w:firstLine="480"/>
        <w:rPr>
          <w:rFonts w:ascii="宋体" w:hAnsi="宋体" w:eastAsia="宋体"/>
          <w:sz w:val="24"/>
          <w:szCs w:val="28"/>
        </w:rPr>
      </w:pPr>
      <w:r>
        <w:rPr>
          <w:rFonts w:hint="eastAsia" w:ascii="宋体" w:hAnsi="宋体" w:eastAsia="宋体"/>
          <w:sz w:val="24"/>
          <w:szCs w:val="28"/>
        </w:rPr>
        <w:t>公众评议员的任期为三年，一般不得连任。</w:t>
      </w:r>
    </w:p>
    <w:p>
      <w:pPr>
        <w:pStyle w:val="8"/>
        <w:numPr>
          <w:ilvl w:val="0"/>
          <w:numId w:val="2"/>
        </w:numPr>
        <w:spacing w:before="156" w:beforeLines="50" w:after="156" w:afterLines="50" w:line="360" w:lineRule="auto"/>
        <w:ind w:left="0" w:firstLine="480"/>
        <w:rPr>
          <w:rFonts w:ascii="宋体" w:hAnsi="宋体" w:eastAsia="宋体"/>
          <w:sz w:val="24"/>
          <w:szCs w:val="28"/>
        </w:rPr>
      </w:pPr>
      <w:r>
        <w:rPr>
          <w:rFonts w:hint="eastAsia" w:ascii="宋体" w:hAnsi="宋体" w:eastAsia="宋体"/>
          <w:sz w:val="24"/>
          <w:szCs w:val="28"/>
        </w:rPr>
        <w:t>在聘用期间，出现下列情形的，由街道综合行政执法部门负责人提请街道办事处予以解聘：</w:t>
      </w:r>
    </w:p>
    <w:p>
      <w:pPr>
        <w:pStyle w:val="8"/>
        <w:numPr>
          <w:ilvl w:val="0"/>
          <w:numId w:val="5"/>
        </w:numPr>
        <w:spacing w:before="156" w:beforeLines="50" w:after="156" w:afterLines="50" w:line="360" w:lineRule="auto"/>
        <w:ind w:firstLineChars="0"/>
        <w:rPr>
          <w:rFonts w:ascii="宋体" w:hAnsi="宋体" w:eastAsia="宋体"/>
          <w:sz w:val="24"/>
          <w:szCs w:val="28"/>
        </w:rPr>
      </w:pPr>
      <w:r>
        <w:rPr>
          <w:rFonts w:hint="eastAsia" w:ascii="宋体" w:hAnsi="宋体" w:eastAsia="宋体"/>
          <w:sz w:val="24"/>
          <w:szCs w:val="28"/>
        </w:rPr>
        <w:t>公众评议员向街道综合行政执法部门提交书面辞呈的；</w:t>
      </w:r>
    </w:p>
    <w:p>
      <w:pPr>
        <w:pStyle w:val="8"/>
        <w:numPr>
          <w:ilvl w:val="0"/>
          <w:numId w:val="5"/>
        </w:numPr>
        <w:spacing w:before="156" w:beforeLines="50" w:after="156" w:afterLines="50" w:line="360" w:lineRule="auto"/>
        <w:ind w:firstLineChars="0"/>
        <w:rPr>
          <w:rFonts w:ascii="宋体" w:hAnsi="宋体" w:eastAsia="宋体"/>
          <w:sz w:val="24"/>
          <w:szCs w:val="28"/>
        </w:rPr>
      </w:pPr>
      <w:r>
        <w:rPr>
          <w:rFonts w:hint="eastAsia" w:ascii="宋体" w:hAnsi="宋体" w:eastAsia="宋体"/>
          <w:sz w:val="24"/>
          <w:szCs w:val="28"/>
        </w:rPr>
        <w:t>不再符合本办法第十一条规定的条件的；</w:t>
      </w:r>
    </w:p>
    <w:p>
      <w:pPr>
        <w:pStyle w:val="8"/>
        <w:numPr>
          <w:ilvl w:val="0"/>
          <w:numId w:val="5"/>
        </w:numPr>
        <w:spacing w:before="156" w:beforeLines="50" w:after="156" w:afterLines="50" w:line="360" w:lineRule="auto"/>
        <w:ind w:firstLineChars="0"/>
        <w:rPr>
          <w:rFonts w:ascii="宋体" w:hAnsi="宋体" w:eastAsia="宋体"/>
          <w:sz w:val="24"/>
          <w:szCs w:val="28"/>
        </w:rPr>
      </w:pPr>
      <w:r>
        <w:rPr>
          <w:rFonts w:hint="eastAsia" w:ascii="宋体" w:hAnsi="宋体" w:eastAsia="宋体"/>
          <w:sz w:val="24"/>
          <w:szCs w:val="28"/>
        </w:rPr>
        <w:t>出现本办法第十二条规定的情形的；</w:t>
      </w:r>
    </w:p>
    <w:p>
      <w:pPr>
        <w:pStyle w:val="8"/>
        <w:numPr>
          <w:ilvl w:val="0"/>
          <w:numId w:val="5"/>
        </w:numPr>
        <w:spacing w:before="156" w:beforeLines="50" w:after="156" w:afterLines="50" w:line="360" w:lineRule="auto"/>
        <w:ind w:firstLineChars="0"/>
        <w:rPr>
          <w:rFonts w:ascii="宋体" w:hAnsi="宋体" w:eastAsia="宋体"/>
          <w:sz w:val="24"/>
          <w:szCs w:val="28"/>
        </w:rPr>
      </w:pPr>
      <w:r>
        <w:rPr>
          <w:rFonts w:hint="eastAsia" w:ascii="宋体" w:hAnsi="宋体" w:eastAsia="宋体"/>
          <w:sz w:val="24"/>
          <w:szCs w:val="28"/>
        </w:rPr>
        <w:t>一年内无特殊原因在收到通知后三次不参加案件评议活动的；</w:t>
      </w:r>
    </w:p>
    <w:p>
      <w:pPr>
        <w:pStyle w:val="8"/>
        <w:numPr>
          <w:ilvl w:val="0"/>
          <w:numId w:val="5"/>
        </w:numPr>
        <w:spacing w:before="156" w:beforeLines="50" w:after="156" w:afterLines="50" w:line="360" w:lineRule="auto"/>
        <w:ind w:firstLineChars="0"/>
        <w:rPr>
          <w:rFonts w:ascii="宋体" w:hAnsi="宋体" w:eastAsia="宋体"/>
          <w:sz w:val="24"/>
          <w:szCs w:val="28"/>
        </w:rPr>
      </w:pPr>
      <w:r>
        <w:rPr>
          <w:rFonts w:hint="eastAsia" w:ascii="宋体" w:hAnsi="宋体" w:eastAsia="宋体"/>
          <w:sz w:val="24"/>
          <w:szCs w:val="28"/>
        </w:rPr>
        <w:t>违反本办法规定，造成不良后果的。</w:t>
      </w:r>
    </w:p>
    <w:p>
      <w:pPr>
        <w:pStyle w:val="4"/>
        <w:numPr>
          <w:ilvl w:val="255"/>
          <w:numId w:val="0"/>
        </w:numPr>
        <w:spacing w:line="456" w:lineRule="auto"/>
        <w:ind w:left="-4"/>
        <w:jc w:val="center"/>
        <w:rPr>
          <w:rFonts w:ascii="黑体" w:hAnsi="黑体" w:eastAsia="黑体" w:cs="黑体"/>
          <w:color w:val="333333"/>
          <w:sz w:val="32"/>
          <w:szCs w:val="32"/>
        </w:rPr>
      </w:pPr>
      <w:r>
        <w:rPr>
          <w:rFonts w:hint="eastAsia" w:ascii="黑体" w:hAnsi="黑体" w:eastAsia="黑体" w:cs="黑体"/>
          <w:color w:val="333333"/>
          <w:sz w:val="32"/>
          <w:szCs w:val="32"/>
        </w:rPr>
        <w:t>第四章  公众评议程序</w:t>
      </w:r>
    </w:p>
    <w:p>
      <w:pPr>
        <w:pStyle w:val="8"/>
        <w:numPr>
          <w:ilvl w:val="0"/>
          <w:numId w:val="2"/>
        </w:numPr>
        <w:spacing w:before="156" w:beforeLines="50" w:after="156" w:afterLines="50" w:line="360" w:lineRule="auto"/>
        <w:ind w:left="0" w:firstLine="480"/>
        <w:rPr>
          <w:rFonts w:ascii="宋体" w:hAnsi="宋体" w:eastAsia="宋体"/>
          <w:sz w:val="24"/>
          <w:szCs w:val="28"/>
        </w:rPr>
      </w:pPr>
      <w:r>
        <w:rPr>
          <w:rFonts w:hint="eastAsia" w:ascii="宋体" w:hAnsi="宋体" w:eastAsia="宋体"/>
          <w:sz w:val="24"/>
          <w:szCs w:val="28"/>
        </w:rPr>
        <w:t>街道综合行政执法部门承办的案件具有本办法第七条情形的，执法案件承办人应当在提出拟处理决定时一并将拟处理决定、案件卷宗材料包括立案呈批表、调查笔录、勘察笔录、现场照片等证据材料交街道综合行政执法部门指定的公众评议办事机构或者专人进行公众评议准备。</w:t>
      </w:r>
    </w:p>
    <w:p>
      <w:pPr>
        <w:pStyle w:val="8"/>
        <w:numPr>
          <w:ilvl w:val="0"/>
          <w:numId w:val="2"/>
        </w:numPr>
        <w:spacing w:before="156" w:beforeLines="50" w:after="156" w:afterLines="50" w:line="360" w:lineRule="auto"/>
        <w:ind w:left="0" w:firstLine="480"/>
        <w:rPr>
          <w:rFonts w:ascii="宋体" w:hAnsi="宋体" w:eastAsia="宋体"/>
          <w:sz w:val="24"/>
          <w:szCs w:val="28"/>
        </w:rPr>
      </w:pPr>
      <w:r>
        <w:rPr>
          <w:rFonts w:hint="eastAsia" w:ascii="宋体" w:hAnsi="宋体" w:eastAsia="宋体"/>
          <w:sz w:val="24"/>
          <w:szCs w:val="28"/>
        </w:rPr>
        <w:t>公众评议办事机构或者专人收到案件承办人移送的有关案件材料后，应当在</w:t>
      </w:r>
      <w:r>
        <w:rPr>
          <w:rFonts w:ascii="宋体" w:hAnsi="宋体" w:eastAsia="宋体"/>
          <w:sz w:val="24"/>
          <w:szCs w:val="28"/>
        </w:rPr>
        <w:t>3</w:t>
      </w:r>
      <w:r>
        <w:rPr>
          <w:rFonts w:hint="eastAsia" w:ascii="宋体" w:hAnsi="宋体" w:eastAsia="宋体"/>
          <w:sz w:val="24"/>
          <w:szCs w:val="28"/>
        </w:rPr>
        <w:t>日内进行审查。经审查认为符合应当进行公众评议的情形的，启动公众评议程序。</w:t>
      </w:r>
    </w:p>
    <w:p>
      <w:pPr>
        <w:pStyle w:val="8"/>
        <w:numPr>
          <w:ilvl w:val="0"/>
          <w:numId w:val="2"/>
        </w:numPr>
        <w:spacing w:before="156" w:beforeLines="50" w:after="156" w:afterLines="50" w:line="360" w:lineRule="auto"/>
        <w:ind w:left="0" w:firstLine="480"/>
        <w:rPr>
          <w:rFonts w:ascii="宋体" w:hAnsi="宋体" w:eastAsia="宋体"/>
          <w:sz w:val="24"/>
          <w:szCs w:val="28"/>
        </w:rPr>
      </w:pPr>
      <w:r>
        <w:rPr>
          <w:rFonts w:hint="eastAsia" w:ascii="宋体" w:hAnsi="宋体" w:eastAsia="宋体"/>
          <w:sz w:val="24"/>
          <w:szCs w:val="28"/>
        </w:rPr>
        <w:t>街道综合行政执法部门实施行政处罚需要由公众评议员参加评议的，一般应当由三名公众评议员共同进行评议，特别重大的案件，应当由五名公众评议员进行评议。</w:t>
      </w:r>
    </w:p>
    <w:p>
      <w:pPr>
        <w:spacing w:before="156" w:beforeLines="50" w:after="156" w:afterLines="50" w:line="360" w:lineRule="auto"/>
        <w:ind w:firstLine="480" w:firstLineChars="200"/>
        <w:rPr>
          <w:rFonts w:ascii="宋体" w:hAnsi="宋体" w:eastAsia="宋体"/>
          <w:sz w:val="24"/>
          <w:szCs w:val="28"/>
        </w:rPr>
      </w:pPr>
      <w:r>
        <w:rPr>
          <w:rFonts w:hint="eastAsia" w:ascii="宋体" w:hAnsi="宋体" w:eastAsia="宋体"/>
          <w:sz w:val="24"/>
          <w:szCs w:val="28"/>
        </w:rPr>
        <w:t>参加评议的公众评议员应当在公众评议员名单中随机抽取确定。公众评议机构或专人应当从所确定的公众评议员中指定一人为评议主持人。</w:t>
      </w:r>
    </w:p>
    <w:p>
      <w:pPr>
        <w:pStyle w:val="8"/>
        <w:numPr>
          <w:ilvl w:val="0"/>
          <w:numId w:val="2"/>
        </w:numPr>
        <w:spacing w:before="156" w:beforeLines="50" w:after="156" w:afterLines="50" w:line="360" w:lineRule="auto"/>
        <w:ind w:left="0" w:firstLine="480"/>
        <w:rPr>
          <w:rFonts w:ascii="宋体" w:hAnsi="宋体" w:eastAsia="宋体"/>
          <w:sz w:val="24"/>
          <w:szCs w:val="28"/>
        </w:rPr>
      </w:pPr>
      <w:r>
        <w:rPr>
          <w:rFonts w:hint="eastAsia" w:ascii="宋体" w:hAnsi="宋体" w:eastAsia="宋体"/>
          <w:sz w:val="24"/>
          <w:szCs w:val="28"/>
        </w:rPr>
        <w:t>公众评议员参加评议的案件与本人及其近亲属有利害关系的，应当向公众评议办事机构或专人说明情况并主动回避。公众评议员的回避由</w:t>
      </w:r>
      <w:r>
        <w:rPr>
          <w:rFonts w:ascii="宋体" w:hAnsi="宋体" w:eastAsia="宋体"/>
          <w:sz w:val="24"/>
          <w:szCs w:val="28"/>
        </w:rPr>
        <w:t>公众评议办事机构</w:t>
      </w:r>
      <w:r>
        <w:rPr>
          <w:rFonts w:hint="eastAsia" w:ascii="宋体" w:hAnsi="宋体" w:eastAsia="宋体"/>
          <w:sz w:val="24"/>
          <w:szCs w:val="28"/>
        </w:rPr>
        <w:t>或专人</w:t>
      </w:r>
      <w:r>
        <w:rPr>
          <w:rFonts w:ascii="宋体" w:hAnsi="宋体" w:eastAsia="宋体"/>
          <w:sz w:val="24"/>
          <w:szCs w:val="28"/>
        </w:rPr>
        <w:t>决定。</w:t>
      </w:r>
    </w:p>
    <w:p>
      <w:pPr>
        <w:pStyle w:val="8"/>
        <w:numPr>
          <w:ilvl w:val="0"/>
          <w:numId w:val="2"/>
        </w:numPr>
        <w:spacing w:before="156" w:beforeLines="50" w:after="156" w:afterLines="50" w:line="360" w:lineRule="auto"/>
        <w:ind w:left="0" w:firstLine="480"/>
        <w:rPr>
          <w:rFonts w:ascii="宋体" w:hAnsi="宋体" w:eastAsia="宋体"/>
          <w:sz w:val="24"/>
          <w:szCs w:val="28"/>
        </w:rPr>
      </w:pPr>
      <w:r>
        <w:rPr>
          <w:rFonts w:hint="eastAsia" w:ascii="宋体" w:hAnsi="宋体" w:eastAsia="宋体"/>
          <w:sz w:val="24"/>
          <w:szCs w:val="28"/>
        </w:rPr>
        <w:t>参加案件评议的公众评议员确定后，公众评议办事机构或者专人应当在举行案件评议三个工作日前将评议案件的时间和地点通知参加案件公众评议的公众评议员和案件承办人，并应将</w:t>
      </w:r>
      <w:r>
        <w:rPr>
          <w:rFonts w:ascii="宋体" w:hAnsi="宋体" w:eastAsia="宋体"/>
          <w:sz w:val="24"/>
          <w:szCs w:val="28"/>
        </w:rPr>
        <w:t>拟处理决定（意见）书、案宗有关材料</w:t>
      </w:r>
      <w:r>
        <w:rPr>
          <w:rFonts w:hint="eastAsia" w:ascii="宋体" w:hAnsi="宋体" w:eastAsia="宋体"/>
          <w:sz w:val="24"/>
          <w:szCs w:val="28"/>
        </w:rPr>
        <w:t>发送给</w:t>
      </w:r>
      <w:r>
        <w:rPr>
          <w:rFonts w:ascii="宋体" w:hAnsi="宋体" w:eastAsia="宋体"/>
          <w:sz w:val="24"/>
          <w:szCs w:val="28"/>
        </w:rPr>
        <w:t>公众评议员</w:t>
      </w:r>
      <w:r>
        <w:rPr>
          <w:rFonts w:hint="eastAsia" w:ascii="宋体" w:hAnsi="宋体" w:eastAsia="宋体"/>
          <w:sz w:val="24"/>
          <w:szCs w:val="28"/>
        </w:rPr>
        <w:t>进行研究和审阅。</w:t>
      </w:r>
    </w:p>
    <w:p>
      <w:pPr>
        <w:spacing w:before="156" w:beforeLines="50" w:after="156" w:afterLines="50" w:line="360" w:lineRule="auto"/>
        <w:ind w:firstLine="480" w:firstLineChars="200"/>
        <w:rPr>
          <w:rFonts w:ascii="宋体" w:hAnsi="宋体" w:eastAsia="宋体"/>
          <w:sz w:val="24"/>
          <w:szCs w:val="28"/>
        </w:rPr>
      </w:pPr>
      <w:r>
        <w:rPr>
          <w:rFonts w:hint="eastAsia" w:ascii="宋体" w:hAnsi="宋体" w:eastAsia="宋体"/>
          <w:sz w:val="24"/>
          <w:szCs w:val="28"/>
        </w:rPr>
        <w:t>公众评议员认为需要查看现场或与当事人见面以全面了解案件事实的，可以向公众评议办事机构或者专人提出申请并说明理由，公众评议办事机构或者专人应该对其必要性进行评估后决定。</w:t>
      </w:r>
    </w:p>
    <w:p>
      <w:pPr>
        <w:pStyle w:val="8"/>
        <w:numPr>
          <w:ilvl w:val="0"/>
          <w:numId w:val="2"/>
        </w:numPr>
        <w:spacing w:before="156" w:beforeLines="50" w:after="156" w:afterLines="50" w:line="360" w:lineRule="auto"/>
        <w:ind w:left="0" w:firstLine="480"/>
        <w:rPr>
          <w:rFonts w:ascii="宋体" w:hAnsi="宋体" w:eastAsia="宋体"/>
          <w:sz w:val="24"/>
          <w:szCs w:val="28"/>
        </w:rPr>
      </w:pPr>
      <w:r>
        <w:rPr>
          <w:rFonts w:hint="eastAsia" w:ascii="宋体" w:hAnsi="宋体" w:eastAsia="宋体"/>
          <w:sz w:val="24"/>
          <w:szCs w:val="28"/>
        </w:rPr>
        <w:t>案件评议工作应当依照下列步骤进行：</w:t>
      </w:r>
    </w:p>
    <w:p>
      <w:pPr>
        <w:pStyle w:val="8"/>
        <w:numPr>
          <w:ilvl w:val="0"/>
          <w:numId w:val="6"/>
        </w:numPr>
        <w:spacing w:before="156" w:beforeLines="50" w:after="156" w:afterLines="50" w:line="360" w:lineRule="auto"/>
        <w:ind w:firstLineChars="0"/>
        <w:rPr>
          <w:rFonts w:ascii="宋体" w:hAnsi="宋体" w:eastAsia="宋体"/>
          <w:sz w:val="24"/>
          <w:szCs w:val="28"/>
        </w:rPr>
      </w:pPr>
      <w:r>
        <w:rPr>
          <w:rFonts w:hint="eastAsia" w:ascii="宋体" w:hAnsi="宋体" w:eastAsia="宋体"/>
          <w:sz w:val="24"/>
          <w:szCs w:val="28"/>
        </w:rPr>
        <w:t>案件承办人向公众评议员介绍案情，说明拟处理决定（意见）的理由和依据；</w:t>
      </w:r>
    </w:p>
    <w:p>
      <w:pPr>
        <w:pStyle w:val="8"/>
        <w:numPr>
          <w:ilvl w:val="0"/>
          <w:numId w:val="6"/>
        </w:numPr>
        <w:spacing w:before="156" w:beforeLines="50" w:after="156" w:afterLines="50" w:line="360" w:lineRule="auto"/>
        <w:ind w:firstLineChars="0"/>
        <w:rPr>
          <w:rFonts w:ascii="宋体" w:hAnsi="宋体" w:eastAsia="宋体"/>
          <w:sz w:val="24"/>
          <w:szCs w:val="28"/>
        </w:rPr>
      </w:pPr>
      <w:r>
        <w:rPr>
          <w:rFonts w:hint="eastAsia" w:ascii="宋体" w:hAnsi="宋体" w:eastAsia="宋体"/>
          <w:sz w:val="24"/>
          <w:szCs w:val="28"/>
        </w:rPr>
        <w:t>案件承办人回答公众评议员提出的问题；</w:t>
      </w:r>
    </w:p>
    <w:p>
      <w:pPr>
        <w:numPr>
          <w:ilvl w:val="0"/>
          <w:numId w:val="6"/>
        </w:numPr>
        <w:spacing w:before="156" w:beforeLines="50" w:after="156" w:afterLines="50" w:line="360" w:lineRule="auto"/>
        <w:rPr>
          <w:rFonts w:ascii="宋体" w:hAnsi="宋体" w:eastAsia="宋体"/>
          <w:sz w:val="24"/>
          <w:szCs w:val="28"/>
        </w:rPr>
      </w:pPr>
      <w:r>
        <w:rPr>
          <w:rFonts w:hint="eastAsia" w:ascii="宋体" w:hAnsi="宋体" w:eastAsia="宋体"/>
          <w:sz w:val="24"/>
          <w:szCs w:val="28"/>
        </w:rPr>
        <w:t>公众评议员进行独立评议和表决。</w:t>
      </w:r>
    </w:p>
    <w:p>
      <w:pPr>
        <w:numPr>
          <w:ilvl w:val="255"/>
          <w:numId w:val="0"/>
        </w:numPr>
        <w:spacing w:before="156" w:beforeLines="50" w:after="156" w:afterLines="50" w:line="360" w:lineRule="auto"/>
        <w:ind w:left="480"/>
        <w:rPr>
          <w:rFonts w:ascii="宋体" w:hAnsi="宋体" w:eastAsia="宋体"/>
          <w:sz w:val="24"/>
          <w:szCs w:val="28"/>
        </w:rPr>
      </w:pPr>
      <w:r>
        <w:rPr>
          <w:rFonts w:hint="eastAsia" w:ascii="宋体" w:hAnsi="宋体" w:eastAsia="宋体"/>
          <w:sz w:val="24"/>
          <w:szCs w:val="28"/>
        </w:rPr>
        <w:t xml:space="preserve">   街道综合行政执法部门综合室（案审部门）、驻队律师应当列席公众评议，接受公众评议员的询问。</w:t>
      </w:r>
    </w:p>
    <w:p>
      <w:pPr>
        <w:pStyle w:val="8"/>
        <w:numPr>
          <w:ilvl w:val="0"/>
          <w:numId w:val="2"/>
        </w:numPr>
        <w:spacing w:before="156" w:beforeLines="50" w:after="156" w:afterLines="50" w:line="360" w:lineRule="auto"/>
        <w:ind w:left="0" w:firstLine="480"/>
        <w:rPr>
          <w:rFonts w:ascii="宋体" w:hAnsi="宋体" w:eastAsia="宋体"/>
          <w:sz w:val="24"/>
          <w:szCs w:val="28"/>
        </w:rPr>
      </w:pPr>
      <w:r>
        <w:rPr>
          <w:rFonts w:hint="eastAsia" w:ascii="宋体" w:hAnsi="宋体" w:eastAsia="宋体"/>
          <w:sz w:val="24"/>
          <w:szCs w:val="28"/>
        </w:rPr>
        <w:t>公众评议员在评议时，应当对案件事实的查明情况、法律适用情况、办案程序的合规情况等充分发表意见，并说明是否同意街道综合行政执法部门的拟处理决定（意见）。</w:t>
      </w:r>
    </w:p>
    <w:p>
      <w:pPr>
        <w:spacing w:before="156" w:beforeLines="50" w:after="156" w:afterLines="50" w:line="360" w:lineRule="auto"/>
        <w:ind w:firstLine="480" w:firstLineChars="200"/>
        <w:rPr>
          <w:rFonts w:ascii="宋体" w:hAnsi="宋体" w:eastAsia="宋体"/>
          <w:sz w:val="24"/>
          <w:szCs w:val="28"/>
        </w:rPr>
      </w:pPr>
      <w:r>
        <w:rPr>
          <w:rFonts w:hint="eastAsia" w:ascii="宋体" w:hAnsi="宋体" w:eastAsia="宋体"/>
          <w:sz w:val="24"/>
          <w:szCs w:val="28"/>
        </w:rPr>
        <w:t>公众评议员进行评议和表决时，案件承办人和其他工作人员应当回避。</w:t>
      </w:r>
    </w:p>
    <w:p>
      <w:pPr>
        <w:pStyle w:val="8"/>
        <w:numPr>
          <w:ilvl w:val="0"/>
          <w:numId w:val="2"/>
        </w:numPr>
        <w:spacing w:before="156" w:beforeLines="50" w:after="156" w:afterLines="50" w:line="360" w:lineRule="auto"/>
        <w:ind w:left="0" w:firstLine="480"/>
        <w:rPr>
          <w:rFonts w:ascii="宋体" w:hAnsi="宋体" w:eastAsia="宋体"/>
          <w:sz w:val="24"/>
          <w:szCs w:val="28"/>
        </w:rPr>
      </w:pPr>
      <w:r>
        <w:rPr>
          <w:rFonts w:hint="eastAsia" w:ascii="宋体" w:hAnsi="宋体" w:eastAsia="宋体"/>
          <w:sz w:val="24"/>
          <w:szCs w:val="28"/>
        </w:rPr>
        <w:t>评议主持人应当场制作《公众评议员表决意见书》，说明表决情况、结果和理由。</w:t>
      </w:r>
    </w:p>
    <w:p>
      <w:pPr>
        <w:spacing w:before="156" w:beforeLines="50" w:after="156" w:afterLines="50" w:line="360" w:lineRule="auto"/>
        <w:ind w:firstLine="480" w:firstLineChars="200"/>
        <w:rPr>
          <w:rFonts w:ascii="宋体" w:hAnsi="宋体" w:eastAsia="宋体"/>
          <w:sz w:val="24"/>
          <w:szCs w:val="28"/>
        </w:rPr>
      </w:pPr>
      <w:r>
        <w:rPr>
          <w:rFonts w:hint="eastAsia" w:ascii="宋体" w:hAnsi="宋体" w:eastAsia="宋体"/>
          <w:sz w:val="24"/>
          <w:szCs w:val="28"/>
        </w:rPr>
        <w:t>公众评议员对案件评议意见不一致的，评议主持人应当组织公众评议员进行投票，并根据多数人的意见，形成表决意见。持不同意见的公众评议员的意见亦应当记录在案。</w:t>
      </w:r>
    </w:p>
    <w:p>
      <w:pPr>
        <w:pStyle w:val="8"/>
        <w:numPr>
          <w:ilvl w:val="0"/>
          <w:numId w:val="2"/>
        </w:numPr>
        <w:spacing w:before="156" w:beforeLines="50" w:after="156" w:afterLines="50" w:line="360" w:lineRule="auto"/>
        <w:ind w:left="0" w:firstLine="480"/>
        <w:rPr>
          <w:rFonts w:ascii="宋体" w:hAnsi="宋体" w:eastAsia="宋体"/>
          <w:sz w:val="24"/>
          <w:szCs w:val="28"/>
        </w:rPr>
      </w:pPr>
      <w:r>
        <w:rPr>
          <w:rFonts w:hint="eastAsia" w:ascii="宋体" w:hAnsi="宋体" w:eastAsia="宋体"/>
          <w:sz w:val="24"/>
          <w:szCs w:val="28"/>
        </w:rPr>
        <w:t>承办行政处罚案件的街道综合行政执法部门在作出最终处理决定时应当将公众评议意见作为重要参考，并附入行政处罚案卷保管。</w:t>
      </w:r>
    </w:p>
    <w:p>
      <w:pPr>
        <w:pStyle w:val="8"/>
        <w:numPr>
          <w:ilvl w:val="0"/>
          <w:numId w:val="2"/>
        </w:numPr>
        <w:spacing w:before="156" w:beforeLines="50" w:after="156" w:afterLines="50" w:line="360" w:lineRule="auto"/>
        <w:ind w:left="0" w:firstLine="480"/>
        <w:rPr>
          <w:rFonts w:ascii="宋体" w:hAnsi="宋体" w:eastAsia="宋体"/>
          <w:sz w:val="24"/>
          <w:szCs w:val="28"/>
        </w:rPr>
      </w:pPr>
      <w:r>
        <w:rPr>
          <w:rFonts w:hint="eastAsia" w:ascii="宋体" w:hAnsi="宋体" w:eastAsia="宋体"/>
          <w:sz w:val="24"/>
          <w:szCs w:val="28"/>
        </w:rPr>
        <w:t>街道综合行政</w:t>
      </w:r>
      <w:r>
        <w:rPr>
          <w:rFonts w:ascii="宋体" w:hAnsi="宋体" w:eastAsia="宋体"/>
          <w:sz w:val="24"/>
          <w:szCs w:val="28"/>
        </w:rPr>
        <w:t>执法部门的拟处理决定与公众评议意见在案件事实认定、法律适用及行政处罚的种类、数额等方面存在重大分歧的，应将案件提交</w:t>
      </w:r>
      <w:r>
        <w:rPr>
          <w:rFonts w:hint="eastAsia" w:ascii="宋体" w:hAnsi="宋体" w:eastAsia="宋体"/>
          <w:sz w:val="24"/>
          <w:szCs w:val="28"/>
        </w:rPr>
        <w:t>街道</w:t>
      </w:r>
      <w:r>
        <w:rPr>
          <w:rFonts w:ascii="宋体" w:hAnsi="宋体" w:eastAsia="宋体"/>
          <w:sz w:val="24"/>
          <w:szCs w:val="28"/>
        </w:rPr>
        <w:t>综合</w:t>
      </w:r>
      <w:r>
        <w:rPr>
          <w:rFonts w:hint="eastAsia" w:ascii="宋体" w:hAnsi="宋体" w:eastAsia="宋体"/>
          <w:sz w:val="24"/>
          <w:szCs w:val="28"/>
        </w:rPr>
        <w:t>行政</w:t>
      </w:r>
      <w:r>
        <w:rPr>
          <w:rFonts w:ascii="宋体" w:hAnsi="宋体" w:eastAsia="宋体"/>
          <w:sz w:val="24"/>
          <w:szCs w:val="28"/>
        </w:rPr>
        <w:t>执法案审会进行讨论，由案审会作出最终决定。</w:t>
      </w:r>
    </w:p>
    <w:p>
      <w:pPr>
        <w:pStyle w:val="8"/>
        <w:numPr>
          <w:ilvl w:val="255"/>
          <w:numId w:val="0"/>
        </w:numPr>
        <w:spacing w:before="156" w:beforeLines="50" w:after="156" w:afterLines="50" w:line="360" w:lineRule="auto"/>
        <w:ind w:left="420" w:leftChars="200"/>
        <w:rPr>
          <w:rFonts w:ascii="宋体" w:hAnsi="宋体" w:eastAsia="宋体"/>
          <w:sz w:val="24"/>
          <w:szCs w:val="28"/>
        </w:rPr>
      </w:pPr>
      <w:r>
        <w:rPr>
          <w:rFonts w:hint="eastAsia" w:ascii="宋体" w:hAnsi="宋体" w:eastAsia="宋体"/>
          <w:sz w:val="24"/>
          <w:szCs w:val="28"/>
        </w:rPr>
        <w:t>街道综合行政执法部门应当邀请该案的公众评议员列席案审会。</w:t>
      </w:r>
    </w:p>
    <w:p>
      <w:pPr>
        <w:pStyle w:val="8"/>
        <w:numPr>
          <w:ilvl w:val="0"/>
          <w:numId w:val="2"/>
        </w:numPr>
        <w:spacing w:before="156" w:beforeLines="50" w:after="156" w:afterLines="50" w:line="360" w:lineRule="auto"/>
        <w:ind w:left="0" w:firstLine="480"/>
        <w:rPr>
          <w:rFonts w:ascii="宋体" w:hAnsi="宋体" w:eastAsia="宋体"/>
          <w:sz w:val="24"/>
          <w:szCs w:val="28"/>
        </w:rPr>
      </w:pPr>
      <w:r>
        <w:rPr>
          <w:rFonts w:ascii="宋体" w:hAnsi="宋体" w:eastAsia="宋体"/>
          <w:sz w:val="24"/>
          <w:szCs w:val="28"/>
        </w:rPr>
        <w:t>案审委员会的</w:t>
      </w:r>
      <w:r>
        <w:rPr>
          <w:rFonts w:hint="eastAsia" w:ascii="宋体" w:hAnsi="宋体" w:eastAsia="宋体"/>
          <w:sz w:val="24"/>
          <w:szCs w:val="28"/>
        </w:rPr>
        <w:t>最终</w:t>
      </w:r>
      <w:r>
        <w:rPr>
          <w:rFonts w:ascii="宋体" w:hAnsi="宋体" w:eastAsia="宋体"/>
          <w:sz w:val="24"/>
          <w:szCs w:val="28"/>
        </w:rPr>
        <w:t>决定与公众评议意见不一致的，承办行政处罚案件的</w:t>
      </w:r>
      <w:r>
        <w:rPr>
          <w:rFonts w:hint="eastAsia" w:ascii="宋体" w:hAnsi="宋体" w:eastAsia="宋体"/>
          <w:sz w:val="24"/>
          <w:szCs w:val="28"/>
        </w:rPr>
        <w:t>街道综合行政</w:t>
      </w:r>
      <w:r>
        <w:rPr>
          <w:rFonts w:ascii="宋体" w:hAnsi="宋体" w:eastAsia="宋体"/>
          <w:sz w:val="24"/>
          <w:szCs w:val="28"/>
        </w:rPr>
        <w:t>执法部门应当于10个工作日内向</w:t>
      </w:r>
      <w:r>
        <w:rPr>
          <w:rFonts w:hint="eastAsia" w:ascii="宋体" w:hAnsi="宋体" w:eastAsia="宋体"/>
          <w:sz w:val="24"/>
          <w:szCs w:val="28"/>
        </w:rPr>
        <w:t>参加评议的</w:t>
      </w:r>
      <w:r>
        <w:rPr>
          <w:rFonts w:ascii="宋体" w:hAnsi="宋体" w:eastAsia="宋体"/>
          <w:sz w:val="24"/>
          <w:szCs w:val="28"/>
        </w:rPr>
        <w:t>公众评议员书面说明，同时将处理决定报区</w:t>
      </w:r>
      <w:r>
        <w:rPr>
          <w:rFonts w:hint="eastAsia" w:ascii="宋体" w:hAnsi="宋体" w:eastAsia="宋体"/>
          <w:sz w:val="24"/>
          <w:szCs w:val="28"/>
        </w:rPr>
        <w:t>司法局和街道</w:t>
      </w:r>
      <w:r>
        <w:rPr>
          <w:rFonts w:ascii="宋体" w:hAnsi="宋体" w:eastAsia="宋体"/>
          <w:sz w:val="24"/>
          <w:szCs w:val="28"/>
        </w:rPr>
        <w:t>综合</w:t>
      </w:r>
      <w:r>
        <w:rPr>
          <w:rFonts w:hint="eastAsia" w:ascii="宋体" w:hAnsi="宋体" w:eastAsia="宋体"/>
          <w:sz w:val="24"/>
          <w:szCs w:val="28"/>
        </w:rPr>
        <w:t>行政</w:t>
      </w:r>
      <w:r>
        <w:rPr>
          <w:rFonts w:ascii="宋体" w:hAnsi="宋体" w:eastAsia="宋体"/>
          <w:sz w:val="24"/>
          <w:szCs w:val="28"/>
        </w:rPr>
        <w:t>执法部门监察机构备案。</w:t>
      </w:r>
    </w:p>
    <w:p>
      <w:pPr>
        <w:pStyle w:val="4"/>
        <w:numPr>
          <w:ilvl w:val="255"/>
          <w:numId w:val="0"/>
        </w:numPr>
        <w:spacing w:line="456" w:lineRule="auto"/>
        <w:ind w:left="-4"/>
        <w:jc w:val="center"/>
        <w:rPr>
          <w:rFonts w:ascii="黑体" w:hAnsi="黑体" w:eastAsia="黑体" w:cs="黑体"/>
          <w:color w:val="333333"/>
          <w:sz w:val="32"/>
          <w:szCs w:val="32"/>
        </w:rPr>
      </w:pPr>
      <w:r>
        <w:rPr>
          <w:rFonts w:hint="eastAsia" w:ascii="黑体" w:hAnsi="黑体" w:eastAsia="黑体" w:cs="黑体"/>
          <w:color w:val="333333"/>
          <w:sz w:val="32"/>
          <w:szCs w:val="32"/>
        </w:rPr>
        <w:t>第五章  附  则</w:t>
      </w:r>
    </w:p>
    <w:p>
      <w:pPr>
        <w:pStyle w:val="8"/>
        <w:numPr>
          <w:ilvl w:val="0"/>
          <w:numId w:val="2"/>
        </w:numPr>
        <w:spacing w:before="156" w:beforeLines="50" w:after="156" w:afterLines="50" w:line="360" w:lineRule="auto"/>
        <w:ind w:left="0" w:firstLine="480"/>
        <w:rPr>
          <w:rFonts w:ascii="宋体" w:hAnsi="宋体" w:eastAsia="宋体"/>
          <w:sz w:val="24"/>
          <w:szCs w:val="28"/>
        </w:rPr>
      </w:pPr>
      <w:r>
        <w:rPr>
          <w:rFonts w:hint="eastAsia" w:ascii="宋体" w:hAnsi="宋体" w:eastAsia="宋体"/>
          <w:sz w:val="24"/>
          <w:szCs w:val="28"/>
        </w:rPr>
        <w:t>行政相对人认为行政机关应该进行公众评议而没有进行的，可以向街道综合行政执法监察机构进行投诉。</w:t>
      </w:r>
    </w:p>
    <w:p>
      <w:pPr>
        <w:pStyle w:val="8"/>
        <w:numPr>
          <w:ilvl w:val="0"/>
          <w:numId w:val="2"/>
        </w:numPr>
        <w:spacing w:before="156" w:beforeLines="50" w:after="156" w:afterLines="50" w:line="360" w:lineRule="auto"/>
        <w:ind w:left="0" w:firstLine="480"/>
        <w:rPr>
          <w:rFonts w:ascii="宋体" w:hAnsi="宋体" w:eastAsia="宋体"/>
          <w:sz w:val="24"/>
          <w:szCs w:val="28"/>
        </w:rPr>
      </w:pPr>
      <w:r>
        <w:rPr>
          <w:rFonts w:ascii="宋体" w:hAnsi="宋体" w:eastAsia="宋体"/>
          <w:sz w:val="24"/>
          <w:szCs w:val="28"/>
        </w:rPr>
        <w:t>依照本办法应当进行公众评议而</w:t>
      </w:r>
      <w:r>
        <w:rPr>
          <w:rFonts w:hint="eastAsia" w:ascii="宋体" w:hAnsi="宋体" w:eastAsia="宋体"/>
          <w:sz w:val="24"/>
          <w:szCs w:val="28"/>
        </w:rPr>
        <w:t>径行</w:t>
      </w:r>
      <w:r>
        <w:rPr>
          <w:rFonts w:ascii="宋体" w:hAnsi="宋体" w:eastAsia="宋体"/>
          <w:sz w:val="24"/>
          <w:szCs w:val="28"/>
        </w:rPr>
        <w:t>作出处理决定的，</w:t>
      </w:r>
      <w:r>
        <w:rPr>
          <w:rFonts w:hint="eastAsia" w:ascii="宋体" w:hAnsi="宋体" w:eastAsia="宋体"/>
          <w:sz w:val="24"/>
          <w:szCs w:val="28"/>
        </w:rPr>
        <w:t>街道综合行政</w:t>
      </w:r>
      <w:r>
        <w:rPr>
          <w:rFonts w:ascii="宋体" w:hAnsi="宋体" w:eastAsia="宋体"/>
          <w:sz w:val="24"/>
          <w:szCs w:val="28"/>
        </w:rPr>
        <w:t>执法监察机构应当予以通报，批评。</w:t>
      </w:r>
      <w:r>
        <w:rPr>
          <w:rFonts w:hint="eastAsia" w:ascii="宋体" w:hAnsi="宋体" w:eastAsia="宋体"/>
          <w:sz w:val="24"/>
          <w:szCs w:val="28"/>
        </w:rPr>
        <w:t>经街道综合行政执法负责人批准，</w:t>
      </w:r>
      <w:r>
        <w:rPr>
          <w:rFonts w:ascii="宋体" w:hAnsi="宋体" w:eastAsia="宋体"/>
          <w:sz w:val="24"/>
          <w:szCs w:val="28"/>
        </w:rPr>
        <w:t>必要时</w:t>
      </w:r>
      <w:r>
        <w:rPr>
          <w:rFonts w:hint="eastAsia" w:ascii="宋体" w:hAnsi="宋体" w:eastAsia="宋体"/>
          <w:sz w:val="24"/>
          <w:szCs w:val="28"/>
        </w:rPr>
        <w:t>可以启动</w:t>
      </w:r>
      <w:r>
        <w:rPr>
          <w:rFonts w:ascii="宋体" w:hAnsi="宋体" w:eastAsia="宋体"/>
          <w:sz w:val="24"/>
          <w:szCs w:val="28"/>
        </w:rPr>
        <w:t>案件监督复查程序。</w:t>
      </w:r>
    </w:p>
    <w:p>
      <w:pPr>
        <w:pStyle w:val="8"/>
        <w:numPr>
          <w:ilvl w:val="0"/>
          <w:numId w:val="2"/>
        </w:numPr>
        <w:spacing w:before="156" w:beforeLines="50" w:after="156" w:afterLines="50" w:line="360" w:lineRule="auto"/>
        <w:ind w:left="0" w:firstLine="480"/>
        <w:rPr>
          <w:rFonts w:ascii="宋体" w:hAnsi="宋体" w:eastAsia="宋体"/>
          <w:sz w:val="24"/>
          <w:szCs w:val="28"/>
        </w:rPr>
      </w:pPr>
      <w:r>
        <w:rPr>
          <w:rFonts w:ascii="宋体" w:hAnsi="宋体" w:eastAsia="宋体"/>
          <w:sz w:val="24"/>
          <w:szCs w:val="28"/>
        </w:rPr>
        <w:t>案件评议终结后，</w:t>
      </w:r>
      <w:r>
        <w:rPr>
          <w:rFonts w:hint="eastAsia" w:ascii="宋体" w:hAnsi="宋体" w:eastAsia="宋体"/>
          <w:sz w:val="24"/>
          <w:szCs w:val="28"/>
        </w:rPr>
        <w:t>街道综合行政执法</w:t>
      </w:r>
      <w:r>
        <w:rPr>
          <w:rFonts w:ascii="宋体" w:hAnsi="宋体" w:eastAsia="宋体"/>
          <w:sz w:val="24"/>
          <w:szCs w:val="28"/>
        </w:rPr>
        <w:t>评议办事机构</w:t>
      </w:r>
      <w:r>
        <w:rPr>
          <w:rFonts w:hint="eastAsia" w:ascii="宋体" w:hAnsi="宋体" w:eastAsia="宋体"/>
          <w:sz w:val="24"/>
          <w:szCs w:val="28"/>
        </w:rPr>
        <w:t>或专人</w:t>
      </w:r>
      <w:r>
        <w:rPr>
          <w:rFonts w:ascii="宋体" w:hAnsi="宋体" w:eastAsia="宋体"/>
          <w:sz w:val="24"/>
          <w:szCs w:val="28"/>
        </w:rPr>
        <w:t>应当对所有的文书和材料进行整理、归档</w:t>
      </w:r>
      <w:r>
        <w:rPr>
          <w:rFonts w:hint="eastAsia" w:ascii="宋体" w:hAnsi="宋体" w:eastAsia="宋体"/>
          <w:sz w:val="24"/>
          <w:szCs w:val="28"/>
        </w:rPr>
        <w:t>，公众评议材料作为行政执法案卷组成部分纳入管理</w:t>
      </w:r>
      <w:r>
        <w:rPr>
          <w:rFonts w:ascii="宋体" w:hAnsi="宋体" w:eastAsia="宋体"/>
          <w:sz w:val="24"/>
          <w:szCs w:val="28"/>
        </w:rPr>
        <w:t>。</w:t>
      </w:r>
    </w:p>
    <w:p>
      <w:pPr>
        <w:pStyle w:val="8"/>
        <w:numPr>
          <w:ilvl w:val="0"/>
          <w:numId w:val="2"/>
        </w:numPr>
        <w:spacing w:before="156" w:beforeLines="50" w:after="156" w:afterLines="50" w:line="360" w:lineRule="auto"/>
        <w:ind w:left="0" w:firstLine="480"/>
        <w:rPr>
          <w:rFonts w:ascii="宋体" w:hAnsi="宋体" w:eastAsia="宋体"/>
          <w:sz w:val="24"/>
          <w:szCs w:val="28"/>
        </w:rPr>
      </w:pPr>
      <w:r>
        <w:rPr>
          <w:rFonts w:hint="eastAsia" w:ascii="宋体" w:hAnsi="宋体" w:eastAsia="宋体"/>
          <w:sz w:val="24"/>
          <w:szCs w:val="28"/>
        </w:rPr>
        <w:t>本办法由街道司法所负责解释。</w:t>
      </w:r>
    </w:p>
    <w:p>
      <w:pPr>
        <w:pStyle w:val="8"/>
        <w:numPr>
          <w:ilvl w:val="0"/>
          <w:numId w:val="2"/>
        </w:numPr>
        <w:spacing w:before="156" w:beforeLines="50" w:after="156" w:afterLines="50" w:line="360" w:lineRule="auto"/>
        <w:ind w:left="0" w:firstLine="480"/>
        <w:rPr>
          <w:rFonts w:ascii="宋体" w:hAnsi="宋体" w:eastAsia="宋体"/>
          <w:sz w:val="24"/>
          <w:szCs w:val="28"/>
        </w:rPr>
      </w:pPr>
      <w:r>
        <w:rPr>
          <w:rFonts w:ascii="宋体" w:hAnsi="宋体" w:eastAsia="宋体"/>
          <w:sz w:val="24"/>
          <w:szCs w:val="28"/>
        </w:rPr>
        <w:t>本办法自</w:t>
      </w:r>
      <w:r>
        <w:rPr>
          <w:rFonts w:hint="eastAsia" w:ascii="宋体" w:hAnsi="宋体" w:eastAsia="宋体"/>
          <w:sz w:val="24"/>
          <w:szCs w:val="28"/>
        </w:rPr>
        <w:t>印发</w:t>
      </w:r>
      <w:r>
        <w:rPr>
          <w:rFonts w:ascii="宋体" w:hAnsi="宋体" w:eastAsia="宋体"/>
          <w:sz w:val="24"/>
          <w:szCs w:val="28"/>
        </w:rPr>
        <w:t>之日起施行。</w:t>
      </w:r>
    </w:p>
    <w:p>
      <w:pPr>
        <w:spacing w:before="156" w:beforeLines="50" w:after="156" w:afterLines="50" w:line="360" w:lineRule="auto"/>
        <w:rPr>
          <w:rFonts w:ascii="宋体" w:hAnsi="宋体" w:eastAsia="宋体"/>
          <w:sz w:val="24"/>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E8325E"/>
    <w:multiLevelType w:val="multilevel"/>
    <w:tmpl w:val="02E8325E"/>
    <w:lvl w:ilvl="0" w:tentative="0">
      <w:start w:val="1"/>
      <w:numFmt w:val="japaneseCounting"/>
      <w:lvlText w:val="第%1章"/>
      <w:lvlJc w:val="left"/>
      <w:pPr>
        <w:ind w:left="4160" w:hanging="1280"/>
      </w:pPr>
      <w:rPr>
        <w:rFonts w:hint="default"/>
      </w:rPr>
    </w:lvl>
    <w:lvl w:ilvl="1" w:tentative="0">
      <w:start w:val="1"/>
      <w:numFmt w:val="lowerLetter"/>
      <w:lvlText w:val="%2)"/>
      <w:lvlJc w:val="left"/>
      <w:pPr>
        <w:ind w:left="3720" w:hanging="420"/>
      </w:pPr>
    </w:lvl>
    <w:lvl w:ilvl="2" w:tentative="0">
      <w:start w:val="1"/>
      <w:numFmt w:val="lowerRoman"/>
      <w:lvlText w:val="%3."/>
      <w:lvlJc w:val="right"/>
      <w:pPr>
        <w:ind w:left="4140" w:hanging="420"/>
      </w:pPr>
    </w:lvl>
    <w:lvl w:ilvl="3" w:tentative="0">
      <w:start w:val="1"/>
      <w:numFmt w:val="decimal"/>
      <w:lvlText w:val="%4."/>
      <w:lvlJc w:val="left"/>
      <w:pPr>
        <w:ind w:left="4560" w:hanging="420"/>
      </w:pPr>
    </w:lvl>
    <w:lvl w:ilvl="4" w:tentative="0">
      <w:start w:val="1"/>
      <w:numFmt w:val="lowerLetter"/>
      <w:lvlText w:val="%5)"/>
      <w:lvlJc w:val="left"/>
      <w:pPr>
        <w:ind w:left="4980" w:hanging="420"/>
      </w:pPr>
    </w:lvl>
    <w:lvl w:ilvl="5" w:tentative="0">
      <w:start w:val="1"/>
      <w:numFmt w:val="lowerRoman"/>
      <w:lvlText w:val="%6."/>
      <w:lvlJc w:val="right"/>
      <w:pPr>
        <w:ind w:left="5400" w:hanging="420"/>
      </w:pPr>
    </w:lvl>
    <w:lvl w:ilvl="6" w:tentative="0">
      <w:start w:val="1"/>
      <w:numFmt w:val="decimal"/>
      <w:lvlText w:val="%7."/>
      <w:lvlJc w:val="left"/>
      <w:pPr>
        <w:ind w:left="5820" w:hanging="420"/>
      </w:pPr>
    </w:lvl>
    <w:lvl w:ilvl="7" w:tentative="0">
      <w:start w:val="1"/>
      <w:numFmt w:val="lowerLetter"/>
      <w:lvlText w:val="%8)"/>
      <w:lvlJc w:val="left"/>
      <w:pPr>
        <w:ind w:left="6240" w:hanging="420"/>
      </w:pPr>
    </w:lvl>
    <w:lvl w:ilvl="8" w:tentative="0">
      <w:start w:val="1"/>
      <w:numFmt w:val="lowerRoman"/>
      <w:lvlText w:val="%9."/>
      <w:lvlJc w:val="right"/>
      <w:pPr>
        <w:ind w:left="6660" w:hanging="420"/>
      </w:pPr>
    </w:lvl>
  </w:abstractNum>
  <w:abstractNum w:abstractNumId="1">
    <w:nsid w:val="1C3713DD"/>
    <w:multiLevelType w:val="multilevel"/>
    <w:tmpl w:val="1C3713DD"/>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214229C5"/>
    <w:multiLevelType w:val="multilevel"/>
    <w:tmpl w:val="214229C5"/>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45EC3B22"/>
    <w:multiLevelType w:val="multilevel"/>
    <w:tmpl w:val="45EC3B22"/>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5D764A64"/>
    <w:multiLevelType w:val="multilevel"/>
    <w:tmpl w:val="5D764A64"/>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61E606D5"/>
    <w:multiLevelType w:val="multilevel"/>
    <w:tmpl w:val="61E606D5"/>
    <w:lvl w:ilvl="0" w:tentative="0">
      <w:start w:val="1"/>
      <w:numFmt w:val="japaneseCounting"/>
      <w:lvlText w:val="第%1条"/>
      <w:lvlJc w:val="left"/>
      <w:pPr>
        <w:ind w:left="840" w:hanging="84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B17"/>
    <w:rsid w:val="00001286"/>
    <w:rsid w:val="00001FC5"/>
    <w:rsid w:val="000042EE"/>
    <w:rsid w:val="00031797"/>
    <w:rsid w:val="000407EF"/>
    <w:rsid w:val="000935F1"/>
    <w:rsid w:val="000B4410"/>
    <w:rsid w:val="000D20A8"/>
    <w:rsid w:val="000F28B7"/>
    <w:rsid w:val="001129E4"/>
    <w:rsid w:val="00122BB5"/>
    <w:rsid w:val="00141F05"/>
    <w:rsid w:val="00157A00"/>
    <w:rsid w:val="001670B1"/>
    <w:rsid w:val="0017099C"/>
    <w:rsid w:val="001A1143"/>
    <w:rsid w:val="001A1DE7"/>
    <w:rsid w:val="001D12F2"/>
    <w:rsid w:val="001E071E"/>
    <w:rsid w:val="001E3DDB"/>
    <w:rsid w:val="001F2C3B"/>
    <w:rsid w:val="001F52BC"/>
    <w:rsid w:val="001F6E22"/>
    <w:rsid w:val="0021199C"/>
    <w:rsid w:val="00246491"/>
    <w:rsid w:val="0027773A"/>
    <w:rsid w:val="002A7272"/>
    <w:rsid w:val="002D57DF"/>
    <w:rsid w:val="002D5DBE"/>
    <w:rsid w:val="002E1F17"/>
    <w:rsid w:val="002F41B3"/>
    <w:rsid w:val="002F6714"/>
    <w:rsid w:val="00315439"/>
    <w:rsid w:val="00336557"/>
    <w:rsid w:val="00336E92"/>
    <w:rsid w:val="00353EB5"/>
    <w:rsid w:val="003B6898"/>
    <w:rsid w:val="003C38C6"/>
    <w:rsid w:val="003C58B9"/>
    <w:rsid w:val="003D575C"/>
    <w:rsid w:val="003D5DD5"/>
    <w:rsid w:val="003E5A2F"/>
    <w:rsid w:val="00404947"/>
    <w:rsid w:val="00443611"/>
    <w:rsid w:val="0045615C"/>
    <w:rsid w:val="00460234"/>
    <w:rsid w:val="00463EA0"/>
    <w:rsid w:val="00475688"/>
    <w:rsid w:val="00483B47"/>
    <w:rsid w:val="00490329"/>
    <w:rsid w:val="004C23BD"/>
    <w:rsid w:val="004C4265"/>
    <w:rsid w:val="004D05E2"/>
    <w:rsid w:val="004D1F90"/>
    <w:rsid w:val="004D4AC0"/>
    <w:rsid w:val="004E7080"/>
    <w:rsid w:val="004F261D"/>
    <w:rsid w:val="00504057"/>
    <w:rsid w:val="005665C5"/>
    <w:rsid w:val="00566FDA"/>
    <w:rsid w:val="00573F40"/>
    <w:rsid w:val="00575591"/>
    <w:rsid w:val="00593A4B"/>
    <w:rsid w:val="005A316B"/>
    <w:rsid w:val="005A6A40"/>
    <w:rsid w:val="005D57DA"/>
    <w:rsid w:val="005E0E6A"/>
    <w:rsid w:val="005E4047"/>
    <w:rsid w:val="005E5115"/>
    <w:rsid w:val="005F7A42"/>
    <w:rsid w:val="00622A5F"/>
    <w:rsid w:val="0064038C"/>
    <w:rsid w:val="00653CFC"/>
    <w:rsid w:val="00653DD6"/>
    <w:rsid w:val="00664209"/>
    <w:rsid w:val="00680056"/>
    <w:rsid w:val="006803F5"/>
    <w:rsid w:val="0068258A"/>
    <w:rsid w:val="006842C1"/>
    <w:rsid w:val="0069733C"/>
    <w:rsid w:val="006C2B17"/>
    <w:rsid w:val="006D315B"/>
    <w:rsid w:val="007118E2"/>
    <w:rsid w:val="00735EFE"/>
    <w:rsid w:val="00736A55"/>
    <w:rsid w:val="00740825"/>
    <w:rsid w:val="007467CE"/>
    <w:rsid w:val="0076577C"/>
    <w:rsid w:val="00781336"/>
    <w:rsid w:val="0078285D"/>
    <w:rsid w:val="007A63A4"/>
    <w:rsid w:val="007C28ED"/>
    <w:rsid w:val="0081612D"/>
    <w:rsid w:val="008327C0"/>
    <w:rsid w:val="0084551B"/>
    <w:rsid w:val="00862C3E"/>
    <w:rsid w:val="0087415A"/>
    <w:rsid w:val="008850A7"/>
    <w:rsid w:val="00894015"/>
    <w:rsid w:val="008F6B99"/>
    <w:rsid w:val="00927E0C"/>
    <w:rsid w:val="009369D1"/>
    <w:rsid w:val="009673E1"/>
    <w:rsid w:val="009A401E"/>
    <w:rsid w:val="009A7A07"/>
    <w:rsid w:val="009C0C49"/>
    <w:rsid w:val="009C39A0"/>
    <w:rsid w:val="009C4938"/>
    <w:rsid w:val="009D21A2"/>
    <w:rsid w:val="009E1B57"/>
    <w:rsid w:val="009E39CC"/>
    <w:rsid w:val="009E5ED0"/>
    <w:rsid w:val="009F27AF"/>
    <w:rsid w:val="00A035CF"/>
    <w:rsid w:val="00A11B88"/>
    <w:rsid w:val="00A13C28"/>
    <w:rsid w:val="00A15802"/>
    <w:rsid w:val="00A3492D"/>
    <w:rsid w:val="00A3673F"/>
    <w:rsid w:val="00A47C1E"/>
    <w:rsid w:val="00A615ED"/>
    <w:rsid w:val="00A7732A"/>
    <w:rsid w:val="00A93B4F"/>
    <w:rsid w:val="00AA0084"/>
    <w:rsid w:val="00AA7DC6"/>
    <w:rsid w:val="00AC3641"/>
    <w:rsid w:val="00AD0099"/>
    <w:rsid w:val="00AF72FA"/>
    <w:rsid w:val="00B006A3"/>
    <w:rsid w:val="00B12EB9"/>
    <w:rsid w:val="00B14EF8"/>
    <w:rsid w:val="00B171C9"/>
    <w:rsid w:val="00B2004B"/>
    <w:rsid w:val="00B25634"/>
    <w:rsid w:val="00B56C24"/>
    <w:rsid w:val="00B6385B"/>
    <w:rsid w:val="00B80865"/>
    <w:rsid w:val="00B82EE4"/>
    <w:rsid w:val="00B97B13"/>
    <w:rsid w:val="00BB1467"/>
    <w:rsid w:val="00BC02A4"/>
    <w:rsid w:val="00BC6502"/>
    <w:rsid w:val="00BC652E"/>
    <w:rsid w:val="00BD0F7A"/>
    <w:rsid w:val="00BD6DF6"/>
    <w:rsid w:val="00C02B58"/>
    <w:rsid w:val="00C04379"/>
    <w:rsid w:val="00C26882"/>
    <w:rsid w:val="00C35BDC"/>
    <w:rsid w:val="00C50E44"/>
    <w:rsid w:val="00C52674"/>
    <w:rsid w:val="00C53382"/>
    <w:rsid w:val="00CA49FA"/>
    <w:rsid w:val="00CB32ED"/>
    <w:rsid w:val="00CB7B23"/>
    <w:rsid w:val="00D02A97"/>
    <w:rsid w:val="00D23F85"/>
    <w:rsid w:val="00D35E92"/>
    <w:rsid w:val="00D40B5B"/>
    <w:rsid w:val="00D632D2"/>
    <w:rsid w:val="00D64AA2"/>
    <w:rsid w:val="00D7334A"/>
    <w:rsid w:val="00D86615"/>
    <w:rsid w:val="00D87353"/>
    <w:rsid w:val="00D946E6"/>
    <w:rsid w:val="00DB6C67"/>
    <w:rsid w:val="00DC318A"/>
    <w:rsid w:val="00DD594F"/>
    <w:rsid w:val="00DE3CFA"/>
    <w:rsid w:val="00DE7A7B"/>
    <w:rsid w:val="00DF303D"/>
    <w:rsid w:val="00E30CD8"/>
    <w:rsid w:val="00E37708"/>
    <w:rsid w:val="00E5164A"/>
    <w:rsid w:val="00E52A6F"/>
    <w:rsid w:val="00E70D5A"/>
    <w:rsid w:val="00E72D33"/>
    <w:rsid w:val="00E83144"/>
    <w:rsid w:val="00E84C19"/>
    <w:rsid w:val="00E85ED2"/>
    <w:rsid w:val="00E86FD9"/>
    <w:rsid w:val="00EA3288"/>
    <w:rsid w:val="00EB1136"/>
    <w:rsid w:val="00EC4688"/>
    <w:rsid w:val="00EF164D"/>
    <w:rsid w:val="00F134D8"/>
    <w:rsid w:val="00F201A1"/>
    <w:rsid w:val="00F25119"/>
    <w:rsid w:val="00F31E2E"/>
    <w:rsid w:val="00F440DE"/>
    <w:rsid w:val="00F81E83"/>
    <w:rsid w:val="00F8669D"/>
    <w:rsid w:val="00F93D9B"/>
    <w:rsid w:val="00FB1918"/>
    <w:rsid w:val="00FB761C"/>
    <w:rsid w:val="00FD5EEE"/>
    <w:rsid w:val="00FE5807"/>
    <w:rsid w:val="00FF2537"/>
    <w:rsid w:val="00FF30FF"/>
    <w:rsid w:val="00FF5B58"/>
    <w:rsid w:val="01E5568F"/>
    <w:rsid w:val="03F206B6"/>
    <w:rsid w:val="08D8085C"/>
    <w:rsid w:val="148020F6"/>
    <w:rsid w:val="1D13576B"/>
    <w:rsid w:val="211A5D64"/>
    <w:rsid w:val="22961B6D"/>
    <w:rsid w:val="2A491A34"/>
    <w:rsid w:val="34AC4BFE"/>
    <w:rsid w:val="356F456A"/>
    <w:rsid w:val="3C020D67"/>
    <w:rsid w:val="455A18C1"/>
    <w:rsid w:val="461B160B"/>
    <w:rsid w:val="4D6818DA"/>
    <w:rsid w:val="54B64FA5"/>
    <w:rsid w:val="5ACC67C6"/>
    <w:rsid w:val="5EEF7B24"/>
    <w:rsid w:val="5F1620AA"/>
    <w:rsid w:val="615D2993"/>
    <w:rsid w:val="626E5EA5"/>
    <w:rsid w:val="6AED1D56"/>
    <w:rsid w:val="6B2759F0"/>
    <w:rsid w:val="71497F27"/>
    <w:rsid w:val="761E0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
    <w:name w:val="Char"/>
    <w:basedOn w:val="1"/>
    <w:qFormat/>
    <w:uiPriority w:val="0"/>
    <w:pPr>
      <w:jc w:val="center"/>
    </w:pPr>
    <w:rPr>
      <w:rFonts w:ascii="Times New Roman" w:hAnsi="Times New Roman" w:eastAsia="宋体" w:cs="Times New Roman"/>
      <w:szCs w:val="20"/>
    </w:rPr>
  </w:style>
  <w:style w:type="paragraph" w:styleId="8">
    <w:name w:val="List Paragraph"/>
    <w:basedOn w:val="1"/>
    <w:qFormat/>
    <w:uiPriority w:val="34"/>
    <w:pPr>
      <w:ind w:firstLine="420" w:firstLineChars="200"/>
    </w:p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476</Words>
  <Characters>2718</Characters>
  <Lines>22</Lines>
  <Paragraphs>6</Paragraphs>
  <TotalTime>42</TotalTime>
  <ScaleCrop>false</ScaleCrop>
  <LinksUpToDate>false</LinksUpToDate>
  <CharactersWithSpaces>3188</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2021-08-06T14:37:00Z</dcterms:created>
  <dc:creator>Zhou, Yuan /ZL</dc:creator>
  <cp:lastModifiedBy>chenxiangfan</cp:lastModifiedBy>
  <dcterms:modified xsi:type="dcterms:W3CDTF">2023-03-29T16:11:07Z</dcterms:modified>
  <cp:revision>197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8882D374DE46A3E39BF22364CB5F484B</vt:lpwstr>
  </property>
</Properties>
</file>