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rPr>
          <w:rFonts w:ascii="仿宋_GB2312" w:eastAsia="仿宋_GB2312"/>
          <w:b/>
          <w:sz w:val="32"/>
          <w:szCs w:val="32"/>
        </w:rPr>
      </w:pPr>
      <w:r>
        <w:rPr>
          <w:rFonts w:hint="eastAsia" w:ascii="仿宋_GB2312" w:eastAsia="仿宋_GB2312"/>
          <w:b/>
          <w:sz w:val="32"/>
          <w:szCs w:val="32"/>
        </w:rPr>
        <w:t>附件</w:t>
      </w:r>
    </w:p>
    <w:p>
      <w:pPr>
        <w:adjustRightInd w:val="0"/>
        <w:snapToGrid w:val="0"/>
        <w:spacing w:beforeLines="50" w:afterLines="50" w:line="500" w:lineRule="exact"/>
        <w:jc w:val="center"/>
        <w:rPr>
          <w:rFonts w:ascii="方正小标宋简体" w:hAnsi="方正小标宋简体" w:eastAsia="方正小标宋简体" w:cs="方正小标宋简体"/>
          <w:sz w:val="44"/>
          <w:szCs w:val="44"/>
        </w:rPr>
      </w:pPr>
    </w:p>
    <w:p>
      <w:pPr>
        <w:adjustRightInd w:val="0"/>
        <w:snapToGrid w:val="0"/>
        <w:spacing w:beforeLines="50" w:afterLines="50" w:line="5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sz w:val="44"/>
          <w:szCs w:val="44"/>
        </w:rPr>
        <w:t>福田区劳动人事争议数字仲裁系统建设项目采购需求</w:t>
      </w:r>
    </w:p>
    <w:p>
      <w:pPr>
        <w:snapToGrid w:val="0"/>
        <w:spacing w:line="579"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一、采购项目概况</w:t>
      </w:r>
    </w:p>
    <w:p>
      <w:pPr>
        <w:snapToGrid w:val="0"/>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（一）项目名称：福田区劳动人事争议数字仲裁系统建设</w:t>
      </w:r>
    </w:p>
    <w:p>
      <w:pPr>
        <w:snapToGrid w:val="0"/>
        <w:spacing w:line="579"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（二）预算金额：人民币</w:t>
      </w:r>
      <w:r>
        <w:rPr>
          <w:rFonts w:hint="eastAsia" w:ascii="仿宋_GB2312" w:hAnsi="仿宋_GB2312" w:eastAsia="仿宋_GB2312" w:cs="仿宋_GB2312"/>
          <w:sz w:val="28"/>
          <w:szCs w:val="28"/>
          <w:lang w:val="en-US" w:eastAsia="zh-CN"/>
        </w:rPr>
        <w:t>74</w:t>
      </w:r>
      <w:r>
        <w:rPr>
          <w:rFonts w:hint="eastAsia" w:ascii="仿宋_GB2312" w:hAnsi="仿宋_GB2312" w:eastAsia="仿宋_GB2312" w:cs="仿宋_GB2312"/>
          <w:sz w:val="28"/>
          <w:szCs w:val="28"/>
        </w:rPr>
        <w:t>0000元</w:t>
      </w:r>
    </w:p>
    <w:p>
      <w:pPr>
        <w:snapToGrid w:val="0"/>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（三）项目概况：</w:t>
      </w:r>
      <w:r>
        <w:rPr>
          <w:rFonts w:hint="eastAsia" w:ascii="仿宋_GB2312" w:hAnsi="仿宋_GB2312" w:eastAsia="仿宋_GB2312" w:cs="仿宋_GB2312"/>
          <w:b/>
          <w:bCs/>
          <w:sz w:val="28"/>
          <w:szCs w:val="28"/>
        </w:rPr>
        <w:t>劳动人事争议数字仲裁系统:</w:t>
      </w:r>
      <w:r>
        <w:rPr>
          <w:rFonts w:hint="eastAsia" w:ascii="仿宋_GB2312" w:hAnsi="仿宋_GB2312" w:eastAsia="仿宋_GB2312" w:cs="仿宋_GB2312"/>
          <w:sz w:val="28"/>
          <w:szCs w:val="28"/>
        </w:rPr>
        <w:t>数字仲裁庭建设是国家“互联网+调解仲裁”行动计划的重点任务，是助力深圳先行示范区建设、打造营商环境创新试点城市建设的重要手段。福田区人力资源局拟利用音视频、图形图像处理技术及通信与自动化技术，借助科学技术装备，对劳动人事争议仲裁庭审活动的所有笔录、音频、视频、电子证物等信息进行数</w:t>
      </w:r>
      <w:bookmarkStart w:id="0" w:name="_GoBack"/>
      <w:bookmarkEnd w:id="0"/>
      <w:r>
        <w:rPr>
          <w:rFonts w:hint="eastAsia" w:ascii="仿宋_GB2312" w:hAnsi="仿宋_GB2312" w:eastAsia="仿宋_GB2312" w:cs="仿宋_GB2312"/>
          <w:sz w:val="28"/>
          <w:szCs w:val="28"/>
        </w:rPr>
        <w:t>字化编码处理，实现仲裁案件庭审全程同步录音、录像、记录和证据同步展示的开庭场所。</w:t>
      </w:r>
    </w:p>
    <w:p>
      <w:pPr>
        <w:pStyle w:val="3"/>
        <w:ind w:firstLine="640"/>
        <w:rPr>
          <w:sz w:val="28"/>
          <w:szCs w:val="28"/>
        </w:rPr>
      </w:pPr>
      <w:r>
        <w:rPr>
          <w:rFonts w:hint="eastAsia" w:ascii="仿宋_GB2312" w:hAnsi="仿宋_GB2312" w:eastAsia="仿宋_GB2312" w:cs="仿宋_GB2312"/>
          <w:sz w:val="28"/>
          <w:szCs w:val="28"/>
        </w:rPr>
        <w:t>根据人社部《“互联网+调解仲裁”2020行动实施计划》要求结合福田区劳动人事争议仲裁院场地情况，对现有仲裁庭开展数字化改革建设，</w:t>
      </w:r>
      <w:r>
        <w:rPr>
          <w:rFonts w:hint="eastAsia" w:ascii="仿宋_GB2312" w:hAnsi="仿宋_GB2312" w:eastAsia="仿宋_GB2312" w:cs="仿宋_GB2312"/>
          <w:b/>
          <w:bCs/>
          <w:sz w:val="28"/>
          <w:szCs w:val="28"/>
        </w:rPr>
        <w:t>建设3个标准数字仲裁庭、4个基础数字仲裁庭以及2套移动仲裁庭，数字仲裁庭系统须对接深圳市劳动人事争议仲裁系统（办案系统、在线仲裁服务平台）</w:t>
      </w:r>
      <w:r>
        <w:rPr>
          <w:rFonts w:hint="eastAsia" w:ascii="仿宋_GB2312" w:hAnsi="仿宋_GB2312" w:eastAsia="仿宋_GB2312" w:cs="仿宋_GB2312"/>
          <w:sz w:val="28"/>
          <w:szCs w:val="28"/>
        </w:rPr>
        <w:t>，并按照市仲裁院相关要求，实现“在线庭审”、“异步庭审”等大部分模块功能。同时进一步完善仲裁申请受理大厅、审理研讨室等位置数字化服务设施建设</w:t>
      </w:r>
      <w:r>
        <w:rPr>
          <w:rFonts w:hint="eastAsia" w:ascii="仿宋_GB2312" w:hAnsi="仿宋_GB2312" w:eastAsia="仿宋_GB2312" w:cs="仿宋_GB2312"/>
          <w:color w:val="0008FF"/>
          <w:sz w:val="28"/>
          <w:szCs w:val="28"/>
        </w:rPr>
        <w:t>，</w:t>
      </w:r>
      <w:r>
        <w:rPr>
          <w:rFonts w:hint="eastAsia" w:ascii="仿宋_GB2312" w:hAnsi="仿宋_GB2312" w:eastAsia="仿宋_GB2312" w:cs="仿宋_GB2312"/>
          <w:sz w:val="28"/>
          <w:szCs w:val="28"/>
        </w:rPr>
        <w:t>达到利用现代化信息技术手段提高劳动人事争议服务及处理效能目的，确保福田区实现数字仲裁模式。</w:t>
      </w:r>
    </w:p>
    <w:p>
      <w:pPr>
        <w:snapToGrid w:val="0"/>
        <w:spacing w:line="579" w:lineRule="exact"/>
        <w:ind w:firstLine="560" w:firstLineChars="200"/>
        <w:rPr>
          <w:rFonts w:hint="eastAsia" w:ascii="黑体" w:hAnsi="黑体" w:eastAsia="黑体" w:cs="黑体"/>
          <w:bCs/>
          <w:sz w:val="28"/>
          <w:szCs w:val="28"/>
        </w:rPr>
      </w:pPr>
    </w:p>
    <w:p>
      <w:pPr>
        <w:snapToGrid w:val="0"/>
        <w:spacing w:line="579"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二、项目管理和服务要求</w:t>
      </w:r>
    </w:p>
    <w:tbl>
      <w:tblPr>
        <w:tblStyle w:val="9"/>
        <w:tblW w:w="8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652"/>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8" w:type="dxa"/>
            <w:noWrap/>
            <w:vAlign w:val="center"/>
          </w:tcPr>
          <w:p>
            <w:pPr>
              <w:pStyle w:val="16"/>
              <w:spacing w:line="400" w:lineRule="exact"/>
              <w:jc w:val="center"/>
              <w:rPr>
                <w:rFonts w:ascii="宋体" w:hAnsi="宋体" w:cs="仿宋"/>
                <w:b/>
                <w:bCs/>
                <w:sz w:val="24"/>
              </w:rPr>
            </w:pPr>
            <w:r>
              <w:rPr>
                <w:rFonts w:hint="eastAsia" w:ascii="宋体" w:hAnsi="宋体" w:cs="仿宋"/>
                <w:b/>
                <w:bCs/>
                <w:sz w:val="24"/>
              </w:rPr>
              <w:t>序号</w:t>
            </w:r>
          </w:p>
        </w:tc>
        <w:tc>
          <w:tcPr>
            <w:tcW w:w="2652" w:type="dxa"/>
            <w:noWrap/>
            <w:vAlign w:val="center"/>
          </w:tcPr>
          <w:p>
            <w:pPr>
              <w:pStyle w:val="16"/>
              <w:spacing w:line="400" w:lineRule="exact"/>
              <w:jc w:val="center"/>
              <w:rPr>
                <w:rFonts w:ascii="宋体" w:hAnsi="宋体" w:cs="仿宋"/>
                <w:b/>
                <w:bCs/>
                <w:sz w:val="24"/>
              </w:rPr>
            </w:pPr>
            <w:r>
              <w:rPr>
                <w:rFonts w:hint="eastAsia" w:ascii="宋体" w:hAnsi="宋体" w:cs="仿宋"/>
                <w:b/>
                <w:bCs/>
                <w:sz w:val="24"/>
              </w:rPr>
              <w:t>功能项</w:t>
            </w:r>
          </w:p>
        </w:tc>
        <w:tc>
          <w:tcPr>
            <w:tcW w:w="4586" w:type="dxa"/>
            <w:vAlign w:val="center"/>
          </w:tcPr>
          <w:p>
            <w:pPr>
              <w:pStyle w:val="16"/>
              <w:spacing w:line="400" w:lineRule="exact"/>
              <w:jc w:val="center"/>
              <w:rPr>
                <w:rFonts w:ascii="宋体" w:hAnsi="宋体" w:cs="仿宋"/>
                <w:b/>
                <w:bCs/>
                <w:sz w:val="24"/>
              </w:rPr>
            </w:pPr>
            <w:r>
              <w:rPr>
                <w:rFonts w:hint="eastAsia" w:ascii="宋体" w:hAnsi="宋体" w:cs="仿宋"/>
                <w:b/>
                <w:bCs/>
                <w:sz w:val="24"/>
              </w:rPr>
              <w:t>功能项说明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18" w:type="dxa"/>
            <w:noWrap/>
            <w:vAlign w:val="center"/>
          </w:tcPr>
          <w:p>
            <w:pPr>
              <w:pStyle w:val="16"/>
              <w:spacing w:line="400" w:lineRule="exact"/>
              <w:jc w:val="center"/>
              <w:rPr>
                <w:rFonts w:ascii="宋体" w:hAnsi="宋体" w:cs="仿宋"/>
                <w:sz w:val="24"/>
              </w:rPr>
            </w:pPr>
            <w:r>
              <w:rPr>
                <w:rFonts w:hint="eastAsia" w:ascii="宋体" w:hAnsi="宋体" w:cs="仿宋"/>
                <w:sz w:val="24"/>
              </w:rPr>
              <w:t>1</w:t>
            </w:r>
          </w:p>
        </w:tc>
        <w:tc>
          <w:tcPr>
            <w:tcW w:w="2652" w:type="dxa"/>
            <w:noWrap/>
            <w:vAlign w:val="center"/>
          </w:tcPr>
          <w:p>
            <w:pPr>
              <w:pStyle w:val="16"/>
              <w:spacing w:line="400" w:lineRule="exact"/>
              <w:rPr>
                <w:rFonts w:ascii="宋体" w:hAnsi="宋体" w:cs="仿宋"/>
                <w:sz w:val="24"/>
              </w:rPr>
            </w:pPr>
            <w:r>
              <w:rPr>
                <w:rFonts w:hint="eastAsia" w:ascii="宋体" w:hAnsi="宋体" w:cs="仿宋"/>
                <w:sz w:val="24"/>
              </w:rPr>
              <w:t>标准数字仲裁庭3个</w:t>
            </w:r>
          </w:p>
        </w:tc>
        <w:tc>
          <w:tcPr>
            <w:tcW w:w="4586" w:type="dxa"/>
            <w:vAlign w:val="center"/>
          </w:tcPr>
          <w:p>
            <w:pPr>
              <w:pStyle w:val="16"/>
              <w:spacing w:line="400" w:lineRule="exact"/>
              <w:rPr>
                <w:rFonts w:ascii="宋体" w:hAnsi="宋体" w:cs="仿宋"/>
                <w:sz w:val="24"/>
              </w:rPr>
            </w:pPr>
            <w:r>
              <w:rPr>
                <w:rFonts w:hint="eastAsia" w:ascii="宋体" w:hAnsi="宋体" w:cs="仿宋"/>
                <w:sz w:val="24"/>
              </w:rPr>
              <w:t>实现现场数字化开庭、互联网在线开庭（非实时“异步庭审”）等。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8" w:type="dxa"/>
            <w:noWrap/>
            <w:vAlign w:val="center"/>
          </w:tcPr>
          <w:p>
            <w:pPr>
              <w:pStyle w:val="16"/>
              <w:spacing w:line="400" w:lineRule="exact"/>
              <w:jc w:val="center"/>
              <w:rPr>
                <w:rFonts w:ascii="宋体" w:hAnsi="宋体" w:cs="仿宋"/>
                <w:sz w:val="24"/>
              </w:rPr>
            </w:pPr>
            <w:r>
              <w:rPr>
                <w:rFonts w:hint="eastAsia" w:ascii="宋体" w:hAnsi="宋体" w:cs="仿宋"/>
                <w:sz w:val="24"/>
              </w:rPr>
              <w:t>2</w:t>
            </w:r>
          </w:p>
        </w:tc>
        <w:tc>
          <w:tcPr>
            <w:tcW w:w="2652" w:type="dxa"/>
            <w:noWrap/>
            <w:vAlign w:val="center"/>
          </w:tcPr>
          <w:p>
            <w:pPr>
              <w:pStyle w:val="16"/>
              <w:spacing w:line="400" w:lineRule="exact"/>
              <w:rPr>
                <w:rFonts w:ascii="宋体" w:hAnsi="宋体" w:cs="仿宋"/>
                <w:sz w:val="24"/>
              </w:rPr>
            </w:pPr>
            <w:r>
              <w:rPr>
                <w:rFonts w:hint="eastAsia" w:ascii="宋体" w:hAnsi="宋体" w:cs="仿宋"/>
                <w:sz w:val="24"/>
              </w:rPr>
              <w:t>基础数字仲裁庭4个</w:t>
            </w:r>
          </w:p>
        </w:tc>
        <w:tc>
          <w:tcPr>
            <w:tcW w:w="4586" w:type="dxa"/>
            <w:vAlign w:val="center"/>
          </w:tcPr>
          <w:p>
            <w:pPr>
              <w:pStyle w:val="16"/>
              <w:spacing w:line="400" w:lineRule="exact"/>
              <w:rPr>
                <w:rFonts w:ascii="宋体" w:hAnsi="宋体" w:cs="仿宋"/>
                <w:sz w:val="24"/>
              </w:rPr>
            </w:pPr>
            <w:r>
              <w:rPr>
                <w:rFonts w:hint="eastAsia" w:ascii="宋体" w:hAnsi="宋体" w:cs="仿宋"/>
                <w:sz w:val="24"/>
              </w:rPr>
              <w:t>实现现场数字化开庭。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8" w:type="dxa"/>
            <w:noWrap/>
            <w:vAlign w:val="center"/>
          </w:tcPr>
          <w:p>
            <w:pPr>
              <w:pStyle w:val="16"/>
              <w:spacing w:line="400" w:lineRule="exact"/>
              <w:jc w:val="center"/>
              <w:rPr>
                <w:rFonts w:ascii="宋体" w:hAnsi="宋体" w:cs="仿宋"/>
                <w:sz w:val="24"/>
              </w:rPr>
            </w:pPr>
            <w:r>
              <w:rPr>
                <w:rFonts w:hint="eastAsia" w:ascii="宋体" w:hAnsi="宋体" w:cs="仿宋"/>
                <w:sz w:val="24"/>
              </w:rPr>
              <w:t>3</w:t>
            </w:r>
          </w:p>
        </w:tc>
        <w:tc>
          <w:tcPr>
            <w:tcW w:w="2652" w:type="dxa"/>
            <w:noWrap/>
            <w:vAlign w:val="center"/>
          </w:tcPr>
          <w:p>
            <w:pPr>
              <w:pStyle w:val="16"/>
              <w:spacing w:line="400" w:lineRule="exact"/>
              <w:rPr>
                <w:rFonts w:ascii="宋体" w:hAnsi="宋体" w:cs="仿宋"/>
                <w:sz w:val="24"/>
              </w:rPr>
            </w:pPr>
            <w:r>
              <w:rPr>
                <w:rFonts w:hint="eastAsia" w:ascii="宋体" w:hAnsi="宋体" w:cs="仿宋"/>
                <w:sz w:val="24"/>
              </w:rPr>
              <w:t>移动仲裁庭2套</w:t>
            </w:r>
          </w:p>
        </w:tc>
        <w:tc>
          <w:tcPr>
            <w:tcW w:w="4586" w:type="dxa"/>
            <w:vAlign w:val="center"/>
          </w:tcPr>
          <w:p>
            <w:pPr>
              <w:pStyle w:val="16"/>
              <w:spacing w:line="400" w:lineRule="exact"/>
              <w:rPr>
                <w:rFonts w:ascii="宋体" w:hAnsi="宋体" w:cs="仿宋"/>
                <w:sz w:val="24"/>
              </w:rPr>
            </w:pPr>
            <w:r>
              <w:rPr>
                <w:rFonts w:hint="eastAsia" w:ascii="宋体" w:hAnsi="宋体" w:cs="仿宋"/>
                <w:sz w:val="24"/>
              </w:rPr>
              <w:t>实现仲裁院以外区域开庭。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8" w:type="dxa"/>
            <w:noWrap/>
            <w:vAlign w:val="center"/>
          </w:tcPr>
          <w:p>
            <w:pPr>
              <w:pStyle w:val="16"/>
              <w:spacing w:line="400" w:lineRule="exact"/>
              <w:jc w:val="center"/>
              <w:rPr>
                <w:rFonts w:ascii="宋体" w:hAnsi="宋体" w:cs="仿宋"/>
                <w:sz w:val="24"/>
              </w:rPr>
            </w:pPr>
            <w:r>
              <w:rPr>
                <w:rFonts w:hint="eastAsia" w:ascii="宋体" w:hAnsi="宋体" w:cs="仿宋"/>
                <w:sz w:val="24"/>
              </w:rPr>
              <w:t>4</w:t>
            </w:r>
          </w:p>
        </w:tc>
        <w:tc>
          <w:tcPr>
            <w:tcW w:w="2652" w:type="dxa"/>
            <w:noWrap/>
            <w:vAlign w:val="center"/>
          </w:tcPr>
          <w:p>
            <w:pPr>
              <w:pStyle w:val="16"/>
              <w:spacing w:line="400" w:lineRule="exact"/>
              <w:rPr>
                <w:rFonts w:ascii="宋体" w:hAnsi="宋体" w:cs="仿宋"/>
                <w:sz w:val="24"/>
              </w:rPr>
            </w:pPr>
            <w:r>
              <w:rPr>
                <w:rFonts w:hint="eastAsia" w:ascii="宋体" w:hAnsi="宋体" w:cs="仿宋"/>
                <w:sz w:val="24"/>
              </w:rPr>
              <w:t>受理大厅及案件审理研讨室数字化改造</w:t>
            </w:r>
          </w:p>
        </w:tc>
        <w:tc>
          <w:tcPr>
            <w:tcW w:w="4586" w:type="dxa"/>
            <w:vAlign w:val="center"/>
          </w:tcPr>
          <w:p>
            <w:pPr>
              <w:pStyle w:val="16"/>
              <w:spacing w:line="400" w:lineRule="exact"/>
              <w:rPr>
                <w:rFonts w:ascii="宋体" w:hAnsi="宋体" w:cs="仿宋"/>
                <w:sz w:val="24"/>
              </w:rPr>
            </w:pPr>
            <w:r>
              <w:rPr>
                <w:rFonts w:hint="eastAsia" w:ascii="宋体" w:hAnsi="宋体" w:cs="仿宋"/>
                <w:sz w:val="24"/>
              </w:rPr>
              <w:t>实现仲裁服务信息显示及案件研讨信息化功能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8" w:type="dxa"/>
            <w:noWrap/>
            <w:vAlign w:val="center"/>
          </w:tcPr>
          <w:p>
            <w:pPr>
              <w:pStyle w:val="16"/>
              <w:spacing w:line="400" w:lineRule="exact"/>
              <w:jc w:val="center"/>
              <w:rPr>
                <w:rFonts w:ascii="宋体" w:hAnsi="宋体" w:cs="仿宋"/>
                <w:sz w:val="24"/>
              </w:rPr>
            </w:pPr>
            <w:r>
              <w:rPr>
                <w:rFonts w:hint="eastAsia" w:ascii="宋体" w:hAnsi="宋体" w:cs="仿宋"/>
                <w:sz w:val="24"/>
              </w:rPr>
              <w:t>5</w:t>
            </w:r>
          </w:p>
        </w:tc>
        <w:tc>
          <w:tcPr>
            <w:tcW w:w="2652" w:type="dxa"/>
            <w:noWrap/>
            <w:vAlign w:val="center"/>
          </w:tcPr>
          <w:p>
            <w:pPr>
              <w:pStyle w:val="16"/>
              <w:spacing w:line="400" w:lineRule="exact"/>
              <w:rPr>
                <w:rFonts w:ascii="宋体" w:hAnsi="宋体" w:cs="仿宋"/>
                <w:sz w:val="24"/>
              </w:rPr>
            </w:pPr>
            <w:r>
              <w:rPr>
                <w:rFonts w:hint="eastAsia" w:ascii="宋体" w:hAnsi="宋体" w:cs="仿宋"/>
                <w:sz w:val="24"/>
              </w:rPr>
              <w:t>后台管理系统</w:t>
            </w:r>
          </w:p>
        </w:tc>
        <w:tc>
          <w:tcPr>
            <w:tcW w:w="4586" w:type="dxa"/>
            <w:vAlign w:val="center"/>
          </w:tcPr>
          <w:p>
            <w:pPr>
              <w:pStyle w:val="16"/>
              <w:spacing w:line="400" w:lineRule="exact"/>
              <w:rPr>
                <w:rFonts w:ascii="宋体" w:hAnsi="宋体" w:cs="仿宋"/>
                <w:sz w:val="24"/>
              </w:rPr>
            </w:pPr>
            <w:r>
              <w:rPr>
                <w:rFonts w:hint="eastAsia" w:ascii="宋体" w:hAnsi="宋体" w:cs="仿宋"/>
                <w:sz w:val="24"/>
              </w:rPr>
              <w:t>管理与存储数字仲裁庭系统。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8" w:type="dxa"/>
            <w:noWrap/>
            <w:vAlign w:val="center"/>
          </w:tcPr>
          <w:p>
            <w:pPr>
              <w:pStyle w:val="16"/>
              <w:spacing w:line="400" w:lineRule="exact"/>
              <w:jc w:val="center"/>
              <w:rPr>
                <w:rFonts w:ascii="宋体" w:hAnsi="宋体" w:cs="仿宋"/>
                <w:sz w:val="24"/>
              </w:rPr>
            </w:pPr>
            <w:r>
              <w:rPr>
                <w:rFonts w:hint="eastAsia" w:ascii="宋体" w:hAnsi="宋体" w:cs="仿宋"/>
                <w:sz w:val="24"/>
              </w:rPr>
              <w:t>6</w:t>
            </w:r>
          </w:p>
        </w:tc>
        <w:tc>
          <w:tcPr>
            <w:tcW w:w="2652" w:type="dxa"/>
            <w:noWrap/>
            <w:vAlign w:val="center"/>
          </w:tcPr>
          <w:p>
            <w:pPr>
              <w:pStyle w:val="16"/>
              <w:spacing w:line="400" w:lineRule="exact"/>
              <w:rPr>
                <w:rFonts w:ascii="宋体" w:hAnsi="宋体" w:cs="仿宋"/>
                <w:sz w:val="24"/>
              </w:rPr>
            </w:pPr>
            <w:r>
              <w:rPr>
                <w:rFonts w:hint="eastAsia" w:ascii="宋体" w:hAnsi="宋体" w:cs="仿宋"/>
                <w:sz w:val="24"/>
              </w:rPr>
              <w:t>其他功能</w:t>
            </w:r>
          </w:p>
        </w:tc>
        <w:tc>
          <w:tcPr>
            <w:tcW w:w="4586" w:type="dxa"/>
            <w:vAlign w:val="center"/>
          </w:tcPr>
          <w:p>
            <w:pPr>
              <w:pStyle w:val="16"/>
              <w:spacing w:line="400" w:lineRule="exact"/>
              <w:rPr>
                <w:rFonts w:ascii="宋体" w:hAnsi="宋体" w:cs="仿宋"/>
                <w:sz w:val="24"/>
              </w:rPr>
            </w:pPr>
            <w:r>
              <w:rPr>
                <w:rFonts w:hint="eastAsia" w:ascii="宋体" w:hAnsi="宋体" w:cs="仿宋"/>
                <w:sz w:val="24"/>
              </w:rPr>
              <w:t>在不超过总预算金额前提下，设计建设方案过程中有必要添加的功能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56" w:type="dxa"/>
            <w:gridSpan w:val="3"/>
            <w:noWrap/>
            <w:vAlign w:val="center"/>
          </w:tcPr>
          <w:p>
            <w:pPr>
              <w:pStyle w:val="16"/>
              <w:spacing w:line="400" w:lineRule="exact"/>
              <w:ind w:firstLine="420" w:firstLineChars="200"/>
              <w:rPr>
                <w:rFonts w:hint="eastAsia" w:ascii="宋体" w:hAnsi="宋体" w:eastAsia="宋体" w:cs="仿宋"/>
                <w:sz w:val="24"/>
                <w:lang w:val="en-US" w:eastAsia="zh-CN"/>
              </w:rPr>
            </w:pPr>
            <w:r>
              <w:rPr>
                <w:rFonts w:hint="eastAsia" w:ascii="宋体" w:hAnsi="宋体" w:cs="仿宋"/>
                <w:sz w:val="21"/>
                <w:szCs w:val="21"/>
                <w:lang w:eastAsia="zh-CN"/>
              </w:rPr>
              <w:t>注：协助做好包括不限于电脑、显示器、打印机、液晶电视、手提电脑等设备的安装、连接、调试等工作。</w:t>
            </w:r>
          </w:p>
        </w:tc>
      </w:tr>
    </w:tbl>
    <w:p>
      <w:pPr>
        <w:snapToGrid w:val="0"/>
        <w:spacing w:line="579" w:lineRule="exact"/>
        <w:ind w:firstLine="560" w:firstLineChars="200"/>
        <w:rPr>
          <w:rFonts w:ascii="黑体" w:hAnsi="黑体" w:eastAsia="黑体" w:cs="黑体"/>
          <w:bCs/>
          <w:sz w:val="28"/>
          <w:szCs w:val="28"/>
        </w:rPr>
      </w:pPr>
      <w:r>
        <w:rPr>
          <w:rFonts w:hint="eastAsia" w:ascii="黑体" w:hAnsi="黑体" w:eastAsia="黑体" w:cs="黑体"/>
          <w:bCs/>
          <w:sz w:val="28"/>
          <w:szCs w:val="28"/>
        </w:rPr>
        <w:t>设备配备</w:t>
      </w:r>
    </w:p>
    <w:p>
      <w:pPr>
        <w:pStyle w:val="3"/>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数字仲裁庭的设备可参考表1进行配备。</w:t>
      </w:r>
    </w:p>
    <w:p>
      <w:pPr>
        <w:pStyle w:val="3"/>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数字仲裁庭的设备可参考图2进行布置。</w:t>
      </w:r>
    </w:p>
    <w:p>
      <w:pPr>
        <w:pStyle w:val="17"/>
        <w:spacing w:before="156" w:after="156"/>
      </w:pPr>
      <w:r>
        <w:rPr>
          <w:rFonts w:hint="eastAsia"/>
        </w:rPr>
        <w:t>设备配备参考表(包括不限于以下内容)</w:t>
      </w:r>
    </w:p>
    <w:tbl>
      <w:tblPr>
        <w:tblStyle w:val="10"/>
        <w:tblW w:w="93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166"/>
        <w:gridCol w:w="2976"/>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4" w:type="dxa"/>
            <w:tcBorders>
              <w:top w:val="single" w:color="auto" w:sz="12" w:space="0"/>
              <w:bottom w:val="single" w:color="auto" w:sz="12" w:space="0"/>
            </w:tcBorders>
            <w:vAlign w:val="center"/>
          </w:tcPr>
          <w:p>
            <w:pPr>
              <w:pStyle w:val="18"/>
              <w:spacing w:line="300" w:lineRule="exact"/>
              <w:ind w:firstLine="0" w:firstLineChars="0"/>
              <w:jc w:val="center"/>
              <w:rPr>
                <w:rFonts w:hAnsi="宋体"/>
                <w:sz w:val="18"/>
                <w:szCs w:val="18"/>
              </w:rPr>
            </w:pPr>
            <w:r>
              <w:rPr>
                <w:rFonts w:hint="eastAsia" w:hAnsi="宋体"/>
                <w:sz w:val="18"/>
                <w:szCs w:val="18"/>
              </w:rPr>
              <w:t>序号</w:t>
            </w:r>
          </w:p>
        </w:tc>
        <w:tc>
          <w:tcPr>
            <w:tcW w:w="2166" w:type="dxa"/>
            <w:tcBorders>
              <w:top w:val="single" w:color="auto" w:sz="12" w:space="0"/>
              <w:bottom w:val="single" w:color="auto" w:sz="12" w:space="0"/>
            </w:tcBorders>
          </w:tcPr>
          <w:p>
            <w:pPr>
              <w:pStyle w:val="18"/>
              <w:spacing w:line="300" w:lineRule="exact"/>
              <w:ind w:firstLine="0" w:firstLineChars="0"/>
              <w:jc w:val="center"/>
              <w:rPr>
                <w:rFonts w:hAnsi="宋体"/>
                <w:sz w:val="18"/>
                <w:szCs w:val="18"/>
              </w:rPr>
            </w:pPr>
            <w:r>
              <w:rPr>
                <w:rFonts w:hint="eastAsia" w:hAnsi="宋体"/>
                <w:sz w:val="18"/>
                <w:szCs w:val="18"/>
              </w:rPr>
              <w:t>设备名称</w:t>
            </w:r>
          </w:p>
        </w:tc>
        <w:tc>
          <w:tcPr>
            <w:tcW w:w="2976" w:type="dxa"/>
            <w:tcBorders>
              <w:top w:val="single" w:color="auto" w:sz="12" w:space="0"/>
              <w:bottom w:val="single" w:color="auto" w:sz="12" w:space="0"/>
            </w:tcBorders>
          </w:tcPr>
          <w:p>
            <w:pPr>
              <w:pStyle w:val="18"/>
              <w:spacing w:line="300" w:lineRule="exact"/>
              <w:ind w:firstLine="0" w:firstLineChars="0"/>
              <w:jc w:val="center"/>
              <w:rPr>
                <w:rFonts w:hAnsi="宋体"/>
                <w:sz w:val="18"/>
                <w:szCs w:val="18"/>
              </w:rPr>
            </w:pPr>
            <w:r>
              <w:rPr>
                <w:rFonts w:hint="eastAsia" w:hAnsi="宋体"/>
                <w:sz w:val="18"/>
                <w:szCs w:val="18"/>
              </w:rPr>
              <w:t>对应功能</w:t>
            </w:r>
          </w:p>
        </w:tc>
        <w:tc>
          <w:tcPr>
            <w:tcW w:w="3403" w:type="dxa"/>
            <w:tcBorders>
              <w:top w:val="single" w:color="auto" w:sz="12" w:space="0"/>
              <w:bottom w:val="single" w:color="auto" w:sz="12" w:space="0"/>
            </w:tcBorders>
          </w:tcPr>
          <w:p>
            <w:pPr>
              <w:pStyle w:val="18"/>
              <w:spacing w:line="300" w:lineRule="exact"/>
              <w:ind w:firstLine="0" w:firstLineChars="0"/>
              <w:jc w:val="center"/>
              <w:rPr>
                <w:rFonts w:hAnsi="宋体"/>
                <w:sz w:val="18"/>
                <w:szCs w:val="18"/>
              </w:rPr>
            </w:pPr>
            <w:r>
              <w:rPr>
                <w:rFonts w:hint="eastAsia" w:hAnsi="宋体"/>
                <w:sz w:val="18"/>
                <w:szCs w:val="18"/>
              </w:rPr>
              <w:t>应用区域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4" w:type="dxa"/>
            <w:tcBorders>
              <w:top w:val="single" w:color="auto" w:sz="12" w:space="0"/>
              <w:bottom w:val="single" w:color="auto" w:sz="4" w:space="0"/>
            </w:tcBorders>
            <w:vAlign w:val="center"/>
          </w:tcPr>
          <w:p>
            <w:pPr>
              <w:pStyle w:val="18"/>
              <w:numPr>
                <w:ilvl w:val="0"/>
                <w:numId w:val="3"/>
              </w:numPr>
              <w:spacing w:line="300" w:lineRule="exact"/>
              <w:ind w:firstLineChars="0"/>
              <w:jc w:val="center"/>
              <w:rPr>
                <w:rFonts w:hAnsi="宋体"/>
                <w:sz w:val="18"/>
                <w:szCs w:val="18"/>
              </w:rPr>
            </w:pPr>
          </w:p>
        </w:tc>
        <w:tc>
          <w:tcPr>
            <w:tcW w:w="2166" w:type="dxa"/>
            <w:tcBorders>
              <w:top w:val="single" w:color="auto" w:sz="12"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数字多媒体采编播主机</w:t>
            </w:r>
          </w:p>
        </w:tc>
        <w:tc>
          <w:tcPr>
            <w:tcW w:w="2976" w:type="dxa"/>
            <w:tcBorders>
              <w:top w:val="single" w:color="auto" w:sz="12"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运行数字仲裁庭各项功能</w:t>
            </w:r>
          </w:p>
        </w:tc>
        <w:tc>
          <w:tcPr>
            <w:tcW w:w="3403" w:type="dxa"/>
            <w:tcBorders>
              <w:top w:val="single" w:color="auto" w:sz="12"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宜使用机柜根据场地实际情况进行安置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4" w:type="dxa"/>
            <w:tcBorders>
              <w:top w:val="single" w:color="auto" w:sz="4" w:space="0"/>
              <w:bottom w:val="single" w:color="auto" w:sz="4" w:space="0"/>
            </w:tcBorders>
            <w:vAlign w:val="center"/>
          </w:tcPr>
          <w:p>
            <w:pPr>
              <w:pStyle w:val="18"/>
              <w:numPr>
                <w:ilvl w:val="0"/>
                <w:numId w:val="3"/>
              </w:numPr>
              <w:spacing w:line="300" w:lineRule="exact"/>
              <w:ind w:firstLineChars="0"/>
              <w:jc w:val="center"/>
              <w:rPr>
                <w:rFonts w:hAnsi="宋体"/>
                <w:sz w:val="18"/>
                <w:szCs w:val="18"/>
              </w:rPr>
            </w:pPr>
          </w:p>
        </w:tc>
        <w:tc>
          <w:tcPr>
            <w:tcW w:w="216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摄像头</w:t>
            </w:r>
          </w:p>
        </w:tc>
        <w:tc>
          <w:tcPr>
            <w:tcW w:w="297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音、视频采集</w:t>
            </w:r>
          </w:p>
        </w:tc>
        <w:tc>
          <w:tcPr>
            <w:tcW w:w="3403"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数字仲裁庭四周（可根据需要调整）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4" w:type="dxa"/>
            <w:tcBorders>
              <w:top w:val="single" w:color="auto" w:sz="4" w:space="0"/>
              <w:bottom w:val="single" w:color="auto" w:sz="4" w:space="0"/>
            </w:tcBorders>
            <w:vAlign w:val="center"/>
          </w:tcPr>
          <w:p>
            <w:pPr>
              <w:pStyle w:val="18"/>
              <w:numPr>
                <w:ilvl w:val="0"/>
                <w:numId w:val="3"/>
              </w:numPr>
              <w:spacing w:line="300" w:lineRule="exact"/>
              <w:ind w:firstLineChars="0"/>
              <w:jc w:val="center"/>
              <w:rPr>
                <w:rFonts w:hAnsi="宋体"/>
                <w:sz w:val="18"/>
                <w:szCs w:val="18"/>
              </w:rPr>
            </w:pPr>
          </w:p>
        </w:tc>
        <w:tc>
          <w:tcPr>
            <w:tcW w:w="216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鹅颈话筒</w:t>
            </w:r>
          </w:p>
        </w:tc>
        <w:tc>
          <w:tcPr>
            <w:tcW w:w="297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音、视频采集</w:t>
            </w:r>
          </w:p>
        </w:tc>
        <w:tc>
          <w:tcPr>
            <w:tcW w:w="3403"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各仲裁员、书记员、双方当事人席位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4" w:type="dxa"/>
            <w:tcBorders>
              <w:top w:val="single" w:color="auto" w:sz="4" w:space="0"/>
              <w:bottom w:val="single" w:color="auto" w:sz="4" w:space="0"/>
            </w:tcBorders>
            <w:vAlign w:val="center"/>
          </w:tcPr>
          <w:p>
            <w:pPr>
              <w:pStyle w:val="18"/>
              <w:numPr>
                <w:ilvl w:val="0"/>
                <w:numId w:val="3"/>
              </w:numPr>
              <w:spacing w:line="300" w:lineRule="exact"/>
              <w:ind w:firstLineChars="0"/>
              <w:jc w:val="center"/>
              <w:rPr>
                <w:rFonts w:hAnsi="宋体"/>
                <w:sz w:val="18"/>
                <w:szCs w:val="18"/>
              </w:rPr>
            </w:pPr>
          </w:p>
        </w:tc>
        <w:tc>
          <w:tcPr>
            <w:tcW w:w="216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便携式展台</w:t>
            </w:r>
          </w:p>
        </w:tc>
        <w:tc>
          <w:tcPr>
            <w:tcW w:w="297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示证采集</w:t>
            </w:r>
          </w:p>
        </w:tc>
        <w:tc>
          <w:tcPr>
            <w:tcW w:w="3403"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书记员席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4" w:type="dxa"/>
            <w:tcBorders>
              <w:top w:val="single" w:color="auto" w:sz="4" w:space="0"/>
              <w:bottom w:val="single" w:color="auto" w:sz="4" w:space="0"/>
            </w:tcBorders>
            <w:vAlign w:val="center"/>
          </w:tcPr>
          <w:p>
            <w:pPr>
              <w:pStyle w:val="18"/>
              <w:numPr>
                <w:ilvl w:val="0"/>
                <w:numId w:val="3"/>
              </w:numPr>
              <w:spacing w:line="300" w:lineRule="exact"/>
              <w:ind w:firstLineChars="0"/>
              <w:jc w:val="center"/>
              <w:rPr>
                <w:rFonts w:hAnsi="宋体"/>
                <w:sz w:val="18"/>
                <w:szCs w:val="18"/>
              </w:rPr>
            </w:pPr>
          </w:p>
        </w:tc>
        <w:tc>
          <w:tcPr>
            <w:tcW w:w="216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信息发布主机</w:t>
            </w:r>
          </w:p>
        </w:tc>
        <w:tc>
          <w:tcPr>
            <w:tcW w:w="2976" w:type="dxa"/>
            <w:tcBorders>
              <w:top w:val="single" w:color="auto" w:sz="4" w:space="0"/>
              <w:bottom w:val="single" w:color="auto" w:sz="4" w:space="0"/>
            </w:tcBorders>
            <w:vAlign w:val="center"/>
          </w:tcPr>
          <w:p>
            <w:pPr>
              <w:spacing w:line="300" w:lineRule="exact"/>
              <w:rPr>
                <w:rFonts w:ascii="宋体" w:hAnsi="宋体"/>
                <w:kern w:val="0"/>
                <w:sz w:val="18"/>
                <w:szCs w:val="18"/>
              </w:rPr>
            </w:pPr>
            <w:r>
              <w:rPr>
                <w:rFonts w:hint="eastAsia" w:ascii="宋体" w:hAnsi="宋体"/>
                <w:kern w:val="0"/>
                <w:sz w:val="18"/>
                <w:szCs w:val="18"/>
              </w:rPr>
              <w:t>信息发布与展示</w:t>
            </w:r>
          </w:p>
        </w:tc>
        <w:tc>
          <w:tcPr>
            <w:tcW w:w="3403"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数字仲裁庭入门处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4" w:type="dxa"/>
            <w:tcBorders>
              <w:top w:val="single" w:color="auto" w:sz="4" w:space="0"/>
              <w:bottom w:val="single" w:color="auto" w:sz="4" w:space="0"/>
            </w:tcBorders>
            <w:vAlign w:val="center"/>
          </w:tcPr>
          <w:p>
            <w:pPr>
              <w:pStyle w:val="18"/>
              <w:numPr>
                <w:ilvl w:val="0"/>
                <w:numId w:val="3"/>
              </w:numPr>
              <w:spacing w:line="300" w:lineRule="exact"/>
              <w:ind w:firstLineChars="0"/>
              <w:jc w:val="center"/>
              <w:rPr>
                <w:rFonts w:hAnsi="宋体"/>
                <w:sz w:val="18"/>
                <w:szCs w:val="18"/>
              </w:rPr>
            </w:pPr>
          </w:p>
        </w:tc>
        <w:tc>
          <w:tcPr>
            <w:tcW w:w="216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有源音箱</w:t>
            </w:r>
          </w:p>
        </w:tc>
        <w:tc>
          <w:tcPr>
            <w:tcW w:w="297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庭审纪律和权利义务告知</w:t>
            </w:r>
          </w:p>
          <w:p>
            <w:pPr>
              <w:pStyle w:val="18"/>
              <w:spacing w:line="300" w:lineRule="exact"/>
              <w:ind w:firstLine="0" w:firstLineChars="0"/>
              <w:rPr>
                <w:rFonts w:hAnsi="宋体"/>
                <w:sz w:val="18"/>
                <w:szCs w:val="18"/>
              </w:rPr>
            </w:pPr>
            <w:r>
              <w:rPr>
                <w:rFonts w:hint="eastAsia" w:hAnsi="宋体"/>
                <w:sz w:val="18"/>
                <w:szCs w:val="18"/>
              </w:rPr>
              <w:t>庭审扩声</w:t>
            </w:r>
          </w:p>
        </w:tc>
        <w:tc>
          <w:tcPr>
            <w:tcW w:w="3403"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数字仲裁庭四周（可根据需要调整）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4" w:type="dxa"/>
            <w:tcBorders>
              <w:top w:val="single" w:color="auto" w:sz="4" w:space="0"/>
              <w:bottom w:val="single" w:color="auto" w:sz="4" w:space="0"/>
            </w:tcBorders>
            <w:vAlign w:val="center"/>
          </w:tcPr>
          <w:p>
            <w:pPr>
              <w:pStyle w:val="18"/>
              <w:numPr>
                <w:ilvl w:val="0"/>
                <w:numId w:val="3"/>
              </w:numPr>
              <w:spacing w:line="300" w:lineRule="exact"/>
              <w:ind w:firstLineChars="0"/>
              <w:jc w:val="center"/>
              <w:rPr>
                <w:rFonts w:hAnsi="宋体"/>
                <w:sz w:val="18"/>
                <w:szCs w:val="18"/>
              </w:rPr>
            </w:pPr>
          </w:p>
        </w:tc>
        <w:tc>
          <w:tcPr>
            <w:tcW w:w="216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电子签名板</w:t>
            </w:r>
          </w:p>
        </w:tc>
        <w:tc>
          <w:tcPr>
            <w:tcW w:w="297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电子签名</w:t>
            </w:r>
          </w:p>
        </w:tc>
        <w:tc>
          <w:tcPr>
            <w:tcW w:w="3403"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书记员席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4" w:type="dxa"/>
            <w:tcBorders>
              <w:top w:val="single" w:color="auto" w:sz="4" w:space="0"/>
              <w:bottom w:val="single" w:color="auto" w:sz="4" w:space="0"/>
            </w:tcBorders>
            <w:vAlign w:val="center"/>
          </w:tcPr>
          <w:p>
            <w:pPr>
              <w:pStyle w:val="18"/>
              <w:numPr>
                <w:ilvl w:val="0"/>
                <w:numId w:val="3"/>
              </w:numPr>
              <w:spacing w:line="300" w:lineRule="exact"/>
              <w:ind w:firstLineChars="0"/>
              <w:jc w:val="center"/>
              <w:rPr>
                <w:rFonts w:hAnsi="宋体"/>
                <w:sz w:val="18"/>
                <w:szCs w:val="18"/>
              </w:rPr>
            </w:pPr>
          </w:p>
        </w:tc>
        <w:tc>
          <w:tcPr>
            <w:tcW w:w="216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信息展示屏</w:t>
            </w:r>
          </w:p>
        </w:tc>
        <w:tc>
          <w:tcPr>
            <w:tcW w:w="297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案件与庭审信息展示</w:t>
            </w:r>
          </w:p>
        </w:tc>
        <w:tc>
          <w:tcPr>
            <w:tcW w:w="3403"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仲裁公共区域（可根据需要调整）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4" w:type="dxa"/>
            <w:tcBorders>
              <w:top w:val="single" w:color="auto" w:sz="4" w:space="0"/>
              <w:bottom w:val="single" w:color="auto" w:sz="4" w:space="0"/>
            </w:tcBorders>
            <w:vAlign w:val="center"/>
          </w:tcPr>
          <w:p>
            <w:pPr>
              <w:pStyle w:val="18"/>
              <w:numPr>
                <w:ilvl w:val="0"/>
                <w:numId w:val="3"/>
              </w:numPr>
              <w:spacing w:line="300" w:lineRule="exact"/>
              <w:ind w:firstLineChars="0"/>
              <w:jc w:val="center"/>
              <w:rPr>
                <w:rFonts w:hAnsi="宋体"/>
                <w:sz w:val="18"/>
                <w:szCs w:val="18"/>
              </w:rPr>
            </w:pPr>
          </w:p>
        </w:tc>
        <w:tc>
          <w:tcPr>
            <w:tcW w:w="216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音视频存储设备</w:t>
            </w:r>
          </w:p>
        </w:tc>
        <w:tc>
          <w:tcPr>
            <w:tcW w:w="2976"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存储半年以上庭审音视频、笔录等信息</w:t>
            </w:r>
          </w:p>
        </w:tc>
        <w:tc>
          <w:tcPr>
            <w:tcW w:w="3403" w:type="dxa"/>
            <w:tcBorders>
              <w:top w:val="single" w:color="auto" w:sz="4" w:space="0"/>
              <w:bottom w:val="single" w:color="auto" w:sz="4" w:space="0"/>
            </w:tcBorders>
            <w:vAlign w:val="center"/>
          </w:tcPr>
          <w:p>
            <w:pPr>
              <w:pStyle w:val="18"/>
              <w:spacing w:line="300" w:lineRule="exact"/>
              <w:ind w:firstLine="0" w:firstLineChars="0"/>
              <w:rPr>
                <w:rFonts w:hAnsi="宋体"/>
                <w:sz w:val="18"/>
                <w:szCs w:val="18"/>
              </w:rPr>
            </w:pPr>
            <w:r>
              <w:rPr>
                <w:rFonts w:hint="eastAsia" w:hAnsi="宋体"/>
                <w:sz w:val="18"/>
                <w:szCs w:val="18"/>
              </w:rPr>
              <w:t>根据场地实际情况安置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339" w:type="dxa"/>
            <w:gridSpan w:val="4"/>
            <w:tcBorders>
              <w:top w:val="single" w:color="auto" w:sz="4" w:space="0"/>
              <w:bottom w:val="single" w:color="auto" w:sz="12" w:space="0"/>
            </w:tcBorders>
          </w:tcPr>
          <w:p>
            <w:pPr>
              <w:pStyle w:val="19"/>
            </w:pPr>
            <w:r>
              <w:rPr>
                <w:rFonts w:hint="eastAsia"/>
              </w:rPr>
              <w:t>电源、电线电缆、网线及设备所需配件、零部件等根据实际建设需要配备</w:t>
            </w:r>
            <w:r>
              <w:rPr>
                <w:rFonts w:hint="eastAsia"/>
                <w:lang w:eastAsia="zh-CN"/>
              </w:rPr>
              <w:t>。</w:t>
            </w:r>
          </w:p>
        </w:tc>
      </w:tr>
    </w:tbl>
    <w:p>
      <w:pPr>
        <w:snapToGrid w:val="0"/>
        <w:spacing w:line="579" w:lineRule="exact"/>
        <w:ind w:firstLine="420" w:firstLineChars="200"/>
        <w:jc w:val="center"/>
        <w:rPr>
          <w:rFonts w:ascii="黑体" w:hAnsi="黑体" w:eastAsia="黑体" w:cs="黑体"/>
          <w:bCs/>
          <w:szCs w:val="21"/>
        </w:rPr>
      </w:pPr>
      <w:r>
        <w:rPr>
          <w:rFonts w:hint="eastAsia" w:ascii="黑体" w:hAnsi="黑体" w:eastAsia="黑体" w:cs="黑体"/>
          <w:szCs w:val="21"/>
        </w:rPr>
        <w:t>图1　设备布置参考图</w:t>
      </w:r>
    </w:p>
    <w:p>
      <w:pPr>
        <w:snapToGrid w:val="0"/>
        <w:spacing w:line="579" w:lineRule="exact"/>
        <w:ind w:firstLine="560" w:firstLineChars="200"/>
        <w:rPr>
          <w:rFonts w:ascii="黑体" w:hAnsi="黑体" w:eastAsia="黑体" w:cs="黑体"/>
          <w:bCs/>
          <w:sz w:val="28"/>
          <w:szCs w:val="28"/>
        </w:rPr>
      </w:pPr>
    </w:p>
    <w:p>
      <w:pPr>
        <w:pStyle w:val="2"/>
        <w:rPr>
          <w:rFonts w:ascii="黑体" w:hAnsi="黑体" w:eastAsia="黑体" w:cs="黑体"/>
          <w:bCs/>
          <w:sz w:val="28"/>
          <w:szCs w:val="28"/>
        </w:rPr>
      </w:pPr>
      <w:r>
        <w:drawing>
          <wp:inline distT="0" distB="0" distL="114300" distR="114300">
            <wp:extent cx="6041390" cy="4149725"/>
            <wp:effectExtent l="0" t="0" r="16510" b="3175"/>
            <wp:docPr id="4" name="图片 3" descr="C:\Users\HUANGX~1\AppData\Local\Temp\WeChat Files\97f1b67b6064e1e77f169aba1c3d2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HUANGX~1\AppData\Local\Temp\WeChat Files\97f1b67b6064e1e77f169aba1c3d20d.jpg"/>
                    <pic:cNvPicPr>
                      <a:picLocks noChangeAspect="1"/>
                    </pic:cNvPicPr>
                  </pic:nvPicPr>
                  <pic:blipFill>
                    <a:blip r:embed="rId5" cstate="print"/>
                    <a:stretch>
                      <a:fillRect/>
                    </a:stretch>
                  </pic:blipFill>
                  <pic:spPr>
                    <a:xfrm>
                      <a:off x="0" y="0"/>
                      <a:ext cx="6041390" cy="4149725"/>
                    </a:xfrm>
                    <a:prstGeom prst="rect">
                      <a:avLst/>
                    </a:prstGeom>
                    <a:noFill/>
                    <a:ln>
                      <a:noFill/>
                    </a:ln>
                  </pic:spPr>
                </pic:pic>
              </a:graphicData>
            </a:graphic>
          </wp:inline>
        </w:drawing>
      </w:r>
    </w:p>
    <w:p>
      <w:pPr>
        <w:snapToGrid w:val="0"/>
        <w:spacing w:line="579" w:lineRule="exact"/>
        <w:ind w:firstLine="560" w:firstLineChars="200"/>
        <w:rPr>
          <w:rFonts w:ascii="仿宋_GB2312" w:hAnsi="仿宋_GB2312" w:eastAsia="仿宋_GB2312" w:cs="仿宋_GB2312"/>
          <w:bCs/>
          <w:color w:val="0008FF"/>
          <w:sz w:val="28"/>
          <w:szCs w:val="28"/>
        </w:rPr>
      </w:pPr>
      <w:r>
        <w:rPr>
          <w:rFonts w:hint="eastAsia" w:ascii="仿宋_GB2312" w:hAnsi="仿宋_GB2312" w:eastAsia="仿宋_GB2312" w:cs="仿宋_GB2312"/>
          <w:bCs/>
          <w:sz w:val="28"/>
          <w:szCs w:val="28"/>
        </w:rPr>
        <w:t>建设完成后，数字仲裁庭系统应能与以下系统对接并实现市仲裁院对我区开放模块相关功能：</w:t>
      </w:r>
    </w:p>
    <w:p>
      <w:pPr>
        <w:snapToGrid w:val="0"/>
        <w:spacing w:line="579"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——深圳市劳动人事争议仲裁办案系统；</w:t>
      </w:r>
    </w:p>
    <w:p>
      <w:pPr>
        <w:snapToGrid w:val="0"/>
        <w:spacing w:line="579"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——深圳市仲裁在线服务平台</w:t>
      </w:r>
      <w:r>
        <w:rPr>
          <w:rFonts w:hint="eastAsia" w:ascii="仿宋_GB2312" w:hAnsi="仿宋_GB2312" w:eastAsia="仿宋_GB2312" w:cs="仿宋_GB2312"/>
          <w:bCs/>
          <w:sz w:val="28"/>
          <w:szCs w:val="28"/>
          <w:lang w:eastAsia="zh-CN"/>
        </w:rPr>
        <w:t>；</w:t>
      </w:r>
    </w:p>
    <w:p>
      <w:pPr>
        <w:pStyle w:val="2"/>
        <w:ind w:firstLine="560" w:firstLineChars="200"/>
        <w:rPr>
          <w:rFonts w:hint="eastAsia" w:eastAsia="仿宋_GB2312"/>
          <w:lang w:eastAsia="zh-CN"/>
        </w:rPr>
      </w:pPr>
      <w:r>
        <w:rPr>
          <w:rFonts w:hint="eastAsia" w:ascii="仿宋_GB2312" w:hAnsi="仿宋_GB2312" w:eastAsia="仿宋_GB2312" w:cs="仿宋_GB2312"/>
          <w:bCs/>
          <w:sz w:val="28"/>
          <w:szCs w:val="28"/>
        </w:rPr>
        <w:t>——庭审语音转写模块</w:t>
      </w:r>
      <w:r>
        <w:rPr>
          <w:rFonts w:hint="eastAsia" w:ascii="仿宋_GB2312" w:hAnsi="仿宋_GB2312" w:eastAsia="仿宋_GB2312" w:cs="仿宋_GB2312"/>
          <w:bCs/>
          <w:sz w:val="28"/>
          <w:szCs w:val="28"/>
          <w:lang w:eastAsia="zh-CN"/>
        </w:rPr>
        <w:t>。</w:t>
      </w:r>
    </w:p>
    <w:p>
      <w:pPr>
        <w:snapToGrid w:val="0"/>
        <w:spacing w:line="579" w:lineRule="exact"/>
        <w:ind w:firstLine="560" w:firstLineChars="200"/>
        <w:rPr>
          <w:rFonts w:ascii="黑体" w:hAnsi="黑体" w:eastAsia="黑体" w:cs="黑体"/>
          <w:bCs/>
          <w:sz w:val="28"/>
          <w:szCs w:val="28"/>
        </w:rPr>
      </w:pPr>
      <w:r>
        <w:rPr>
          <w:rFonts w:hint="eastAsia" w:ascii="黑体" w:hAnsi="黑体" w:eastAsia="黑体" w:cs="黑体"/>
          <w:bCs/>
          <w:sz w:val="28"/>
          <w:szCs w:val="28"/>
        </w:rPr>
        <w:t>三、商务需求</w:t>
      </w:r>
    </w:p>
    <w:p>
      <w:pPr>
        <w:snapToGrid w:val="0"/>
        <w:spacing w:line="579" w:lineRule="exact"/>
        <w:ind w:firstLine="560" w:firstLineChars="200"/>
        <w:rPr>
          <w:rFonts w:ascii="黑体" w:hAnsi="黑体" w:eastAsia="黑体" w:cs="黑体"/>
          <w:bCs/>
          <w:sz w:val="28"/>
          <w:szCs w:val="28"/>
        </w:rPr>
      </w:pPr>
      <w:r>
        <w:rPr>
          <w:rFonts w:hint="eastAsia" w:ascii="仿宋_GB2312" w:eastAsia="仿宋_GB2312"/>
          <w:bCs/>
          <w:sz w:val="28"/>
          <w:szCs w:val="28"/>
        </w:rPr>
        <w:t>（一）服务期：签订合同之日起</w:t>
      </w:r>
      <w:r>
        <w:rPr>
          <w:rFonts w:hint="eastAsia" w:ascii="仿宋_GB2312" w:eastAsia="仿宋_GB2312"/>
          <w:bCs/>
          <w:sz w:val="28"/>
          <w:szCs w:val="28"/>
          <w:lang w:val="en-US" w:eastAsia="zh-CN"/>
        </w:rPr>
        <w:t>6</w:t>
      </w:r>
      <w:r>
        <w:rPr>
          <w:rFonts w:hint="eastAsia" w:ascii="仿宋_GB2312" w:eastAsia="仿宋_GB2312"/>
          <w:bCs/>
          <w:sz w:val="28"/>
          <w:szCs w:val="28"/>
        </w:rPr>
        <w:t>0日内</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（二）服务地点：深圳市福田区劳动人事争议仲裁院</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（三）报价要求：</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1.本项目服务费采用包干制，应包括服务成本、法定税费和企业的利润。由响应人根据采购文件所提供的资料自行测算</w:t>
      </w:r>
      <w:r>
        <w:rPr>
          <w:rFonts w:hint="eastAsia" w:ascii="仿宋_GB2312" w:eastAsia="仿宋_GB2312"/>
          <w:bCs/>
          <w:sz w:val="28"/>
          <w:szCs w:val="28"/>
          <w:lang w:eastAsia="zh-CN"/>
        </w:rPr>
        <w:t>响应</w:t>
      </w:r>
      <w:r>
        <w:rPr>
          <w:rFonts w:hint="eastAsia" w:ascii="仿宋_GB2312" w:eastAsia="仿宋_GB2312"/>
          <w:bCs/>
          <w:sz w:val="28"/>
          <w:szCs w:val="28"/>
        </w:rPr>
        <w:t>报价；一经中选，报价总价作为供应商与采购人签定的合同金额，合同期限内不做调整；</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2.响应人应根据本企业的成本自行决定报价，但不得以低于其企业成本的报价</w:t>
      </w:r>
      <w:r>
        <w:rPr>
          <w:rFonts w:hint="eastAsia" w:ascii="仿宋_GB2312" w:eastAsia="仿宋_GB2312"/>
          <w:bCs/>
          <w:sz w:val="28"/>
          <w:szCs w:val="28"/>
          <w:lang w:eastAsia="zh-CN"/>
        </w:rPr>
        <w:t>响应</w:t>
      </w:r>
      <w:r>
        <w:rPr>
          <w:rFonts w:hint="eastAsia" w:ascii="仿宋_GB2312" w:eastAsia="仿宋_GB2312"/>
          <w:bCs/>
          <w:sz w:val="28"/>
          <w:szCs w:val="28"/>
        </w:rPr>
        <w:t>；</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3.响应人的报价不得超过项目预算金额；</w:t>
      </w:r>
    </w:p>
    <w:p>
      <w:pPr>
        <w:snapToGrid w:val="0"/>
        <w:spacing w:line="579" w:lineRule="exact"/>
        <w:ind w:firstLine="560" w:firstLineChars="200"/>
        <w:rPr>
          <w:rFonts w:hint="eastAsia" w:ascii="仿宋_GB2312" w:eastAsia="仿宋_GB2312"/>
          <w:bCs/>
          <w:sz w:val="28"/>
          <w:szCs w:val="28"/>
        </w:rPr>
      </w:pPr>
      <w:r>
        <w:rPr>
          <w:rFonts w:hint="eastAsia" w:ascii="仿宋_GB2312" w:eastAsia="仿宋_GB2312"/>
          <w:bCs/>
          <w:sz w:val="28"/>
          <w:szCs w:val="28"/>
        </w:rPr>
        <w:t>4.响应人的报价，应是本项目采购范围和采购文件及合同条款上所列的各项内容中所述的全部，不得以任何理由予以重复，并以响应人最终提出的综合单价或者总价为依据；</w:t>
      </w:r>
    </w:p>
    <w:p>
      <w:pPr>
        <w:snapToGrid w:val="0"/>
        <w:spacing w:line="579" w:lineRule="exact"/>
        <w:ind w:firstLine="560" w:firstLineChars="200"/>
        <w:rPr>
          <w:rFonts w:hint="default" w:ascii="仿宋_GB2312" w:eastAsia="仿宋_GB2312"/>
          <w:bCs/>
          <w:sz w:val="28"/>
          <w:szCs w:val="28"/>
          <w:lang w:val="en-US" w:eastAsia="zh-CN"/>
        </w:rPr>
      </w:pPr>
      <w:r>
        <w:rPr>
          <w:rFonts w:hint="eastAsia" w:ascii="仿宋_GB2312" w:eastAsia="仿宋_GB2312"/>
          <w:bCs/>
          <w:sz w:val="28"/>
          <w:szCs w:val="28"/>
          <w:lang w:val="en-US" w:eastAsia="zh-CN"/>
        </w:rPr>
        <w:t>5.响应人无须对电脑、显示器、打印机、液晶电视、手提电脑等采购人拟通过政府集采购置的设备进行报价；</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5.除非采购人通过修改采购文件予以更正，否则，响应人应毫无例外地按响应文件所列的清单中项目和数量填报综合单价和合价；</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6.响应人应先到项目地点踏勘以充分了解项目的位置、情况、道路及任何其它足以影响投标报价的情况，任何因忽视或者误解项目情况而导致的索赔或者服务期限延长申请将不获批准；</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7.响应人不得期望通过索赔等方式获取报价补偿，否则，除可能遭到拒绝外，还可能将被作为不良行为记录在案，并可能影响其以后参加政府采购的项目投标。各响应人在报价时，应充分考虑报价的风险。</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（四）付款方式：按照完成服务工作进度和工作量制定分期付款方式，由采购人和供应商协商决定。</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五）验收：采购人在项目服务期到期后，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（六）违约责任：</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1.质量瑕疵的补救措施和索赔</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供应商提供的设备不符合质量标准或存在质量缺陷，采购人有权根据法定质量检测部门出具的检验证书向供应商人提出索赔。</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2.在质量保证期内，如果供应商对缺陷设备负有责任而采购人提出索赔，供应商应按照采购人同意的下列一种或多种方式解决索赔事宜：</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（1）供应商同意退货并将货款退还给采购人，由此发生的一切费用和损失由供应商承担。</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（2）根据设备的质量状况以及采购人所遭受的损失，经过双方商定降低设备的价格。</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3）供应商应在接到采购人通知后七天内负责采用符合合同规定的规格、质量和性能要求的新零件、部件和设备来替换有缺陷的部分或修补缺陷部分，其费用由供应商负担；同时，供应商应在约定的质量保证期基础上相应延长修补和/或替换件的质量保证期。</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3.如果在采购人发出索赔通知后十天内供应商未作答复，上述索赔应视为已被供应商接受。如果供应商未能在采购人发出索赔通知后十天内或采购人同意延长的期限内，按照上述规定的任何一种方法采取补救措施，采购人有权从应付货款中扣除索赔金额或者没收质量保证金，如不足以弥补采购人损失的，采购人有权进一步要求供应商赔偿。</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（七）其他：</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1.供应商应派有经验的技术人员到现场进行安装、调试，直到设备正常使用；</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2.供应商应提供售后服务队伍名称、资质、人员配备、联系地址、电话等详细资料，以及用户人员操作培训、长期保修、维护服务和今后技术支持的措施计划和承诺；</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3.质量保证期为3年，时间自验收合格并交付使用之日起计算。在质保期内：如遇与所供产品有关的问题，供应商应1小时内响应，4小时提供解决方案，在接采购人通知后24小时内赶到现场提供免费服务；应无偿并迅速更换由于元件缺陷及制造工艺等问题而发生故障的产品；需每年定期提供软件升级及硬件维护等服务；采购人如果迁移，应免费协助指导设备拆除及新场地安装；</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4.在质保期结束前半年内，供应商须派专业工程师与采购人代表对系统设备进行另一次测试维保，任何故障由供应商自费解决并取得采购人的认可；</w:t>
      </w:r>
    </w:p>
    <w:p>
      <w:pPr>
        <w:snapToGrid w:val="0"/>
        <w:spacing w:line="579" w:lineRule="exact"/>
        <w:ind w:firstLine="560" w:firstLineChars="200"/>
        <w:rPr>
          <w:rFonts w:ascii="仿宋_GB2312" w:eastAsia="仿宋_GB2312"/>
          <w:bCs/>
          <w:sz w:val="28"/>
          <w:szCs w:val="28"/>
        </w:rPr>
      </w:pPr>
      <w:r>
        <w:rPr>
          <w:rFonts w:hint="eastAsia" w:ascii="仿宋_GB2312" w:eastAsia="仿宋_GB2312"/>
          <w:bCs/>
          <w:sz w:val="28"/>
          <w:szCs w:val="28"/>
        </w:rPr>
        <w:t>5.质保期满后：如遇与所供产品有关的问题，供应商应1小时内响应，4小时提供解决方案，24小时内赶到现场提供服务；若小型设备出现问题，如有试验需求时，维修过程中应提供合格产品供采购人短期使用；为此项目应以优惠价格终生提供保障其正常运行的配件和维护并能提供送货上门服务（以设备正常使用年限为限），应按其在深圳地区同类服务的优惠价格提供保修服务；</w:t>
      </w:r>
    </w:p>
    <w:p>
      <w:pPr>
        <w:snapToGrid w:val="0"/>
        <w:spacing w:line="579" w:lineRule="exact"/>
        <w:ind w:firstLine="560" w:firstLineChars="200"/>
        <w:rPr>
          <w:rFonts w:ascii="仿宋_GB2312" w:eastAsia="仿宋_GB2312"/>
          <w:b/>
          <w:sz w:val="28"/>
          <w:szCs w:val="28"/>
        </w:rPr>
      </w:pPr>
      <w:r>
        <w:rPr>
          <w:rFonts w:hint="eastAsia" w:ascii="仿宋_GB2312" w:eastAsia="仿宋_GB2312"/>
          <w:bCs/>
          <w:sz w:val="28"/>
          <w:szCs w:val="28"/>
        </w:rPr>
        <w:t>6.供应商需每年定期按采购人要求派遣专业工程师进行技术交流指导。</w:t>
      </w:r>
    </w:p>
    <w:p>
      <w:pPr>
        <w:adjustRightInd w:val="0"/>
        <w:snapToGrid w:val="0"/>
        <w:spacing w:line="500" w:lineRule="exact"/>
        <w:ind w:firstLine="560" w:firstLineChars="200"/>
        <w:rPr>
          <w:rFonts w:ascii="仿宋_GB2312" w:hAnsi="仿宋_GB2312" w:eastAsia="仿宋_GB2312" w:cs="仿宋_GB2312"/>
          <w:sz w:val="28"/>
          <w:szCs w:val="28"/>
        </w:rPr>
      </w:pPr>
    </w:p>
    <w:p>
      <w:pPr>
        <w:pStyle w:val="3"/>
        <w:ind w:firstLine="0" w:firstLineChars="0"/>
        <w:rPr>
          <w:rFonts w:ascii="仿宋_GB2312" w:hAnsi="仿宋_GB2312" w:eastAsia="仿宋_GB2312" w:cs="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33FA6"/>
    <w:multiLevelType w:val="multilevel"/>
    <w:tmpl w:val="15533FA6"/>
    <w:lvl w:ilvl="0" w:tentative="0">
      <w:start w:val="1"/>
      <w:numFmt w:val="decimal"/>
      <w:lvlText w:val="%1"/>
      <w:lvlJc w:val="center"/>
      <w:pPr>
        <w:ind w:left="227" w:hanging="227"/>
      </w:pPr>
      <w:rPr>
        <w:rFonts w:hint="eastAsia"/>
        <w:snapToGrid w:val="0"/>
        <w:spacing w:val="0"/>
        <w:w w:val="100"/>
        <w:kern w:val="0"/>
        <w:positio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46260FA"/>
    <w:multiLevelType w:val="multilevel"/>
    <w:tmpl w:val="646260FA"/>
    <w:lvl w:ilvl="0" w:tentative="0">
      <w:start w:val="1"/>
      <w:numFmt w:val="decimal"/>
      <w:pStyle w:val="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DBF04F4"/>
    <w:multiLevelType w:val="multilevel"/>
    <w:tmpl w:val="6DBF04F4"/>
    <w:lvl w:ilvl="0" w:tentative="0">
      <w:start w:val="1"/>
      <w:numFmt w:val="none"/>
      <w:pStyle w:val="1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xNTkzZjFmMzIzMGI3ZjMxOTUxMTA5OTkwMjE2NjYifQ=="/>
  </w:docVars>
  <w:rsids>
    <w:rsidRoot w:val="FFFF3A3B"/>
    <w:rsid w:val="001F155E"/>
    <w:rsid w:val="008B7EFF"/>
    <w:rsid w:val="00A67920"/>
    <w:rsid w:val="00D12152"/>
    <w:rsid w:val="00DE3FEF"/>
    <w:rsid w:val="0206141C"/>
    <w:rsid w:val="07B97ED4"/>
    <w:rsid w:val="088724A4"/>
    <w:rsid w:val="2E6FFC4A"/>
    <w:rsid w:val="2F5ABB1F"/>
    <w:rsid w:val="2F5E6713"/>
    <w:rsid w:val="36EDB7AD"/>
    <w:rsid w:val="37EFCF21"/>
    <w:rsid w:val="3EFEE3B9"/>
    <w:rsid w:val="3FF38E4A"/>
    <w:rsid w:val="477D54EB"/>
    <w:rsid w:val="4BF53443"/>
    <w:rsid w:val="529E2307"/>
    <w:rsid w:val="5BED357E"/>
    <w:rsid w:val="5EADC10E"/>
    <w:rsid w:val="5F77289B"/>
    <w:rsid w:val="61B22326"/>
    <w:rsid w:val="6C440485"/>
    <w:rsid w:val="6DF7D88A"/>
    <w:rsid w:val="6F3CB7E9"/>
    <w:rsid w:val="6F8B3A62"/>
    <w:rsid w:val="6FBFE3D3"/>
    <w:rsid w:val="6FDA1C82"/>
    <w:rsid w:val="6FFDB520"/>
    <w:rsid w:val="71475B21"/>
    <w:rsid w:val="73DDBECE"/>
    <w:rsid w:val="74BB065F"/>
    <w:rsid w:val="75FBFFBA"/>
    <w:rsid w:val="75FF398E"/>
    <w:rsid w:val="776DBBA2"/>
    <w:rsid w:val="79EC0992"/>
    <w:rsid w:val="7D5BCBDA"/>
    <w:rsid w:val="7D7FF47A"/>
    <w:rsid w:val="7DFF8BA1"/>
    <w:rsid w:val="7E7D2023"/>
    <w:rsid w:val="7EA592BF"/>
    <w:rsid w:val="7F474449"/>
    <w:rsid w:val="7F5E43D6"/>
    <w:rsid w:val="7F6FC615"/>
    <w:rsid w:val="7F8FD6CC"/>
    <w:rsid w:val="7FF4E33F"/>
    <w:rsid w:val="7FF7BAB6"/>
    <w:rsid w:val="83EEBB14"/>
    <w:rsid w:val="9DBD843E"/>
    <w:rsid w:val="9F7BEC10"/>
    <w:rsid w:val="9FDF5E06"/>
    <w:rsid w:val="A3BDC4B1"/>
    <w:rsid w:val="A7B2B052"/>
    <w:rsid w:val="ABE9E356"/>
    <w:rsid w:val="AE69A740"/>
    <w:rsid w:val="AEDC0902"/>
    <w:rsid w:val="B39F7DAE"/>
    <w:rsid w:val="BD77A451"/>
    <w:rsid w:val="D7BB3BB6"/>
    <w:rsid w:val="D7ED58BA"/>
    <w:rsid w:val="D7ED9627"/>
    <w:rsid w:val="D7F71223"/>
    <w:rsid w:val="D7FF7B7F"/>
    <w:rsid w:val="DAFE8C6A"/>
    <w:rsid w:val="DB6B1D0A"/>
    <w:rsid w:val="DC3D5BB2"/>
    <w:rsid w:val="DD57336A"/>
    <w:rsid w:val="DDFED0A2"/>
    <w:rsid w:val="DFC3A8A7"/>
    <w:rsid w:val="DFF2E7FA"/>
    <w:rsid w:val="E7FB3370"/>
    <w:rsid w:val="EAFF627B"/>
    <w:rsid w:val="EFAF3EF9"/>
    <w:rsid w:val="F3BDB5D1"/>
    <w:rsid w:val="F5FEC221"/>
    <w:rsid w:val="F7BE3BEE"/>
    <w:rsid w:val="F7FF3631"/>
    <w:rsid w:val="F926C1BA"/>
    <w:rsid w:val="FA4D2E3E"/>
    <w:rsid w:val="FAF77C95"/>
    <w:rsid w:val="FBF3D30F"/>
    <w:rsid w:val="FBFBFD3C"/>
    <w:rsid w:val="FDDBD9D5"/>
    <w:rsid w:val="FDEF27D7"/>
    <w:rsid w:val="FEFB5C0E"/>
    <w:rsid w:val="FEFF4941"/>
    <w:rsid w:val="FF3E776C"/>
    <w:rsid w:val="FF3F499E"/>
    <w:rsid w:val="FF5F3A0D"/>
    <w:rsid w:val="FF7CF2E3"/>
    <w:rsid w:val="FFDF6DB6"/>
    <w:rsid w:val="FFF7A206"/>
    <w:rsid w:val="FFFF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spacing w:line="560" w:lineRule="exact"/>
      <w:ind w:firstLine="420" w:firstLineChars="200"/>
    </w:pPr>
  </w:style>
  <w:style w:type="paragraph" w:styleId="4">
    <w:name w:val="annotation text"/>
    <w:basedOn w:val="1"/>
    <w:qFormat/>
    <w:uiPriority w:val="0"/>
    <w:pPr>
      <w:jc w:val="left"/>
    </w:pPr>
  </w:style>
  <w:style w:type="paragraph" w:styleId="5">
    <w:name w:val="Balloon Text"/>
    <w:basedOn w:val="1"/>
    <w:link w:val="20"/>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otnote reference"/>
    <w:basedOn w:val="11"/>
    <w:qFormat/>
    <w:uiPriority w:val="0"/>
    <w:rPr>
      <w:vertAlign w:val="superscript"/>
    </w:rPr>
  </w:style>
  <w:style w:type="paragraph" w:customStyle="1" w:styleId="13">
    <w:name w:val="p0"/>
    <w:basedOn w:val="1"/>
    <w:qFormat/>
    <w:uiPriority w:val="0"/>
    <w:pPr>
      <w:widowControl/>
    </w:pPr>
    <w:rPr>
      <w:rFonts w:hint="eastAsia" w:ascii="宋体" w:hAnsi="宋体"/>
    </w:rPr>
  </w:style>
  <w:style w:type="paragraph" w:customStyle="1" w:styleId="14">
    <w:name w:val="列出段落2"/>
    <w:basedOn w:val="1"/>
    <w:qFormat/>
    <w:uiPriority w:val="34"/>
    <w:pPr>
      <w:ind w:firstLine="420" w:firstLineChars="200"/>
    </w:pPr>
  </w:style>
  <w:style w:type="paragraph" w:customStyle="1" w:styleId="15">
    <w:name w:val="p15"/>
    <w:basedOn w:val="1"/>
    <w:qFormat/>
    <w:uiPriority w:val="0"/>
    <w:pPr>
      <w:widowControl/>
    </w:pPr>
    <w:rPr>
      <w:rFonts w:hint="eastAsia" w:ascii="宋体" w:hAnsi="宋体"/>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标准文件_正文表标题"/>
    <w:next w:val="18"/>
    <w:qFormat/>
    <w:uiPriority w:val="0"/>
    <w:pPr>
      <w:numPr>
        <w:ilvl w:val="0"/>
        <w:numId w:val="1"/>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注："/>
    <w:next w:val="18"/>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character" w:customStyle="1" w:styleId="20">
    <w:name w:val="批注框文本 Char"/>
    <w:basedOn w:val="11"/>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466</Words>
  <Characters>2659</Characters>
  <Lines>22</Lines>
  <Paragraphs>6</Paragraphs>
  <TotalTime>107</TotalTime>
  <ScaleCrop>false</ScaleCrop>
  <LinksUpToDate>false</LinksUpToDate>
  <CharactersWithSpaces>3119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2022-06-27T17:41:00Z</dcterms:created>
  <dc:creator>高加能</dc:creator>
  <cp:lastModifiedBy>DD</cp:lastModifiedBy>
  <cp:lastPrinted>2022-08-05T18:00:00Z</cp:lastPrinted>
  <dcterms:modified xsi:type="dcterms:W3CDTF">2023-05-22T03:16:33Z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D777EFC658B74918B2CC8F5E99EC9A25</vt:lpwstr>
  </property>
</Properties>
</file>