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994"/>
        <w:gridCol w:w="1267"/>
        <w:gridCol w:w="1253"/>
        <w:gridCol w:w="604"/>
        <w:gridCol w:w="159"/>
        <w:gridCol w:w="461"/>
        <w:gridCol w:w="224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深圳市福田区保障性住房项目（2022年深圳市政府专项债券（二十三期））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福田区住房和建设局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福田区住房和建设局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58679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75837.018712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75837.018712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58679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0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13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3500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13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13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72337.018712</w:t>
                  </w: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75837.018712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72337.018712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72337.018712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7个保障房建设、回购项目年度计划目标</w:t>
            </w:r>
          </w:p>
        </w:tc>
        <w:tc>
          <w:tcPr>
            <w:tcW w:w="34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按年度计划完成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建成套数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9871套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9781套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质量合格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完成本年度计划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完成本年度计划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完成本年度计划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建设成本属于合理范围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设成本属于合理范围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设成本属于合理范围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加大保障性住房工作力度，着力解决辖区居民困难，吸引更多人才，从而创造更大的经济效益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贡献约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2442套保障房基础建设产业，增加有效投资空间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贡献约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2442套保障房基础建设产业，增加有效投资空间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缓解福田区居民住房压力，解决居民住房困难，持续改善居民居住调条件，解决居民对住房的后顾之忧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确保完成保障房建设年度任务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确保完成保障房建设年度任务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按照绿色建筑标准进行规划设计建设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按照绿色建筑标准进行规划设计建设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按照绿色建筑标准进行规划设计建设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80%以上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80%以上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57FB"/>
    <w:rsid w:val="0D8C57FB"/>
    <w:rsid w:val="197E0407"/>
    <w:rsid w:val="2FDD9073"/>
    <w:rsid w:val="3737960D"/>
    <w:rsid w:val="5BBF1596"/>
    <w:rsid w:val="61AFB0D2"/>
    <w:rsid w:val="6FAF6505"/>
    <w:rsid w:val="6FCC4548"/>
    <w:rsid w:val="76676A27"/>
    <w:rsid w:val="77D3281C"/>
    <w:rsid w:val="7E7F79D4"/>
    <w:rsid w:val="9B7D5D2D"/>
    <w:rsid w:val="F8D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宋体"/>
      <w:sz w:val="21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6">
    <w:name w:val="Char Char Char Char Char Char1 Char"/>
    <w:basedOn w:val="2"/>
    <w:link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eastAsia="宋体"/>
      <w:sz w:val="21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2021-01-23T14:51:00Z</dcterms:created>
  <dc:creator>叶铿</dc:creator>
  <cp:lastModifiedBy>胡杰</cp:lastModifiedBy>
  <cp:lastPrinted>2023-06-27T09:02:57Z</cp:lastPrinted>
  <dcterms:modified xsi:type="dcterms:W3CDTF">2023-06-27T09:02:59Z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