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eastAsia="zh-CN"/>
        </w:rPr>
        <w:t>福田区禾镰坑水库和莲塘尾水库除险加固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项目背景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党中央、国务院高度重视水库安全，习近平总书记专门作出重要批示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’期间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解决防汛中的薄弱环节，确保现有水库安然无恙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。《国务院办公厅关于切实加强水库除险加固和运行管护工作的通知》明确提出，到2025年底前，完成全国存量和新鉴定病险水库的除险加固工作。2021年9月，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市政府批准实施《深圳市水库除险加固三年攻坚行动实施方案（2021-2023年）》。2022年5月，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市水务局、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市发改委、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市财政局联合印发《深圳市水务局、深圳市发展和改革委员会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深圳市财政局关于进一步明确水库除险加固项目相关事项的通知》，进一步明确水库除险加固项目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进一步提高水库安全保障水平和水资源保障能力，奠定建设幸福福田坚实的水务基础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福田</w:t>
      </w:r>
      <w:r>
        <w:rPr>
          <w:rFonts w:hint="eastAsia" w:ascii="仿宋_GB2312" w:hAnsi="Calibri" w:cs="Times New Roman"/>
          <w:kern w:val="2"/>
          <w:sz w:val="32"/>
          <w:szCs w:val="32"/>
          <w:lang w:val="en-US" w:eastAsia="zh-CN" w:bidi="ar-SA"/>
        </w:rPr>
        <w:t>区水务局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ascii="仿宋_GB2312" w:hAnsi="Calibri" w:cs="Times New Roman"/>
          <w:kern w:val="2"/>
          <w:sz w:val="32"/>
          <w:szCs w:val="32"/>
          <w:lang w:val="en-US" w:eastAsia="zh-CN" w:bidi="ar-SA"/>
        </w:rPr>
        <w:t>以上文件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要求及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深圳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市水务局审定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的“一库一策”方案报告内容，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组织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禾镰坑水库和莲塘尾水库除险加固项目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Calibri" w:cs="Times New Roman"/>
          <w:kern w:val="2"/>
          <w:sz w:val="32"/>
          <w:szCs w:val="32"/>
          <w:lang w:val="en-US" w:eastAsia="zh-CN" w:bidi="ar-SA"/>
        </w:rPr>
        <w:t>实施工作。</w:t>
      </w:r>
    </w:p>
    <w:p>
      <w:pPr>
        <w:pStyle w:val="2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建设内容及规模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禾镰坑水库、莲塘尾水库均为小（2）型水库，工程等别为V等，主要建筑物级别为4级。本次除险加固的建设内容主要围绕大坝加固、泄洪建筑物加固、输水建筑物加固、机电及金属结构改造等子项开展。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（一）禾镰坑水库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1.上游坝面加固设计，对大坝上游混凝土护坡局部存在的麻面和裂缝进行处理。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2.泄洪消能建筑物加固设计，对溢洪道尾水渠右侧浆砌石边墙进行砂浆抹面，增加其抗冲能力。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3.输水建筑物加固设计，采用紫外光固化管道修复法补强加固输水涵管，更换输水涵管进水口闸门与启闭设备。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（二）莲塘尾水库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1.溢洪道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溢洪道左侧边坡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近坝库岸左岸边坡加固。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2.输水涵管金属结构加固设计，更换输水涵管闸门、吊耳及启闭设备。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3.库尾沉砂池修复。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.库岸水土流失整治。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.输水涵管末端，进入出水井前部加固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增设一处三防物资堆放点，坝后坡新建排水沟。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89B4C"/>
    <w:multiLevelType w:val="singleLevel"/>
    <w:tmpl w:val="02C89B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2FF8F4F"/>
    <w:rsid w:val="12B0628B"/>
    <w:rsid w:val="586E3442"/>
    <w:rsid w:val="778D2FBC"/>
    <w:rsid w:val="7EDFDF6E"/>
    <w:rsid w:val="C2FF8F4F"/>
    <w:rsid w:val="FFFFA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next w:val="3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next w:val="4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2"/>
    </w:pPr>
    <w:rPr>
      <w:rFonts w:eastAsia="楷体_GB2312" w:cs="Times New Roman" w:asciiTheme="minorAscii" w:hAnsiTheme="minorAscii"/>
      <w:b/>
      <w:sz w:val="32"/>
    </w:rPr>
  </w:style>
  <w:style w:type="paragraph" w:styleId="4">
    <w:name w:val="heading 4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3"/>
    </w:pPr>
    <w:rPr>
      <w:rFonts w:ascii="Arial" w:hAnsi="Arial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2023-04-19T06:15:00Z</dcterms:created>
  <dc:creator>m</dc:creator>
  <cp:lastModifiedBy>m</cp:lastModifiedBy>
  <dcterms:modified xsi:type="dcterms:W3CDTF">2023-07-03T14:29:15Z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DFA3CF7E140C47B8B874394E143FE4CD</vt:lpwstr>
  </property>
</Properties>
</file>