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val="0"/>
        <w:snapToGrid w:val="0"/>
        <w:spacing w:afterLines="0" w:line="580" w:lineRule="exact"/>
        <w:ind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pacing w:val="-17"/>
          <w:sz w:val="44"/>
          <w:szCs w:val="44"/>
          <w:lang w:eastAsia="zh-CN"/>
        </w:rPr>
        <w:t>《</w:t>
      </w:r>
      <w:r>
        <w:rPr>
          <w:rFonts w:hint="eastAsia" w:ascii="方正小标宋_GBK" w:eastAsia="方正小标宋_GBK"/>
          <w:sz w:val="44"/>
          <w:szCs w:val="28"/>
        </w:rPr>
        <w:t>福田英才荟人力资源服务产业园管理办法</w:t>
      </w:r>
      <w:r>
        <w:rPr>
          <w:rFonts w:hint="eastAsia" w:ascii="方正小标宋简体" w:hAnsi="方正小标宋简体" w:eastAsia="方正小标宋简体" w:cs="方正小标宋简体"/>
          <w:b w:val="0"/>
          <w:bCs/>
          <w:spacing w:val="-17"/>
          <w:sz w:val="44"/>
          <w:szCs w:val="44"/>
          <w:lang w:eastAsia="zh-CN"/>
        </w:rPr>
        <w:t>》</w:t>
      </w:r>
    </w:p>
    <w:p>
      <w:pPr>
        <w:spacing w:line="580" w:lineRule="exact"/>
        <w:jc w:val="center"/>
        <w:rPr>
          <w:rFonts w:ascii="??_GB2312" w:hAnsi="仿宋" w:eastAsia="Times New Roman" w:cs="Times New Roman"/>
          <w:color w:val="000000"/>
          <w:sz w:val="32"/>
          <w:szCs w:val="32"/>
        </w:rPr>
      </w:pPr>
      <w:r>
        <w:rPr>
          <w:rFonts w:hint="eastAsia" w:ascii="方正小标宋简体" w:hAnsi="方正小标宋简体" w:eastAsia="方正小标宋简体" w:cs="方正小标宋简体"/>
          <w:sz w:val="44"/>
          <w:szCs w:val="44"/>
        </w:rPr>
        <w:t>修改前后对照表</w:t>
      </w:r>
    </w:p>
    <w:p>
      <w:pPr>
        <w:adjustRightInd w:val="0"/>
        <w:snapToGrid w:val="0"/>
        <w:spacing w:line="580" w:lineRule="exact"/>
        <w:ind w:firstLine="640" w:firstLineChars="200"/>
        <w:jc w:val="center"/>
        <w:rPr>
          <w:rFonts w:hint="eastAsia" w:ascii="仿宋_GB2312" w:hAnsi="仿宋" w:eastAsia="仿宋_GB2312" w:cs="仿宋"/>
          <w:sz w:val="32"/>
          <w:szCs w:val="32"/>
        </w:rPr>
      </w:pPr>
      <w:r>
        <w:rPr>
          <w:rFonts w:ascii="??_GB2312" w:hAnsi="仿宋" w:eastAsia="Times New Roman" w:cs="Times New Roman"/>
          <w:color w:val="000000"/>
          <w:sz w:val="32"/>
          <w:szCs w:val="32"/>
        </w:rPr>
        <w:t>（</w:t>
      </w:r>
      <w:r>
        <w:rPr>
          <w:rFonts w:hint="eastAsia" w:ascii="黑体" w:hAnsi="黑体" w:eastAsia="黑体" w:cs="黑体"/>
          <w:color w:val="000000"/>
          <w:sz w:val="32"/>
          <w:szCs w:val="32"/>
        </w:rPr>
        <w:t>黑体</w:t>
      </w:r>
      <w:r>
        <w:rPr>
          <w:rFonts w:ascii="??_GB2312" w:hAnsi="仿宋" w:eastAsia="Times New Roman" w:cs="Times New Roman"/>
          <w:color w:val="000000"/>
          <w:sz w:val="32"/>
          <w:szCs w:val="32"/>
        </w:rPr>
        <w:t>为</w:t>
      </w:r>
      <w:r>
        <w:rPr>
          <w:rFonts w:hint="eastAsia" w:ascii="??_GB2312" w:hAnsi="仿宋" w:eastAsia="宋体" w:cs="Times New Roman"/>
          <w:color w:val="000000"/>
          <w:sz w:val="32"/>
          <w:szCs w:val="32"/>
          <w:lang w:val="en-US" w:eastAsia="zh-CN"/>
        </w:rPr>
        <w:t>修改</w:t>
      </w:r>
      <w:r>
        <w:rPr>
          <w:rFonts w:hint="eastAsia" w:ascii="??_GB2312" w:hAnsi="仿宋" w:eastAsia="宋体" w:cs="Times New Roman"/>
          <w:color w:val="000000"/>
          <w:sz w:val="32"/>
          <w:szCs w:val="32"/>
        </w:rPr>
        <w:t>内容</w:t>
      </w:r>
      <w:r>
        <w:rPr>
          <w:rFonts w:ascii="??_GB2312" w:hAnsi="仿宋" w:eastAsia="Times New Roman" w:cs="Times New Roman"/>
          <w:color w:val="000000"/>
          <w:sz w:val="32"/>
          <w:szCs w:val="32"/>
        </w:rPr>
        <w:t>）</w:t>
      </w:r>
    </w:p>
    <w:tbl>
      <w:tblPr>
        <w:tblStyle w:val="6"/>
        <w:tblpPr w:leftFromText="180" w:rightFromText="180" w:vertAnchor="text" w:horzAnchor="page" w:tblpXSpec="center" w:tblpY="980"/>
        <w:tblOverlap w:val="never"/>
        <w:tblW w:w="5596" w:type="pct"/>
        <w:jc w:val="center"/>
        <w:tblLayout w:type="autofit"/>
        <w:tblCellMar>
          <w:top w:w="0" w:type="dxa"/>
          <w:left w:w="108" w:type="dxa"/>
          <w:bottom w:w="0" w:type="dxa"/>
          <w:right w:w="108" w:type="dxa"/>
        </w:tblCellMar>
      </w:tblPr>
      <w:tblGrid>
        <w:gridCol w:w="5472"/>
        <w:gridCol w:w="5774"/>
        <w:gridCol w:w="4618"/>
      </w:tblGrid>
      <w:tr>
        <w:tblPrEx>
          <w:tblCellMar>
            <w:top w:w="0" w:type="dxa"/>
            <w:left w:w="108" w:type="dxa"/>
            <w:bottom w:w="0" w:type="dxa"/>
            <w:right w:w="108" w:type="dxa"/>
          </w:tblCellMar>
        </w:tblPrEx>
        <w:trPr>
          <w:trHeight w:val="759" w:hRule="atLeast"/>
          <w:tblHeader/>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Style w:val="3"/>
              <w:pageBreakBefore w:val="0"/>
              <w:kinsoku/>
              <w:wordWrap/>
              <w:overflowPunct/>
              <w:topLinePunct w:val="0"/>
              <w:autoSpaceDE/>
              <w:bidi w:val="0"/>
              <w:spacing w:line="580" w:lineRule="exact"/>
              <w:jc w:val="center"/>
              <w:textAlignment w:val="auto"/>
              <w:rPr>
                <w:rFonts w:hint="eastAsia" w:cs="Times New Roman"/>
              </w:rPr>
            </w:pPr>
            <w:r>
              <w:rPr>
                <w:rFonts w:hint="eastAsia" w:cs="Times New Roman"/>
              </w:rPr>
              <w:t>现</w:t>
            </w:r>
            <w:r>
              <w:rPr>
                <w:rFonts w:hint="eastAsia" w:cs="Times New Roman"/>
                <w:lang w:val="en-US" w:eastAsia="zh-CN"/>
              </w:rPr>
              <w:t>条文</w:t>
            </w:r>
            <w:r>
              <w:rPr>
                <w:rFonts w:hint="eastAsia" w:cs="Times New Roman"/>
              </w:rPr>
              <w:t>的内容</w:t>
            </w:r>
          </w:p>
        </w:tc>
        <w:tc>
          <w:tcPr>
            <w:tcW w:w="1819" w:type="pct"/>
            <w:tcBorders>
              <w:top w:val="single" w:color="auto" w:sz="4" w:space="0"/>
              <w:left w:val="single" w:color="auto" w:sz="4" w:space="0"/>
              <w:bottom w:val="single" w:color="auto" w:sz="4" w:space="0"/>
              <w:right w:val="single" w:color="auto" w:sz="4" w:space="0"/>
            </w:tcBorders>
            <w:noWrap w:val="0"/>
            <w:vAlign w:val="top"/>
          </w:tcPr>
          <w:p>
            <w:pPr>
              <w:pStyle w:val="3"/>
              <w:pageBreakBefore w:val="0"/>
              <w:kinsoku/>
              <w:wordWrap/>
              <w:overflowPunct/>
              <w:topLinePunct w:val="0"/>
              <w:autoSpaceDE/>
              <w:bidi w:val="0"/>
              <w:spacing w:line="580" w:lineRule="exact"/>
              <w:jc w:val="center"/>
              <w:textAlignment w:val="auto"/>
              <w:rPr>
                <w:rFonts w:hint="eastAsia" w:cs="Times New Roman"/>
              </w:rPr>
            </w:pPr>
            <w:r>
              <w:rPr>
                <w:rFonts w:hint="eastAsia" w:cs="Times New Roman"/>
              </w:rPr>
              <w:t>修改后的内容</w:t>
            </w:r>
          </w:p>
        </w:tc>
        <w:tc>
          <w:tcPr>
            <w:tcW w:w="1455" w:type="pct"/>
            <w:tcBorders>
              <w:top w:val="single" w:color="auto" w:sz="4" w:space="0"/>
              <w:left w:val="single" w:color="auto" w:sz="4" w:space="0"/>
              <w:bottom w:val="single" w:color="auto" w:sz="4" w:space="0"/>
              <w:right w:val="single" w:color="auto" w:sz="4" w:space="0"/>
            </w:tcBorders>
            <w:noWrap w:val="0"/>
            <w:vAlign w:val="top"/>
          </w:tcPr>
          <w:p>
            <w:pPr>
              <w:pStyle w:val="3"/>
              <w:pageBreakBefore w:val="0"/>
              <w:kinsoku/>
              <w:wordWrap/>
              <w:overflowPunct/>
              <w:topLinePunct w:val="0"/>
              <w:autoSpaceDE/>
              <w:bidi w:val="0"/>
              <w:spacing w:line="580" w:lineRule="exact"/>
              <w:jc w:val="center"/>
              <w:textAlignment w:val="auto"/>
              <w:rPr>
                <w:rFonts w:hint="eastAsia" w:cs="Times New Roman"/>
                <w:lang w:eastAsia="zh-CN"/>
              </w:rPr>
            </w:pPr>
            <w:r>
              <w:rPr>
                <w:rFonts w:hint="eastAsia" w:cs="Times New Roman"/>
                <w:lang w:eastAsia="zh-CN"/>
              </w:rPr>
              <w:t>修改原因</w:t>
            </w:r>
          </w:p>
        </w:tc>
      </w:tr>
      <w:tr>
        <w:tblPrEx>
          <w:tblCellMar>
            <w:top w:w="0" w:type="dxa"/>
            <w:left w:w="108" w:type="dxa"/>
            <w:bottom w:w="0" w:type="dxa"/>
            <w:right w:w="108" w:type="dxa"/>
          </w:tblCellMar>
        </w:tblPrEx>
        <w:trPr>
          <w:trHeight w:val="1599" w:hRule="atLeast"/>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bidi w:val="0"/>
              <w:spacing w:line="580" w:lineRule="exact"/>
              <w:ind w:firstLine="480" w:firstLineChars="200"/>
              <w:jc w:val="both"/>
              <w:textAlignment w:val="auto"/>
              <w:rPr>
                <w:rFonts w:hint="eastAsia" w:ascii="宋体" w:hAnsi="宋体" w:eastAsia="宋体" w:cs="宋体"/>
                <w:color w:val="000000"/>
                <w:kern w:val="0"/>
                <w:sz w:val="24"/>
                <w:szCs w:val="24"/>
              </w:rPr>
            </w:pPr>
            <w:r>
              <w:rPr>
                <w:rFonts w:hint="eastAsia" w:ascii="仿宋_GB2312" w:hAnsi="Times New Roman" w:eastAsia="仿宋_GB2312" w:cs="Times New Roman"/>
                <w:bCs/>
                <w:color w:val="auto"/>
                <w:sz w:val="24"/>
                <w:szCs w:val="24"/>
                <w:lang w:eastAsia="zh-CN"/>
              </w:rPr>
              <w:t>第一条 制定宗旨。为推动我区人力资源服务业集聚高质量发展，根据《深圳市人力资源和社会保障局 深圳市发展和改革委员会 深圳市财政委员会印发〈深圳市关于加快发展人力资源服务业的若干措施〉的通知》（深人社发〔2018〕94号）和《中共深圳市福田区委 深圳市福田区人民政府关于进一步实施福田英才荟若干措施的通知》（福发〔202</w:t>
            </w:r>
            <w:r>
              <w:rPr>
                <w:rFonts w:hint="eastAsia" w:ascii="仿宋_GB2312" w:hAnsi="Times New Roman" w:eastAsia="仿宋_GB2312" w:cs="Times New Roman"/>
                <w:bCs/>
                <w:color w:val="auto"/>
                <w:sz w:val="24"/>
                <w:szCs w:val="24"/>
                <w:lang w:val="en-US" w:eastAsia="zh-CN"/>
              </w:rPr>
              <w:t>1</w:t>
            </w:r>
            <w:r>
              <w:rPr>
                <w:rFonts w:hint="eastAsia" w:ascii="仿宋_GB2312" w:hAnsi="Times New Roman" w:eastAsia="仿宋_GB2312" w:cs="Times New Roman"/>
                <w:bCs/>
                <w:color w:val="auto"/>
                <w:sz w:val="24"/>
                <w:szCs w:val="24"/>
                <w:lang w:eastAsia="zh-CN"/>
              </w:rPr>
              <w:t>〕1</w:t>
            </w:r>
            <w:r>
              <w:rPr>
                <w:rFonts w:hint="eastAsia" w:ascii="仿宋_GB2312" w:hAnsi="Times New Roman" w:eastAsia="仿宋_GB2312" w:cs="Times New Roman"/>
                <w:bCs/>
                <w:color w:val="auto"/>
                <w:sz w:val="24"/>
                <w:szCs w:val="24"/>
                <w:lang w:val="en-US" w:eastAsia="zh-CN"/>
              </w:rPr>
              <w:t>0</w:t>
            </w:r>
            <w:r>
              <w:rPr>
                <w:rFonts w:hint="eastAsia" w:ascii="仿宋_GB2312" w:hAnsi="Times New Roman" w:eastAsia="仿宋_GB2312" w:cs="Times New Roman"/>
                <w:bCs/>
                <w:color w:val="auto"/>
                <w:sz w:val="24"/>
                <w:szCs w:val="24"/>
                <w:lang w:eastAsia="zh-CN"/>
              </w:rPr>
              <w:t>号）的有关规定，制定本办法。</w:t>
            </w:r>
          </w:p>
        </w:tc>
        <w:tc>
          <w:tcPr>
            <w:tcW w:w="1819" w:type="pct"/>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第一条 制定宗旨。为推动我区人力资源服务业集聚高质量发展，根据</w:t>
            </w:r>
            <w:r>
              <w:rPr>
                <w:rFonts w:hint="eastAsia" w:ascii="黑体" w:hAnsi="黑体" w:eastAsia="黑体" w:cs="黑体"/>
                <w:color w:val="000000"/>
                <w:kern w:val="2"/>
                <w:sz w:val="24"/>
                <w:szCs w:val="24"/>
                <w:lang w:val="en-US" w:eastAsia="zh-CN" w:bidi="ar-SA"/>
              </w:rPr>
              <w:t>《深圳市人民政府办公厅〈关于印发深圳市推进新时代人力资源服务业高质量发展若干措施〉的通知》（深府办规〔2023〕4号）</w:t>
            </w:r>
            <w:r>
              <w:rPr>
                <w:rFonts w:hint="eastAsia" w:ascii="仿宋_GB2312" w:hAnsi="Times New Roman" w:eastAsia="仿宋_GB2312" w:cs="Times New Roman"/>
                <w:bCs/>
                <w:color w:val="auto"/>
                <w:kern w:val="2"/>
                <w:sz w:val="24"/>
                <w:szCs w:val="24"/>
                <w:lang w:val="en-US" w:eastAsia="zh-CN" w:bidi="ar-SA"/>
              </w:rPr>
              <w:t>和《中共深圳市福田区委 深圳市福田区人民政府关于进一步实施福田英才荟若干措施的通知》（福发〔2021〕10号）的有关规定，制定本办法。</w:t>
            </w:r>
          </w:p>
          <w:p>
            <w:pPr>
              <w:pageBreakBefore w:val="0"/>
              <w:kinsoku/>
              <w:wordWrap/>
              <w:overflowPunct/>
              <w:topLinePunct w:val="0"/>
              <w:autoSpaceDE/>
              <w:bidi w:val="0"/>
              <w:spacing w:line="580" w:lineRule="exact"/>
              <w:ind w:firstLine="480" w:firstLineChars="200"/>
              <w:jc w:val="left"/>
              <w:textAlignment w:val="auto"/>
              <w:rPr>
                <w:rFonts w:hint="eastAsia" w:ascii="黑体" w:hAnsi="宋体" w:eastAsia="黑体" w:cs="宋体"/>
                <w:color w:val="000000"/>
                <w:kern w:val="0"/>
                <w:sz w:val="24"/>
                <w:szCs w:val="24"/>
              </w:rPr>
            </w:pPr>
          </w:p>
        </w:tc>
        <w:tc>
          <w:tcPr>
            <w:tcW w:w="1455"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bidi w:val="0"/>
              <w:spacing w:line="580" w:lineRule="exact"/>
              <w:ind w:firstLine="480" w:firstLineChars="200"/>
              <w:jc w:val="left"/>
              <w:textAlignment w:val="auto"/>
              <w:rPr>
                <w:rFonts w:hint="eastAsia" w:ascii="仿宋_GB2312" w:hAnsi="Times New Roman" w:eastAsia="仿宋_GB2312" w:cs="Times New Roman"/>
                <w:bCs/>
                <w:color w:val="auto"/>
                <w:sz w:val="24"/>
                <w:szCs w:val="24"/>
                <w:lang w:val="en-US" w:eastAsia="zh-CN"/>
              </w:rPr>
            </w:pPr>
            <w:r>
              <w:rPr>
                <w:rFonts w:hint="eastAsia" w:ascii="仿宋_GB2312" w:hAnsi="Times New Roman" w:eastAsia="仿宋_GB2312" w:cs="Times New Roman"/>
                <w:bCs/>
                <w:color w:val="auto"/>
                <w:sz w:val="24"/>
                <w:szCs w:val="24"/>
                <w:lang w:eastAsia="zh-CN"/>
              </w:rPr>
              <w:t>《深圳市人力资源和社会保障局 深圳市发展和改革委员会 深圳市财政委员会印发〈深圳市关于加快发展人力资源服务业的若干措施〉的通知》（深人社发〔2018〕94号）已废止，目前施行的政策是</w:t>
            </w:r>
            <w:r>
              <w:rPr>
                <w:rFonts w:hint="eastAsia" w:ascii="仿宋_GB2312" w:hAnsi="Times New Roman" w:eastAsia="仿宋_GB2312" w:cs="Times New Roman"/>
                <w:bCs/>
                <w:color w:val="auto"/>
                <w:sz w:val="24"/>
                <w:szCs w:val="24"/>
                <w:lang w:val="en-US" w:eastAsia="zh-CN"/>
              </w:rPr>
              <w:t>《深圳市人民政府办公厅〈关于印发深圳市推进新时代人力资源服务业高质量发展若干措施〉的通知》（深府办规〔2023〕4号）。</w:t>
            </w:r>
          </w:p>
        </w:tc>
      </w:tr>
      <w:tr>
        <w:tblPrEx>
          <w:tblCellMar>
            <w:top w:w="0" w:type="dxa"/>
            <w:left w:w="108" w:type="dxa"/>
            <w:bottom w:w="0" w:type="dxa"/>
            <w:right w:w="108" w:type="dxa"/>
          </w:tblCellMar>
        </w:tblPrEx>
        <w:trPr>
          <w:trHeight w:val="1599" w:hRule="atLeast"/>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第十条 入驻奖励。签订租约合同时长不低于3年的，根据租用办公面积给予从区外新迁入或新设立的入园机构一次性最高300万元奖励。</w:t>
            </w:r>
          </w:p>
          <w:p>
            <w:pPr>
              <w:pageBreakBefore w:val="0"/>
              <w:kinsoku/>
              <w:wordWrap/>
              <w:overflowPunct/>
              <w:topLinePunct w:val="0"/>
              <w:autoSpaceDE/>
              <w:bidi w:val="0"/>
              <w:spacing w:line="580" w:lineRule="exact"/>
              <w:ind w:firstLine="480" w:firstLineChars="200"/>
              <w:jc w:val="both"/>
              <w:textAlignment w:val="auto"/>
              <w:rPr>
                <w:rFonts w:hint="eastAsia" w:ascii="仿宋_GB2312" w:hAnsi="Times New Roman" w:eastAsia="仿宋_GB2312" w:cs="Times New Roman"/>
                <w:bCs/>
                <w:color w:val="auto"/>
                <w:sz w:val="24"/>
                <w:szCs w:val="24"/>
                <w:lang w:eastAsia="zh-CN"/>
              </w:rPr>
            </w:pPr>
          </w:p>
        </w:tc>
        <w:tc>
          <w:tcPr>
            <w:tcW w:w="181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bidi w:val="0"/>
              <w:spacing w:line="580" w:lineRule="exact"/>
              <w:ind w:firstLine="480" w:firstLineChars="200"/>
              <w:jc w:val="left"/>
              <w:textAlignment w:val="auto"/>
              <w:rPr>
                <w:rFonts w:hint="eastAsia" w:ascii="黑体" w:hAnsi="宋体" w:eastAsia="黑体" w:cs="宋体"/>
                <w:color w:val="000000"/>
                <w:kern w:val="0"/>
                <w:sz w:val="24"/>
                <w:szCs w:val="24"/>
              </w:rPr>
            </w:pPr>
            <w:r>
              <w:rPr>
                <w:rFonts w:hint="eastAsia" w:ascii="仿宋_GB2312" w:hAnsi="Times New Roman" w:eastAsia="仿宋_GB2312" w:cs="Times New Roman"/>
                <w:bCs/>
                <w:color w:val="auto"/>
                <w:kern w:val="2"/>
                <w:sz w:val="24"/>
                <w:szCs w:val="24"/>
                <w:lang w:val="en-US" w:eastAsia="zh-CN" w:bidi="ar-SA"/>
              </w:rPr>
              <w:t>第十条 入驻奖励。签订租约合同时长不低于3年的，根据租用办公面积给予</w:t>
            </w:r>
            <w:r>
              <w:rPr>
                <w:rFonts w:hint="eastAsia" w:ascii="黑体" w:hAnsi="黑体" w:eastAsia="黑体" w:cs="黑体"/>
                <w:color w:val="000000"/>
                <w:kern w:val="2"/>
                <w:sz w:val="24"/>
                <w:szCs w:val="24"/>
                <w:lang w:val="en-US" w:eastAsia="zh-CN" w:bidi="ar-SA"/>
              </w:rPr>
              <w:t>新迁入</w:t>
            </w:r>
            <w:r>
              <w:rPr>
                <w:rFonts w:hint="eastAsia" w:ascii="仿宋_GB2312" w:hAnsi="Times New Roman" w:eastAsia="仿宋_GB2312" w:cs="Times New Roman"/>
                <w:bCs/>
                <w:color w:val="auto"/>
                <w:kern w:val="2"/>
                <w:sz w:val="24"/>
                <w:szCs w:val="24"/>
                <w:lang w:val="en-US" w:eastAsia="zh-CN" w:bidi="ar-SA"/>
              </w:rPr>
              <w:t>或新设立的人力资源服务机构</w:t>
            </w:r>
            <w:r>
              <w:rPr>
                <w:rFonts w:hint="eastAsia" w:ascii="黑体" w:hAnsi="黑体" w:eastAsia="黑体" w:cs="黑体"/>
                <w:color w:val="000000"/>
                <w:kern w:val="2"/>
                <w:sz w:val="24"/>
                <w:szCs w:val="24"/>
                <w:lang w:val="en-US" w:eastAsia="zh-CN" w:bidi="ar-SA"/>
              </w:rPr>
              <w:t>（需在福田区进行人力资源服务机构登记备案）</w:t>
            </w:r>
            <w:r>
              <w:rPr>
                <w:rFonts w:hint="eastAsia" w:ascii="仿宋_GB2312" w:hAnsi="Times New Roman" w:eastAsia="仿宋_GB2312" w:cs="Times New Roman"/>
                <w:bCs/>
                <w:color w:val="auto"/>
                <w:kern w:val="2"/>
                <w:sz w:val="24"/>
                <w:szCs w:val="24"/>
                <w:lang w:val="en-US" w:eastAsia="zh-CN" w:bidi="ar-SA"/>
              </w:rPr>
              <w:t>一次性最高300万元奖励。</w:t>
            </w:r>
          </w:p>
        </w:tc>
        <w:tc>
          <w:tcPr>
            <w:tcW w:w="1455"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区外新迁入修改为新迁入，主要是为了吸引更多的企业入驻以及避免福田本土的企业外流。</w:t>
            </w:r>
          </w:p>
          <w:p>
            <w:pPr>
              <w:pStyle w:val="2"/>
              <w:pageBreakBefore w:val="0"/>
              <w:widowControl w:val="0"/>
              <w:kinsoku/>
              <w:wordWrap/>
              <w:overflowPunct/>
              <w:topLinePunct w:val="0"/>
              <w:autoSpaceDE/>
              <w:autoSpaceDN/>
              <w:bidi w:val="0"/>
              <w:adjustRightInd/>
              <w:snapToGrid/>
              <w:spacing w:before="0" w:after="0" w:line="580" w:lineRule="exact"/>
              <w:ind w:firstLine="480" w:firstLineChars="200"/>
              <w:jc w:val="left"/>
              <w:textAlignment w:val="auto"/>
              <w:rPr>
                <w:rFonts w:hint="eastAsia"/>
                <w:lang w:val="en-US" w:eastAsia="zh-CN"/>
              </w:rPr>
            </w:pPr>
            <w:r>
              <w:rPr>
                <w:rFonts w:hint="eastAsia" w:ascii="仿宋_GB2312" w:hAnsi="Times New Roman" w:eastAsia="仿宋_GB2312" w:cs="Times New Roman"/>
                <w:b w:val="0"/>
                <w:bCs/>
                <w:color w:val="auto"/>
                <w:kern w:val="2"/>
                <w:sz w:val="24"/>
                <w:szCs w:val="24"/>
                <w:lang w:val="en-US" w:eastAsia="zh-CN" w:bidi="ar-SA"/>
              </w:rPr>
              <w:t>在福田区进行人力资源服务机构登记备案有助于管理和服务企业。</w:t>
            </w:r>
          </w:p>
          <w:p>
            <w:pPr>
              <w:pStyle w:val="2"/>
              <w:rPr>
                <w:rFonts w:hint="eastAsia"/>
                <w:lang w:eastAsia="zh-CN"/>
              </w:rPr>
            </w:pPr>
          </w:p>
        </w:tc>
      </w:tr>
      <w:tr>
        <w:tblPrEx>
          <w:tblCellMar>
            <w:top w:w="0" w:type="dxa"/>
            <w:left w:w="108" w:type="dxa"/>
            <w:bottom w:w="0" w:type="dxa"/>
            <w:right w:w="108" w:type="dxa"/>
          </w:tblCellMar>
        </w:tblPrEx>
        <w:trPr>
          <w:trHeight w:val="1599" w:hRule="atLeast"/>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第十一条 租金扶持。对福田区人力资源服务产业园入驻机构，根据其上年度综合贡献情况给予上年度租金最高100元/平方米/月，每年最高300万元的租金扶持。</w:t>
            </w:r>
          </w:p>
          <w:p>
            <w:pPr>
              <w:pageBreakBefore w:val="0"/>
              <w:kinsoku/>
              <w:wordWrap/>
              <w:overflowPunct/>
              <w:topLinePunct w:val="0"/>
              <w:autoSpaceDE/>
              <w:bidi w:val="0"/>
              <w:spacing w:line="580" w:lineRule="exact"/>
              <w:ind w:firstLine="480" w:firstLineChars="200"/>
              <w:jc w:val="both"/>
              <w:textAlignment w:val="auto"/>
              <w:rPr>
                <w:rFonts w:hint="eastAsia" w:ascii="仿宋_GB2312" w:hAnsi="Times New Roman" w:eastAsia="仿宋_GB2312" w:cs="Times New Roman"/>
                <w:bCs/>
                <w:color w:val="auto"/>
                <w:sz w:val="24"/>
                <w:szCs w:val="24"/>
                <w:lang w:eastAsia="zh-CN"/>
              </w:rPr>
            </w:pPr>
          </w:p>
        </w:tc>
        <w:tc>
          <w:tcPr>
            <w:tcW w:w="181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bidi w:val="0"/>
              <w:spacing w:line="580" w:lineRule="exact"/>
              <w:ind w:firstLine="480" w:firstLineChars="200"/>
              <w:jc w:val="left"/>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第十一条 租金扶持。对福田区人力资源服务产业园入驻机构，根据其上年度综合贡献情况给予上年度租金最高</w:t>
            </w:r>
            <w:r>
              <w:rPr>
                <w:rFonts w:hint="eastAsia" w:ascii="黑体" w:hAnsi="黑体" w:eastAsia="黑体" w:cs="黑体"/>
                <w:color w:val="000000"/>
                <w:kern w:val="2"/>
                <w:sz w:val="24"/>
                <w:szCs w:val="24"/>
                <w:lang w:val="en-US" w:eastAsia="zh-CN" w:bidi="ar-SA"/>
              </w:rPr>
              <w:t>120元</w:t>
            </w:r>
            <w:r>
              <w:rPr>
                <w:rFonts w:hint="eastAsia" w:ascii="仿宋_GB2312" w:hAnsi="Times New Roman" w:eastAsia="仿宋_GB2312" w:cs="Times New Roman"/>
                <w:bCs/>
                <w:color w:val="auto"/>
                <w:kern w:val="2"/>
                <w:sz w:val="24"/>
                <w:szCs w:val="24"/>
                <w:lang w:val="en-US" w:eastAsia="zh-CN" w:bidi="ar-SA"/>
              </w:rPr>
              <w:t>/</w:t>
            </w:r>
            <w:r>
              <w:rPr>
                <w:rFonts w:hint="eastAsia" w:ascii="黑体" w:hAnsi="黑体" w:eastAsia="黑体" w:cs="黑体"/>
                <w:color w:val="000000"/>
                <w:kern w:val="2"/>
                <w:sz w:val="24"/>
                <w:szCs w:val="24"/>
                <w:lang w:val="en-US" w:eastAsia="zh-CN" w:bidi="ar-SA"/>
              </w:rPr>
              <w:t>平方米/月</w:t>
            </w:r>
            <w:r>
              <w:rPr>
                <w:rFonts w:hint="eastAsia" w:ascii="仿宋_GB2312" w:hAnsi="Times New Roman" w:eastAsia="仿宋_GB2312" w:cs="Times New Roman"/>
                <w:bCs/>
                <w:color w:val="auto"/>
                <w:kern w:val="2"/>
                <w:sz w:val="24"/>
                <w:szCs w:val="24"/>
                <w:lang w:val="en-US" w:eastAsia="zh-CN" w:bidi="ar-SA"/>
              </w:rPr>
              <w:t>，每年最高300万元的租金扶持。</w:t>
            </w:r>
          </w:p>
        </w:tc>
        <w:tc>
          <w:tcPr>
            <w:tcW w:w="1455" w:type="pct"/>
            <w:tcBorders>
              <w:top w:val="single" w:color="auto" w:sz="4" w:space="0"/>
              <w:left w:val="single" w:color="auto" w:sz="4" w:space="0"/>
              <w:bottom w:val="single" w:color="auto" w:sz="4" w:space="0"/>
              <w:right w:val="single" w:color="auto" w:sz="4" w:space="0"/>
            </w:tcBorders>
            <w:noWrap w:val="0"/>
            <w:vAlign w:val="top"/>
          </w:tcPr>
          <w:p>
            <w:pPr>
              <w:pStyle w:val="2"/>
              <w:keepNext/>
              <w:keepLines/>
              <w:pageBreakBefore w:val="0"/>
              <w:widowControl w:val="0"/>
              <w:kinsoku/>
              <w:wordWrap/>
              <w:overflowPunct/>
              <w:topLinePunct w:val="0"/>
              <w:autoSpaceDE/>
              <w:autoSpaceDN/>
              <w:bidi w:val="0"/>
              <w:adjustRightInd/>
              <w:snapToGrid/>
              <w:spacing w:before="0" w:after="0" w:line="580" w:lineRule="exact"/>
              <w:ind w:firstLine="480" w:firstLineChars="200"/>
              <w:jc w:val="left"/>
              <w:textAlignment w:val="auto"/>
              <w:rPr>
                <w:rFonts w:hint="eastAsia"/>
                <w:lang w:eastAsia="zh-CN"/>
              </w:rPr>
            </w:pPr>
            <w:r>
              <w:rPr>
                <w:rFonts w:hint="eastAsia" w:ascii="仿宋_GB2312" w:hAnsi="Times New Roman" w:eastAsia="仿宋_GB2312" w:cs="Times New Roman"/>
                <w:b w:val="0"/>
                <w:bCs/>
                <w:color w:val="auto"/>
                <w:kern w:val="2"/>
                <w:sz w:val="24"/>
                <w:szCs w:val="24"/>
                <w:lang w:val="en-US" w:eastAsia="zh-CN" w:bidi="ar-SA"/>
              </w:rPr>
              <w:t>结合目前市场租金实际情况，对租金扶持各项档次所参考的驻园机构上一年度在福田区的综合贡献度进行调整，同时扶持金额亦有相应提高</w:t>
            </w:r>
            <w:r>
              <w:rPr>
                <w:rFonts w:hint="eastAsia" w:ascii="仿宋_GB2312" w:eastAsia="仿宋_GB2312" w:cs="Times New Roman"/>
                <w:b w:val="0"/>
                <w:bCs/>
                <w:color w:val="auto"/>
                <w:kern w:val="2"/>
                <w:sz w:val="24"/>
                <w:szCs w:val="24"/>
                <w:lang w:val="en-US" w:eastAsia="zh-CN" w:bidi="ar-SA"/>
              </w:rPr>
              <w:t>。</w:t>
            </w:r>
          </w:p>
        </w:tc>
      </w:tr>
      <w:tr>
        <w:tblPrEx>
          <w:tblCellMar>
            <w:top w:w="0" w:type="dxa"/>
            <w:left w:w="108" w:type="dxa"/>
            <w:bottom w:w="0" w:type="dxa"/>
            <w:right w:w="108" w:type="dxa"/>
          </w:tblCellMar>
        </w:tblPrEx>
        <w:trPr>
          <w:trHeight w:val="1599" w:hRule="atLeast"/>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第十三条 行业活动补贴。对市场主体（含园区运营单位、入驻机构等）、行业协会、中介组织在园区内，承办国家级、省级学术研讨和业务交流活动，提前经区业务主管部门备案同意的，给予一次性最高国家级20万元、省级10万元的补贴；举行人才交流服务活动的，参照《关于进一步实施福田英才荟计划的若干措施》关于人才服务联盟的支持政策给予补贴。</w:t>
            </w:r>
          </w:p>
          <w:p>
            <w:pPr>
              <w:pageBreakBefore w:val="0"/>
              <w:kinsoku/>
              <w:wordWrap/>
              <w:overflowPunct/>
              <w:topLinePunct w:val="0"/>
              <w:autoSpaceDE/>
              <w:bidi w:val="0"/>
              <w:spacing w:line="580" w:lineRule="exact"/>
              <w:ind w:firstLine="480" w:firstLineChars="200"/>
              <w:jc w:val="both"/>
              <w:textAlignment w:val="auto"/>
              <w:rPr>
                <w:rFonts w:hint="eastAsia" w:ascii="仿宋_GB2312" w:hAnsi="Times New Roman" w:eastAsia="仿宋_GB2312" w:cs="Times New Roman"/>
                <w:bCs/>
                <w:color w:val="auto"/>
                <w:sz w:val="24"/>
                <w:szCs w:val="24"/>
                <w:lang w:eastAsia="zh-CN"/>
              </w:rPr>
            </w:pPr>
          </w:p>
        </w:tc>
        <w:tc>
          <w:tcPr>
            <w:tcW w:w="181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bidi w:val="0"/>
              <w:spacing w:line="580" w:lineRule="exact"/>
              <w:ind w:firstLine="480" w:firstLineChars="200"/>
              <w:jc w:val="left"/>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第十三条 行业活动补贴。对市场主体（含园区运营单位、入驻机构等）、行业协会、中介组织在园区内，承办国家级、省级、</w:t>
            </w:r>
            <w:r>
              <w:rPr>
                <w:rFonts w:hint="eastAsia" w:ascii="黑体" w:hAnsi="黑体" w:eastAsia="黑体" w:cs="黑体"/>
                <w:color w:val="000000"/>
                <w:kern w:val="2"/>
                <w:sz w:val="24"/>
                <w:szCs w:val="24"/>
                <w:lang w:val="en-US" w:eastAsia="zh-CN" w:bidi="ar-SA"/>
              </w:rPr>
              <w:t>市区级</w:t>
            </w:r>
            <w:r>
              <w:rPr>
                <w:rFonts w:hint="eastAsia"/>
              </w:rPr>
              <w:t>学</w:t>
            </w:r>
            <w:r>
              <w:rPr>
                <w:rFonts w:hint="eastAsia" w:ascii="仿宋_GB2312" w:hAnsi="Times New Roman" w:eastAsia="仿宋_GB2312" w:cs="Times New Roman"/>
                <w:bCs/>
                <w:color w:val="auto"/>
                <w:kern w:val="2"/>
                <w:sz w:val="24"/>
                <w:szCs w:val="24"/>
                <w:lang w:val="en-US" w:eastAsia="zh-CN" w:bidi="ar-SA"/>
              </w:rPr>
              <w:t>术研讨和业务交流活动，提前</w:t>
            </w:r>
            <w:bookmarkStart w:id="0" w:name="_Hlk40269935"/>
            <w:r>
              <w:rPr>
                <w:rFonts w:hint="eastAsia" w:ascii="仿宋_GB2312" w:hAnsi="Times New Roman" w:eastAsia="仿宋_GB2312" w:cs="Times New Roman"/>
                <w:bCs/>
                <w:color w:val="auto"/>
                <w:kern w:val="2"/>
                <w:sz w:val="24"/>
                <w:szCs w:val="24"/>
                <w:lang w:val="en-US" w:eastAsia="zh-CN" w:bidi="ar-SA"/>
              </w:rPr>
              <w:t>经区业务主管部门备案同意的</w:t>
            </w:r>
            <w:bookmarkEnd w:id="0"/>
            <w:r>
              <w:rPr>
                <w:rFonts w:hint="eastAsia" w:ascii="仿宋_GB2312" w:hAnsi="Times New Roman" w:eastAsia="仿宋_GB2312" w:cs="Times New Roman"/>
                <w:bCs/>
                <w:color w:val="auto"/>
                <w:kern w:val="2"/>
                <w:sz w:val="24"/>
                <w:szCs w:val="24"/>
                <w:lang w:val="en-US" w:eastAsia="zh-CN" w:bidi="ar-SA"/>
              </w:rPr>
              <w:t>，给予一次性最高国家级20万元、省级10万元、</w:t>
            </w:r>
            <w:r>
              <w:rPr>
                <w:rFonts w:hint="eastAsia" w:ascii="黑体" w:hAnsi="黑体" w:eastAsia="黑体" w:cs="黑体"/>
                <w:color w:val="000000"/>
                <w:kern w:val="2"/>
                <w:sz w:val="24"/>
                <w:szCs w:val="24"/>
                <w:lang w:val="en-US" w:eastAsia="zh-CN" w:bidi="ar-SA"/>
              </w:rPr>
              <w:t>市区级5万元</w:t>
            </w:r>
            <w:r>
              <w:rPr>
                <w:rFonts w:hint="eastAsia" w:ascii="仿宋_GB2312" w:hAnsi="Times New Roman" w:eastAsia="仿宋_GB2312" w:cs="Times New Roman"/>
                <w:bCs/>
                <w:color w:val="auto"/>
                <w:kern w:val="2"/>
                <w:sz w:val="24"/>
                <w:szCs w:val="24"/>
                <w:lang w:val="en-US" w:eastAsia="zh-CN" w:bidi="ar-SA"/>
              </w:rPr>
              <w:t>的补贴；举行人才交流服务活动的，参照《关于进一步实施福田英才荟计划的若干措施》关于人才服务联盟的支持政策给予补贴。</w:t>
            </w:r>
          </w:p>
        </w:tc>
        <w:tc>
          <w:tcPr>
            <w:tcW w:w="1455" w:type="pct"/>
            <w:tcBorders>
              <w:top w:val="single" w:color="auto" w:sz="4" w:space="0"/>
              <w:left w:val="single" w:color="auto" w:sz="4" w:space="0"/>
              <w:bottom w:val="single" w:color="auto" w:sz="4" w:space="0"/>
              <w:right w:val="single" w:color="auto" w:sz="4" w:space="0"/>
            </w:tcBorders>
            <w:noWrap w:val="0"/>
            <w:vAlign w:val="top"/>
          </w:tcPr>
          <w:p>
            <w:pPr>
              <w:pStyle w:val="2"/>
              <w:keepNext/>
              <w:keepLines/>
              <w:pageBreakBefore w:val="0"/>
              <w:widowControl w:val="0"/>
              <w:kinsoku/>
              <w:wordWrap/>
              <w:overflowPunct/>
              <w:topLinePunct w:val="0"/>
              <w:autoSpaceDE/>
              <w:autoSpaceDN/>
              <w:bidi w:val="0"/>
              <w:adjustRightInd/>
              <w:snapToGrid/>
              <w:spacing w:before="0" w:after="0" w:line="580" w:lineRule="exact"/>
              <w:ind w:firstLine="480" w:firstLineChars="200"/>
              <w:jc w:val="left"/>
              <w:textAlignment w:val="auto"/>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cs="Times New Roman"/>
                <w:b w:val="0"/>
                <w:bCs/>
                <w:color w:val="auto"/>
                <w:kern w:val="2"/>
                <w:sz w:val="24"/>
                <w:szCs w:val="24"/>
                <w:lang w:val="en-US" w:eastAsia="zh-CN" w:bidi="ar-SA"/>
              </w:rPr>
              <w:t>增加市区级补贴，降低补贴标准，加大对企业的补贴力度。</w:t>
            </w:r>
          </w:p>
        </w:tc>
      </w:tr>
      <w:tr>
        <w:tblPrEx>
          <w:tblCellMar>
            <w:top w:w="0" w:type="dxa"/>
            <w:left w:w="108" w:type="dxa"/>
            <w:bottom w:w="0" w:type="dxa"/>
            <w:right w:w="108" w:type="dxa"/>
          </w:tblCellMar>
        </w:tblPrEx>
        <w:trPr>
          <w:trHeight w:val="1599" w:hRule="atLeast"/>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bidi w:val="0"/>
              <w:spacing w:line="580" w:lineRule="exact"/>
              <w:ind w:firstLine="480" w:firstLineChars="200"/>
              <w:jc w:val="both"/>
              <w:textAlignment w:val="auto"/>
              <w:rPr>
                <w:rFonts w:hint="default" w:ascii="仿宋_GB2312" w:hAnsi="Times New Roman" w:eastAsia="仿宋_GB2312" w:cs="Times New Roman"/>
                <w:bCs/>
                <w:color w:val="auto"/>
                <w:sz w:val="24"/>
                <w:szCs w:val="24"/>
                <w:lang w:val="en-US" w:eastAsia="zh-CN"/>
              </w:rPr>
            </w:pPr>
            <w:r>
              <w:rPr>
                <w:rFonts w:hint="eastAsia" w:ascii="仿宋_GB2312" w:hAnsi="Times New Roman" w:eastAsia="仿宋_GB2312" w:cs="Times New Roman"/>
                <w:bCs/>
                <w:color w:val="auto"/>
                <w:sz w:val="24"/>
                <w:szCs w:val="24"/>
                <w:lang w:val="en-US" w:eastAsia="zh-CN"/>
              </w:rPr>
              <w:t>\</w:t>
            </w:r>
          </w:p>
        </w:tc>
        <w:tc>
          <w:tcPr>
            <w:tcW w:w="1819" w:type="pct"/>
            <w:tcBorders>
              <w:top w:val="single" w:color="auto" w:sz="4" w:space="0"/>
              <w:left w:val="single" w:color="auto" w:sz="4" w:space="0"/>
              <w:bottom w:val="single" w:color="auto" w:sz="4" w:space="0"/>
              <w:right w:val="single" w:color="auto" w:sz="4" w:space="0"/>
            </w:tcBorders>
            <w:noWrap w:val="0"/>
            <w:vAlign w:val="top"/>
          </w:tcPr>
          <w:p>
            <w:pPr>
              <w:pStyle w:val="2"/>
              <w:keepNext/>
              <w:keepLines/>
              <w:pageBreakBefore w:val="0"/>
              <w:widowControl w:val="0"/>
              <w:kinsoku/>
              <w:wordWrap/>
              <w:overflowPunct/>
              <w:topLinePunct w:val="0"/>
              <w:autoSpaceDE/>
              <w:autoSpaceDN/>
              <w:bidi w:val="0"/>
              <w:adjustRightInd/>
              <w:snapToGrid/>
              <w:spacing w:before="0" w:after="0" w:line="580" w:lineRule="exact"/>
              <w:ind w:firstLine="480" w:firstLineChars="200"/>
              <w:jc w:val="left"/>
              <w:textAlignment w:val="auto"/>
              <w:rPr>
                <w:rFonts w:hint="eastAsia" w:ascii="黑体" w:hAnsi="黑体" w:eastAsia="黑体" w:cs="黑体"/>
                <w:b w:val="0"/>
                <w:bCs w:val="0"/>
                <w:color w:val="000000"/>
                <w:kern w:val="2"/>
                <w:sz w:val="24"/>
                <w:szCs w:val="24"/>
                <w:lang w:val="en-US" w:eastAsia="zh-CN" w:bidi="ar-SA"/>
              </w:rPr>
            </w:pPr>
            <w:bookmarkStart w:id="1" w:name="_GoBack"/>
            <w:bookmarkEnd w:id="1"/>
            <w:r>
              <w:rPr>
                <w:rFonts w:hint="eastAsia" w:ascii="仿宋_GB2312" w:hAnsi="Times New Roman" w:eastAsia="仿宋_GB2312" w:cs="Times New Roman"/>
                <w:b w:val="0"/>
                <w:bCs/>
                <w:color w:val="auto"/>
                <w:kern w:val="2"/>
                <w:sz w:val="24"/>
                <w:szCs w:val="24"/>
                <w:lang w:val="en-US" w:eastAsia="zh-CN" w:bidi="ar-SA"/>
              </w:rPr>
              <w:t>在第四章</w:t>
            </w:r>
            <w:r>
              <w:rPr>
                <w:rFonts w:hint="eastAsia" w:ascii="仿宋_GB2312" w:eastAsia="仿宋_GB2312" w:cs="Times New Roman"/>
                <w:b w:val="0"/>
                <w:bCs/>
                <w:color w:val="auto"/>
                <w:kern w:val="2"/>
                <w:sz w:val="24"/>
                <w:szCs w:val="24"/>
                <w:lang w:val="en-US" w:eastAsia="zh-CN" w:bidi="ar-SA"/>
              </w:rPr>
              <w:t>“</w:t>
            </w:r>
            <w:r>
              <w:rPr>
                <w:rFonts w:hint="eastAsia" w:ascii="仿宋_GB2312" w:hAnsi="Times New Roman" w:eastAsia="仿宋_GB2312" w:cs="Times New Roman"/>
                <w:b w:val="0"/>
                <w:bCs/>
                <w:color w:val="auto"/>
                <w:kern w:val="2"/>
                <w:sz w:val="24"/>
                <w:szCs w:val="24"/>
                <w:lang w:val="en-US" w:eastAsia="zh-CN" w:bidi="ar-SA"/>
              </w:rPr>
              <w:t>入驻机构支持</w:t>
            </w:r>
            <w:r>
              <w:rPr>
                <w:rFonts w:hint="eastAsia" w:ascii="仿宋_GB2312" w:eastAsia="仿宋_GB2312" w:cs="Times New Roman"/>
                <w:b w:val="0"/>
                <w:bCs/>
                <w:color w:val="auto"/>
                <w:kern w:val="2"/>
                <w:sz w:val="24"/>
                <w:szCs w:val="24"/>
                <w:lang w:val="en-US" w:eastAsia="zh-CN" w:bidi="ar-SA"/>
              </w:rPr>
              <w:t xml:space="preserve">”中新增 </w:t>
            </w:r>
            <w:r>
              <w:rPr>
                <w:rFonts w:hint="eastAsia" w:ascii="黑体" w:hAnsi="黑体" w:eastAsia="黑体" w:cs="黑体"/>
                <w:b w:val="0"/>
                <w:bCs w:val="0"/>
                <w:color w:val="000000"/>
                <w:kern w:val="2"/>
                <w:sz w:val="24"/>
                <w:szCs w:val="24"/>
                <w:lang w:val="en-US" w:eastAsia="zh-CN" w:bidi="ar-SA"/>
              </w:rPr>
              <w:t>第十六条 人力资源服务机构上市支持。对入驻福田区人力资源服务产业园后成功上市的人力资源服务机构，给予最高100万元支持。</w:t>
            </w:r>
          </w:p>
          <w:p>
            <w:pPr>
              <w:pStyle w:val="2"/>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default" w:ascii="仿宋_GB2312" w:hAnsi="Times New Roman" w:eastAsia="仿宋_GB2312" w:cs="Times New Roman"/>
                <w:b w:val="0"/>
                <w:bCs/>
                <w:color w:val="auto"/>
                <w:kern w:val="2"/>
                <w:sz w:val="24"/>
                <w:szCs w:val="24"/>
                <w:lang w:val="en-US" w:eastAsia="zh-CN" w:bidi="ar-SA"/>
              </w:rPr>
            </w:pPr>
          </w:p>
          <w:p>
            <w:pPr>
              <w:pageBreakBefore w:val="0"/>
              <w:kinsoku/>
              <w:wordWrap/>
              <w:overflowPunct/>
              <w:topLinePunct w:val="0"/>
              <w:autoSpaceDE/>
              <w:bidi w:val="0"/>
              <w:spacing w:line="580" w:lineRule="exact"/>
              <w:ind w:firstLine="480" w:firstLineChars="200"/>
              <w:jc w:val="left"/>
              <w:textAlignment w:val="auto"/>
              <w:rPr>
                <w:rFonts w:hint="eastAsia" w:ascii="仿宋_GB2312" w:hAnsi="Times New Roman" w:eastAsia="仿宋_GB2312" w:cs="Times New Roman"/>
                <w:bCs/>
                <w:color w:val="auto"/>
                <w:kern w:val="2"/>
                <w:sz w:val="24"/>
                <w:szCs w:val="24"/>
                <w:lang w:val="en-US" w:eastAsia="zh-CN" w:bidi="ar-SA"/>
              </w:rPr>
            </w:pPr>
          </w:p>
        </w:tc>
        <w:tc>
          <w:tcPr>
            <w:tcW w:w="1455" w:type="pct"/>
            <w:tcBorders>
              <w:top w:val="single" w:color="auto" w:sz="4" w:space="0"/>
              <w:left w:val="single" w:color="auto" w:sz="4" w:space="0"/>
              <w:bottom w:val="single" w:color="auto" w:sz="4" w:space="0"/>
              <w:right w:val="single" w:color="auto" w:sz="4" w:space="0"/>
            </w:tcBorders>
            <w:noWrap w:val="0"/>
            <w:vAlign w:val="top"/>
          </w:tcPr>
          <w:p>
            <w:pPr>
              <w:pStyle w:val="2"/>
              <w:keepNext/>
              <w:keepLines/>
              <w:pageBreakBefore w:val="0"/>
              <w:widowControl w:val="0"/>
              <w:kinsoku/>
              <w:wordWrap/>
              <w:overflowPunct/>
              <w:topLinePunct w:val="0"/>
              <w:autoSpaceDE/>
              <w:autoSpaceDN/>
              <w:bidi w:val="0"/>
              <w:adjustRightInd/>
              <w:snapToGrid/>
              <w:spacing w:before="0" w:after="0" w:line="580" w:lineRule="exact"/>
              <w:ind w:firstLine="480" w:firstLineChars="200"/>
              <w:jc w:val="left"/>
              <w:textAlignment w:val="auto"/>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cs="Times New Roman"/>
                <w:b w:val="0"/>
                <w:bCs/>
                <w:color w:val="auto"/>
                <w:kern w:val="2"/>
                <w:sz w:val="24"/>
                <w:szCs w:val="24"/>
                <w:lang w:val="en-US" w:eastAsia="zh-CN" w:bidi="ar-SA"/>
              </w:rPr>
              <w:t>鼓励园区内的人力资源服务机构上市，支持人力资源服务机构做大做强。</w:t>
            </w:r>
          </w:p>
        </w:tc>
      </w:tr>
      <w:tr>
        <w:tblPrEx>
          <w:tblCellMar>
            <w:top w:w="0" w:type="dxa"/>
            <w:left w:w="108" w:type="dxa"/>
            <w:bottom w:w="0" w:type="dxa"/>
            <w:right w:w="108" w:type="dxa"/>
          </w:tblCellMar>
        </w:tblPrEx>
        <w:trPr>
          <w:trHeight w:val="1599" w:hRule="atLeast"/>
          <w:jc w:val="center"/>
        </w:trPr>
        <w:tc>
          <w:tcPr>
            <w:tcW w:w="1724" w:type="pct"/>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仿宋_GB2312" w:hAnsi="Times New Roman" w:eastAsia="仿宋_GB2312" w:cs="Times New Roman"/>
                <w:bCs/>
                <w:color w:val="auto"/>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第二十五条 本办法自发布之日起10日后实施，有效期至2023年12月31日。</w:t>
            </w:r>
          </w:p>
          <w:p>
            <w:pPr>
              <w:pageBreakBefore w:val="0"/>
              <w:kinsoku/>
              <w:wordWrap/>
              <w:overflowPunct/>
              <w:topLinePunct w:val="0"/>
              <w:autoSpaceDE/>
              <w:bidi w:val="0"/>
              <w:spacing w:line="580" w:lineRule="exact"/>
              <w:ind w:firstLine="480" w:firstLineChars="200"/>
              <w:jc w:val="both"/>
              <w:textAlignment w:val="auto"/>
              <w:rPr>
                <w:rFonts w:hint="eastAsia" w:ascii="仿宋_GB2312" w:hAnsi="Times New Roman" w:eastAsia="仿宋_GB2312" w:cs="Times New Roman"/>
                <w:bCs/>
                <w:color w:val="auto"/>
                <w:sz w:val="24"/>
                <w:szCs w:val="24"/>
                <w:lang w:eastAsia="zh-CN"/>
              </w:rPr>
            </w:pPr>
          </w:p>
        </w:tc>
        <w:tc>
          <w:tcPr>
            <w:tcW w:w="1819" w:type="pct"/>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580" w:lineRule="exact"/>
              <w:ind w:left="0" w:leftChars="0" w:firstLine="480" w:firstLineChars="200"/>
              <w:textAlignment w:val="auto"/>
              <w:rPr>
                <w:rFonts w:hint="default" w:ascii="黑体" w:hAnsi="黑体" w:eastAsia="黑体" w:cs="黑体"/>
                <w:b w:val="0"/>
                <w:bCs w:val="0"/>
                <w:color w:val="000000"/>
                <w:kern w:val="2"/>
                <w:sz w:val="24"/>
                <w:szCs w:val="24"/>
                <w:lang w:val="en-US" w:eastAsia="zh-CN" w:bidi="ar-SA"/>
              </w:rPr>
            </w:pPr>
            <w:r>
              <w:rPr>
                <w:rFonts w:hint="eastAsia" w:ascii="仿宋_GB2312" w:hAnsi="Times New Roman" w:eastAsia="仿宋_GB2312" w:cs="Times New Roman"/>
                <w:bCs/>
                <w:color w:val="auto"/>
                <w:kern w:val="2"/>
                <w:sz w:val="24"/>
                <w:szCs w:val="24"/>
                <w:lang w:val="en-US" w:eastAsia="zh-CN" w:bidi="ar-SA"/>
              </w:rPr>
              <w:t xml:space="preserve">第二十六条 </w:t>
            </w:r>
            <w:r>
              <w:rPr>
                <w:rFonts w:hint="eastAsia" w:ascii="黑体" w:hAnsi="黑体" w:eastAsia="黑体" w:cs="黑体"/>
                <w:b w:val="0"/>
                <w:bCs w:val="0"/>
                <w:color w:val="000000"/>
                <w:kern w:val="2"/>
                <w:sz w:val="24"/>
                <w:szCs w:val="24"/>
                <w:lang w:val="en-US" w:eastAsia="zh-CN" w:bidi="ar-SA"/>
              </w:rPr>
              <w:t>本办法自2023年8月1日起施行。</w:t>
            </w:r>
          </w:p>
          <w:p>
            <w:pPr>
              <w:pageBreakBefore w:val="0"/>
              <w:kinsoku/>
              <w:wordWrap/>
              <w:overflowPunct/>
              <w:topLinePunct w:val="0"/>
              <w:autoSpaceDE/>
              <w:bidi w:val="0"/>
              <w:spacing w:line="580" w:lineRule="exact"/>
              <w:ind w:firstLine="480" w:firstLineChars="200"/>
              <w:jc w:val="left"/>
              <w:textAlignment w:val="auto"/>
              <w:rPr>
                <w:rFonts w:hint="eastAsia" w:ascii="仿宋_GB2312" w:hAnsi="Times New Roman" w:eastAsia="仿宋_GB2312" w:cs="Times New Roman"/>
                <w:bCs/>
                <w:color w:val="auto"/>
                <w:kern w:val="2"/>
                <w:sz w:val="24"/>
                <w:szCs w:val="24"/>
                <w:lang w:val="en-US" w:eastAsia="zh-CN" w:bidi="ar-SA"/>
              </w:rPr>
            </w:pPr>
          </w:p>
        </w:tc>
        <w:tc>
          <w:tcPr>
            <w:tcW w:w="1455" w:type="pct"/>
            <w:tcBorders>
              <w:top w:val="single" w:color="auto" w:sz="4" w:space="0"/>
              <w:left w:val="single" w:color="auto" w:sz="4" w:space="0"/>
              <w:bottom w:val="single" w:color="auto" w:sz="4" w:space="0"/>
              <w:right w:val="single" w:color="auto" w:sz="4" w:space="0"/>
            </w:tcBorders>
            <w:noWrap w:val="0"/>
            <w:vAlign w:val="top"/>
          </w:tcPr>
          <w:p>
            <w:pPr>
              <w:pStyle w:val="2"/>
              <w:keepNext/>
              <w:keepLines/>
              <w:pageBreakBefore w:val="0"/>
              <w:widowControl w:val="0"/>
              <w:kinsoku/>
              <w:wordWrap/>
              <w:overflowPunct/>
              <w:topLinePunct w:val="0"/>
              <w:autoSpaceDE/>
              <w:autoSpaceDN/>
              <w:bidi w:val="0"/>
              <w:adjustRightInd/>
              <w:snapToGrid/>
              <w:spacing w:before="0" w:after="0" w:line="580" w:lineRule="exact"/>
              <w:ind w:firstLine="480" w:firstLineChars="200"/>
              <w:jc w:val="left"/>
              <w:textAlignment w:val="auto"/>
              <w:rPr>
                <w:rFonts w:hint="eastAsia" w:ascii="仿宋_GB2312" w:eastAsia="仿宋_GB2312" w:cs="Times New Roman"/>
                <w:b w:val="0"/>
                <w:bCs/>
                <w:color w:val="auto"/>
                <w:kern w:val="2"/>
                <w:sz w:val="24"/>
                <w:szCs w:val="24"/>
                <w:lang w:val="en-US" w:eastAsia="zh-CN" w:bidi="ar-SA"/>
              </w:rPr>
            </w:pPr>
            <w:r>
              <w:rPr>
                <w:rFonts w:hint="eastAsia" w:ascii="仿宋_GB2312" w:eastAsia="仿宋_GB2312" w:cs="Times New Roman"/>
                <w:b w:val="0"/>
                <w:bCs/>
                <w:color w:val="auto"/>
                <w:kern w:val="2"/>
                <w:sz w:val="24"/>
                <w:szCs w:val="24"/>
                <w:lang w:val="en-US" w:eastAsia="zh-CN" w:bidi="ar-SA"/>
              </w:rPr>
              <w:t>根据《福田区行政规范性文件工作全流程指引》关于实施日期审查的规定，改为当前格式。</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_GB2312">
    <w:altName w:val="URW Bookman"/>
    <w:panose1 w:val="00000000000000000000"/>
    <w:charset w:val="00"/>
    <w:family w:val="auto"/>
    <w:pitch w:val="default"/>
    <w:sig w:usb0="00000000" w:usb1="00000000" w:usb2="00000000" w:usb3="00000000" w:csb0="0000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9B7879A"/>
    <w:rsid w:val="2EAF0FDF"/>
    <w:rsid w:val="4A1947CF"/>
    <w:rsid w:val="589F84A6"/>
    <w:rsid w:val="755966AA"/>
    <w:rsid w:val="796FD657"/>
    <w:rsid w:val="7AFBCCC8"/>
    <w:rsid w:val="7F2F866C"/>
    <w:rsid w:val="7FD3258C"/>
    <w:rsid w:val="89B5AE8F"/>
    <w:rsid w:val="9FFFA1A7"/>
    <w:rsid w:val="DFDFDDA1"/>
    <w:rsid w:val="F7798A2D"/>
    <w:rsid w:val="F7FB1E38"/>
    <w:rsid w:val="FD2E282C"/>
    <w:rsid w:val="FEDF891A"/>
    <w:rsid w:val="FEFBA196"/>
    <w:rsid w:val="FF77909C"/>
    <w:rsid w:val="FFDFBF2C"/>
    <w:rsid w:val="FFEC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widowControl w:val="0"/>
      <w:spacing w:before="340" w:after="330" w:line="578" w:lineRule="auto"/>
      <w:jc w:val="center"/>
      <w:outlineLvl w:val="0"/>
    </w:pPr>
    <w:rPr>
      <w:rFonts w:ascii="Times New Roman" w:hAnsi="Times New Roman" w:eastAsia="宋体" w:cs="Times New Roman"/>
      <w:b/>
      <w:bCs/>
      <w:kern w:val="44"/>
      <w:sz w:val="44"/>
      <w:szCs w:val="44"/>
      <w:lang w:val="en-US" w:eastAsia="zh-CN" w:bidi="ar-SA"/>
    </w:rPr>
  </w:style>
  <w:style w:type="paragraph" w:styleId="3">
    <w:name w:val="heading 2"/>
    <w:basedOn w:val="4"/>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4">
    <w:name w:val="我的正文"/>
    <w:basedOn w:val="1"/>
    <w:qFormat/>
    <w:uiPriority w:val="0"/>
    <w:pPr>
      <w:adjustRightInd w:val="0"/>
      <w:snapToGrid w:val="0"/>
      <w:ind w:firstLine="643"/>
    </w:pPr>
    <w:rPr>
      <w:rFonts w:ascii="Times New Roman" w:hAnsi="Times New Roman" w:cs="Times New Roman"/>
      <w:szCs w:val="21"/>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liushuli</cp:lastModifiedBy>
  <dcterms:modified xsi:type="dcterms:W3CDTF">2023-08-11T09:36:35Z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