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44"/>
          <w:szCs w:val="44"/>
          <w:lang w:val="en-US" w:eastAsia="zh-CN"/>
        </w:rPr>
        <w:t>协助福田区人力资源局</w:t>
      </w:r>
      <w:r>
        <w:rPr>
          <w:rFonts w:hint="eastAsia" w:ascii="方正小标宋简体" w:hAnsi="方正小标宋简体" w:eastAsia="方正小标宋简体" w:cs="方正小标宋简体"/>
          <w:sz w:val="44"/>
          <w:szCs w:val="44"/>
        </w:rPr>
        <w:t>全面排查</w:t>
      </w:r>
      <w:r>
        <w:rPr>
          <w:rFonts w:hint="eastAsia" w:ascii="方正小标宋简体" w:hAnsi="方正小标宋简体" w:eastAsia="方正小标宋简体" w:cs="方正小标宋简体"/>
          <w:sz w:val="44"/>
          <w:szCs w:val="44"/>
          <w:lang w:eastAsia="zh-CN"/>
        </w:rPr>
        <w:t>职业技能专项资金使用情况</w:t>
      </w:r>
      <w:r>
        <w:rPr>
          <w:rFonts w:hint="eastAsia" w:ascii="方正小标宋简体" w:hAnsi="方正小标宋简体" w:eastAsia="方正小标宋简体" w:cs="方正小标宋简体"/>
          <w:b w:val="0"/>
          <w:bCs/>
          <w:color w:val="auto"/>
          <w:sz w:val="44"/>
          <w:szCs w:val="44"/>
          <w:lang w:eastAsia="zh-CN"/>
        </w:rPr>
        <w:t>采购需求</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黑体" w:hAnsi="黑体" w:eastAsia="黑体" w:cs="黑体"/>
          <w:b w:val="0"/>
          <w:bCs/>
          <w:color w:val="auto"/>
          <w:sz w:val="32"/>
          <w:szCs w:val="32"/>
        </w:rPr>
      </w:pP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福田区人力资源局全面排查职业技能专账资金使用情况，拟采购协助单位开展排查，现将采购需求进行公告，并接受有意向的单位响应。</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（一）排查范围</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2019年职业技能提升行动实施以来</w:t>
      </w:r>
      <w:r>
        <w:rPr>
          <w:rFonts w:hint="eastAsia" w:ascii="仿宋_GB2312" w:hAnsi="仿宋_GB2312" w:eastAsia="仿宋_GB2312" w:cs="仿宋_GB2312"/>
          <w:sz w:val="32"/>
          <w:szCs w:val="32"/>
          <w:lang w:eastAsia="zh-CN"/>
        </w:rPr>
        <w:t>福田区</w:t>
      </w:r>
      <w:r>
        <w:rPr>
          <w:rFonts w:hint="eastAsia" w:ascii="仿宋_GB2312" w:hAnsi="仿宋_GB2312" w:eastAsia="仿宋_GB2312" w:cs="仿宋_GB2312"/>
          <w:sz w:val="32"/>
          <w:szCs w:val="32"/>
        </w:rPr>
        <w:t>各类补贴性职业技能培训活动、鉴定评价机构及其开展的鉴定评价活动</w:t>
      </w:r>
      <w:r>
        <w:rPr>
          <w:rFonts w:hint="eastAsia" w:ascii="仿宋_GB2312" w:hAnsi="仿宋_GB2312" w:eastAsia="仿宋_GB2312" w:cs="仿宋_GB2312"/>
          <w:sz w:val="32"/>
          <w:szCs w:val="32"/>
          <w:lang w:eastAsia="zh-CN"/>
        </w:rPr>
        <w:t>（涉及金额约为</w:t>
      </w:r>
      <w:r>
        <w:rPr>
          <w:rFonts w:hint="eastAsia" w:ascii="仿宋_GB2312" w:hAnsi="仿宋_GB2312" w:eastAsia="仿宋_GB2312" w:cs="仿宋_GB2312"/>
          <w:sz w:val="32"/>
          <w:szCs w:val="32"/>
          <w:lang w:val="en-US" w:eastAsia="zh-CN"/>
        </w:rPr>
        <w:t>3.8亿元</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（二）排查对象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开展补贴性职业技能培训的各类培训机构（包括职业院校、技工院校、民办职业技能培训机构、企业、行业协会学会等）以及使用的相关线上培训平台。人力资源社会保障部门备案的各类技能人才评价机构（包括技能人员职业资格评价机构、职业技能等级评价机构、专项职业能力考核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（三）排查内容</w:t>
      </w:r>
      <w:r>
        <w:rPr>
          <w:rFonts w:hint="eastAsia" w:ascii="仿宋_GB2312" w:eastAsia="仿宋_GB2312"/>
          <w:b w:val="0"/>
          <w:bCs/>
          <w:color w:val="auto"/>
          <w:sz w:val="32"/>
          <w:szCs w:val="32"/>
          <w:lang w:val="en-US" w:eastAsia="zh-CN"/>
        </w:rPr>
        <w:t>：</w:t>
      </w:r>
      <w:r>
        <w:rPr>
          <w:rFonts w:hint="eastAsia" w:ascii="仿宋_GB2312" w:hAnsi="仿宋_GB2312" w:eastAsia="仿宋_GB2312" w:cs="仿宋_GB2312"/>
          <w:sz w:val="32"/>
          <w:szCs w:val="32"/>
        </w:rPr>
        <w:t>是否存在培训机构虚假骗取补贴资金的情形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是否存在低效无效培训的情形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是否存在评价机构滥发证书扰乱培训</w:t>
      </w:r>
      <w:r>
        <w:rPr>
          <w:rFonts w:hint="eastAsia" w:ascii="仿宋_GB2312" w:hAnsi="仿宋_GB2312" w:eastAsia="仿宋_GB2312" w:cs="仿宋_GB2312"/>
          <w:sz w:val="32"/>
          <w:szCs w:val="32"/>
          <w:lang w:eastAsia="zh-CN"/>
        </w:rPr>
        <w:t>等其他</w:t>
      </w:r>
      <w:r>
        <w:rPr>
          <w:rFonts w:hint="eastAsia" w:ascii="仿宋_GB2312" w:hAnsi="仿宋_GB2312" w:eastAsia="仿宋_GB2312" w:cs="仿宋_GB2312"/>
          <w:sz w:val="32"/>
          <w:szCs w:val="32"/>
        </w:rPr>
        <w:t>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（四）排查成果：</w:t>
      </w:r>
      <w:r>
        <w:rPr>
          <w:rFonts w:hint="eastAsia" w:ascii="仿宋_GB2312" w:hAnsi="仿宋_GB2312" w:eastAsia="仿宋_GB2312" w:cs="仿宋_GB2312"/>
          <w:sz w:val="32"/>
          <w:szCs w:val="32"/>
          <w:lang w:val="en-US" w:eastAsia="zh-CN"/>
        </w:rPr>
        <w:t>需出具职业技能专项资金使用情况审计报告。</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三、商务需求</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服务期：</w:t>
      </w:r>
      <w:r>
        <w:rPr>
          <w:rFonts w:hint="eastAsia" w:ascii="仿宋_GB2312" w:hAnsi="仿宋_GB2312" w:eastAsia="仿宋_GB2312" w:cs="仿宋_GB2312"/>
          <w:b w:val="0"/>
          <w:i w:val="0"/>
          <w:snapToGrid/>
          <w:color w:val="000000"/>
          <w:sz w:val="32"/>
          <w:szCs w:val="32"/>
          <w:lang w:val="en-US" w:eastAsia="zh-CN"/>
        </w:rPr>
        <w:t>合同签订之日起至2023年12月31日</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服务地点：</w:t>
      </w:r>
      <w:r>
        <w:rPr>
          <w:rFonts w:hint="eastAsia" w:ascii="仿宋_GB2312" w:eastAsia="仿宋_GB2312"/>
          <w:b w:val="0"/>
          <w:bCs/>
          <w:color w:val="auto"/>
          <w:sz w:val="32"/>
          <w:szCs w:val="32"/>
          <w:lang w:eastAsia="zh-CN"/>
        </w:rPr>
        <w:t>深圳市福田区</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报价要求：</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w:t>
      </w:r>
      <w:r>
        <w:rPr>
          <w:rFonts w:hint="eastAsia" w:ascii="仿宋_GB2312" w:eastAsia="仿宋_GB2312"/>
          <w:b w:val="0"/>
          <w:bCs/>
          <w:color w:val="auto"/>
          <w:sz w:val="32"/>
          <w:szCs w:val="32"/>
          <w:lang w:eastAsia="zh-CN"/>
        </w:rPr>
        <w:t>响应</w:t>
      </w:r>
      <w:r>
        <w:rPr>
          <w:rFonts w:hint="eastAsia" w:ascii="仿宋_GB2312" w:eastAsia="仿宋_GB2312"/>
          <w:b w:val="0"/>
          <w:bCs/>
          <w:color w:val="auto"/>
          <w:sz w:val="32"/>
          <w:szCs w:val="32"/>
        </w:rPr>
        <w:t>报价；一经中选，报价总价作为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响应人应根据本企业的成本自行决定报价，但不得以低于其企业成本的报价</w:t>
      </w:r>
      <w:r>
        <w:rPr>
          <w:rFonts w:hint="eastAsia" w:ascii="仿宋_GB2312" w:eastAsia="仿宋_GB2312"/>
          <w:b w:val="0"/>
          <w:bCs/>
          <w:color w:val="auto"/>
          <w:sz w:val="32"/>
          <w:szCs w:val="32"/>
          <w:lang w:eastAsia="zh-CN"/>
        </w:rPr>
        <w:t>响应</w:t>
      </w:r>
      <w:r>
        <w:rPr>
          <w:rFonts w:hint="eastAsia" w:ascii="仿宋_GB2312" w:eastAsia="仿宋_GB2312"/>
          <w:b w:val="0"/>
          <w:bCs/>
          <w:color w:val="auto"/>
          <w:sz w:val="32"/>
          <w:szCs w:val="32"/>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响应人的报价不得超过</w:t>
      </w:r>
      <w:r>
        <w:rPr>
          <w:rFonts w:hint="eastAsia" w:ascii="仿宋_GB2312" w:eastAsia="仿宋_GB2312"/>
          <w:b w:val="0"/>
          <w:bCs/>
          <w:color w:val="auto"/>
          <w:sz w:val="32"/>
          <w:szCs w:val="32"/>
          <w:lang w:eastAsia="zh-CN"/>
        </w:rPr>
        <w:t>项目</w:t>
      </w:r>
      <w:r>
        <w:rPr>
          <w:rFonts w:hint="eastAsia" w:ascii="仿宋_GB2312" w:eastAsia="仿宋_GB2312"/>
          <w:b w:val="0"/>
          <w:bCs/>
          <w:color w:val="auto"/>
          <w:sz w:val="32"/>
          <w:szCs w:val="32"/>
        </w:rPr>
        <w:t>预算</w:t>
      </w:r>
      <w:r>
        <w:rPr>
          <w:rFonts w:hint="eastAsia" w:ascii="仿宋_GB2312" w:eastAsia="仿宋_GB2312"/>
          <w:b w:val="0"/>
          <w:bCs/>
          <w:color w:val="auto"/>
          <w:sz w:val="32"/>
          <w:szCs w:val="32"/>
          <w:lang w:eastAsia="zh-CN"/>
        </w:rPr>
        <w:t>金额</w:t>
      </w:r>
      <w:r>
        <w:rPr>
          <w:rFonts w:hint="eastAsia" w:ascii="仿宋_GB2312" w:eastAsia="仿宋_GB2312"/>
          <w:b w:val="0"/>
          <w:bCs/>
          <w:color w:val="auto"/>
          <w:sz w:val="32"/>
          <w:szCs w:val="32"/>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总价为依据；</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rPr>
        <w:t>响应人应先到项目地点踏勘以充分了解项目的位置、情况、道路及任何其它足以影响投标报价的情况，任何因忽视或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误解项目情况而导致的索赔或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服务期限延长申请将不获批准；</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7.</w:t>
      </w:r>
      <w:r>
        <w:rPr>
          <w:rFonts w:hint="eastAsia" w:ascii="仿宋_GB2312" w:eastAsia="仿宋_GB2312"/>
          <w:b w:val="0"/>
          <w:bCs/>
          <w:color w:val="auto"/>
          <w:sz w:val="32"/>
          <w:szCs w:val="32"/>
        </w:rPr>
        <w:t>响应人不得期望通过索赔等方式获取</w:t>
      </w:r>
      <w:r>
        <w:rPr>
          <w:rFonts w:hint="eastAsia" w:ascii="仿宋_GB2312" w:eastAsia="仿宋_GB2312"/>
          <w:b w:val="0"/>
          <w:bCs/>
          <w:color w:val="auto"/>
          <w:sz w:val="32"/>
          <w:szCs w:val="32"/>
          <w:lang w:eastAsia="zh-CN"/>
        </w:rPr>
        <w:t>报价</w:t>
      </w:r>
      <w:r>
        <w:rPr>
          <w:rFonts w:hint="eastAsia" w:ascii="仿宋_GB2312" w:eastAsia="仿宋_GB2312"/>
          <w:b w:val="0"/>
          <w:bCs/>
          <w:color w:val="auto"/>
          <w:sz w:val="32"/>
          <w:szCs w:val="32"/>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default" w:ascii="仿宋_GB2312" w:eastAsia="仿宋_GB2312"/>
          <w:b w:val="0"/>
          <w:bCs/>
          <w:color w:val="auto"/>
          <w:sz w:val="32"/>
          <w:szCs w:val="32"/>
          <w:lang w:val="en-US" w:eastAsia="zh-CN"/>
        </w:rPr>
      </w:pPr>
      <w:r>
        <w:rPr>
          <w:rFonts w:hint="eastAsia" w:ascii="楷体_GB2312" w:hAnsi="楷体_GB2312" w:eastAsia="楷体_GB2312" w:cs="楷体_GB2312"/>
          <w:sz w:val="32"/>
          <w:szCs w:val="32"/>
          <w:lang w:eastAsia="zh-CN"/>
        </w:rPr>
        <w:t>（四）付款方式</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合同签订后，支付</w:t>
      </w:r>
      <w:r>
        <w:rPr>
          <w:rFonts w:hint="eastAsia" w:ascii="仿宋_GB2312" w:eastAsia="仿宋_GB2312"/>
          <w:b w:val="0"/>
          <w:bCs/>
          <w:color w:val="auto"/>
          <w:sz w:val="32"/>
          <w:szCs w:val="32"/>
          <w:lang w:val="en-US" w:eastAsia="zh-CN"/>
        </w:rPr>
        <w:t>50%费用；剩余尾款将在项目全部完成并逐项验收通过后支付。</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楷体_GB2312" w:hAnsi="楷体_GB2312" w:eastAsia="楷体_GB2312" w:cs="楷体_GB2312"/>
          <w:sz w:val="32"/>
          <w:szCs w:val="32"/>
          <w:lang w:eastAsia="zh-CN"/>
        </w:rPr>
        <w:t>（五）验收：</w:t>
      </w:r>
      <w:r>
        <w:rPr>
          <w:rFonts w:hint="eastAsia" w:ascii="仿宋_GB2312" w:eastAsia="仿宋_GB2312"/>
          <w:b w:val="0"/>
          <w:bCs/>
          <w:color w:val="auto"/>
          <w:sz w:val="32"/>
          <w:szCs w:val="32"/>
          <w:lang w:eastAsia="zh-CN"/>
        </w:rPr>
        <w:t>采购人</w:t>
      </w:r>
      <w:r>
        <w:rPr>
          <w:rFonts w:hint="eastAsia" w:ascii="仿宋_GB2312" w:eastAsia="仿宋_GB2312"/>
          <w:b w:val="0"/>
          <w:bCs/>
          <w:color w:val="auto"/>
          <w:sz w:val="32"/>
          <w:szCs w:val="32"/>
        </w:rPr>
        <w:t>在项目服务期到期后，将按照合同约定的服务内容对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的服务进行逐项验收。项目验收后，双方共同签署验收报告，验收报告内容包括每一项技术、服务、安全标准的验收情况及项目总体评价，验收报告将作为服务费尾款支付的重要依据。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b w:val="0"/>
          <w:bCs/>
          <w:color w:val="auto"/>
          <w:sz w:val="32"/>
          <w:szCs w:val="32"/>
        </w:rPr>
      </w:pPr>
      <w:r>
        <w:rPr>
          <w:rFonts w:hint="eastAsia" w:ascii="楷体_GB2312" w:hAnsi="楷体_GB2312" w:eastAsia="楷体_GB2312" w:cs="楷体_GB2312"/>
          <w:kern w:val="2"/>
          <w:sz w:val="32"/>
          <w:szCs w:val="32"/>
          <w:lang w:val="en-US" w:eastAsia="zh-CN" w:bidi="ar-SA"/>
        </w:rPr>
        <w:t>（六）违约责任</w:t>
      </w:r>
      <w:r>
        <w:rPr>
          <w:rFonts w:hint="eastAsia" w:ascii="仿宋_GB2312" w:eastAsia="仿宋_GB2312"/>
          <w:b w:val="0"/>
          <w:bCs/>
          <w:color w:val="auto"/>
          <w:sz w:val="32"/>
          <w:szCs w:val="32"/>
        </w:rPr>
        <w:t>：</w:t>
      </w:r>
      <w:r>
        <w:rPr>
          <w:rFonts w:hint="eastAsia" w:ascii="仿宋_GB2312" w:hAnsi="仿宋_GB2312" w:eastAsia="仿宋_GB2312" w:cs="仿宋_GB2312"/>
          <w:b w:val="0"/>
          <w:bCs/>
          <w:color w:val="auto"/>
          <w:sz w:val="32"/>
          <w:szCs w:val="32"/>
          <w:lang w:eastAsia="zh-CN"/>
        </w:rPr>
        <w:t>按合同约定。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kern w:val="2"/>
          <w:sz w:val="32"/>
          <w:szCs w:val="32"/>
          <w:lang w:val="en-US" w:eastAsia="zh-CN" w:bidi="ar-SA"/>
        </w:rPr>
        <w:t>（七）其他</w:t>
      </w:r>
      <w:r>
        <w:rPr>
          <w:rFonts w:hint="eastAsia" w:ascii="仿宋_GB2312" w:eastAsia="仿宋_GB2312"/>
          <w:b w:val="0"/>
          <w:bCs/>
          <w:color w:val="auto"/>
          <w:sz w:val="32"/>
          <w:szCs w:val="32"/>
          <w:lang w:eastAsia="zh-CN"/>
        </w:rPr>
        <w:t>：</w:t>
      </w:r>
      <w:r>
        <w:rPr>
          <w:rFonts w:hint="eastAsia" w:ascii="仿宋_GB2312" w:hAnsi="仿宋_GB2312" w:eastAsia="仿宋_GB2312" w:cs="仿宋_GB2312"/>
          <w:color w:val="auto"/>
          <w:sz w:val="32"/>
          <w:szCs w:val="32"/>
          <w:lang w:eastAsia="zh-CN"/>
        </w:rPr>
        <w:t>在服务合同有效期内，若无不可抗拒因素发生，甲乙双方中的任何一方都不得终止合同。而非由本合同约定的事由导致无法举办或无法如期举办，甲方需提前七天通知乙方，合同双方互不追究对方的违约责任。</w:t>
      </w:r>
    </w:p>
    <w:p>
      <w:pPr>
        <w:keepNext w:val="0"/>
        <w:keepLines w:val="0"/>
        <w:pageBreakBefore w:val="0"/>
        <w:numPr>
          <w:ilvl w:val="0"/>
          <w:numId w:val="0"/>
        </w:numPr>
        <w:kinsoku/>
        <w:wordWrap/>
        <w:overflowPunct/>
        <w:topLinePunct w:val="0"/>
        <w:autoSpaceDE/>
        <w:autoSpaceDN/>
        <w:bidi w:val="0"/>
        <w:snapToGrid w:val="0"/>
        <w:spacing w:line="560" w:lineRule="exact"/>
        <w:ind w:firstLine="562" w:firstLineChars="200"/>
        <w:textAlignment w:val="auto"/>
        <w:rPr>
          <w:rFonts w:hint="eastAsia" w:ascii="仿宋_GB2312" w:eastAsia="仿宋_GB2312"/>
          <w:b/>
          <w:b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2" w:firstLineChars="200"/>
        <w:textAlignment w:val="auto"/>
        <w:rPr>
          <w:rFonts w:hint="eastAsia" w:ascii="仿宋_GB2312" w:eastAsia="仿宋_GB2312"/>
          <w:b/>
          <w:bCs w:val="0"/>
          <w:color w:val="auto"/>
          <w:sz w:val="28"/>
          <w:szCs w:val="28"/>
        </w:rPr>
      </w:pPr>
    </w:p>
    <w:p>
      <w:pPr>
        <w:keepNext w:val="0"/>
        <w:keepLines w:val="0"/>
        <w:pageBreakBefore w:val="0"/>
        <w:kinsoku/>
        <w:wordWrap/>
        <w:overflowPunct/>
        <w:topLinePunct w:val="0"/>
        <w:autoSpaceDE/>
        <w:autoSpaceDN/>
        <w:bidi w:val="0"/>
        <w:spacing w:line="56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1FCD"/>
    <w:rsid w:val="2FBF94C9"/>
    <w:rsid w:val="2FFF1FCD"/>
    <w:rsid w:val="378E1F8E"/>
    <w:rsid w:val="39F77746"/>
    <w:rsid w:val="3E741BAD"/>
    <w:rsid w:val="3FDF34B2"/>
    <w:rsid w:val="5FBFA2EA"/>
    <w:rsid w:val="6FDF306A"/>
    <w:rsid w:val="6FED0A31"/>
    <w:rsid w:val="973D8DE9"/>
    <w:rsid w:val="9D7E912B"/>
    <w:rsid w:val="9D8F243A"/>
    <w:rsid w:val="AFFE1B7E"/>
    <w:rsid w:val="AFFF000A"/>
    <w:rsid w:val="B2DFA099"/>
    <w:rsid w:val="BD75AD75"/>
    <w:rsid w:val="DA7FACBE"/>
    <w:rsid w:val="F7D1FAA7"/>
    <w:rsid w:val="FA569E25"/>
    <w:rsid w:val="FDAF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2023-09-23T10:05:00Z</dcterms:created>
  <dc:creator>makangchang</dc:creator>
  <cp:lastModifiedBy>makangchang</cp:lastModifiedBy>
  <dcterms:modified xsi:type="dcterms:W3CDTF">2023-09-25T15:02:28Z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