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69"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355"/>
        <w:gridCol w:w="1164"/>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9" w:type="dxa"/>
            <w:gridSpan w:val="4"/>
          </w:tcPr>
          <w:p>
            <w:pPr>
              <w:jc w:val="center"/>
              <w:rPr>
                <w:rFonts w:hint="default" w:eastAsiaTheme="minorEastAsia"/>
                <w:sz w:val="32"/>
                <w:szCs w:val="32"/>
                <w:vertAlign w:val="baseline"/>
                <w:lang w:val="en-US" w:eastAsia="zh-CN"/>
              </w:rPr>
            </w:pPr>
            <w:r>
              <w:rPr>
                <w:rFonts w:hint="eastAsia"/>
                <w:sz w:val="32"/>
                <w:szCs w:val="32"/>
                <w:lang w:val="en-US" w:eastAsia="zh-CN"/>
              </w:rPr>
              <w:t>深圳计量文化公园建设</w:t>
            </w:r>
            <w:r>
              <w:rPr>
                <w:rFonts w:hint="eastAsia"/>
                <w:sz w:val="32"/>
                <w:szCs w:val="32"/>
              </w:rPr>
              <w:t>项目</w:t>
            </w:r>
            <w:r>
              <w:rPr>
                <w:rFonts w:hint="eastAsia"/>
                <w:sz w:val="32"/>
                <w:szCs w:val="32"/>
                <w:lang w:val="en-US" w:eastAsia="zh-CN"/>
              </w:rPr>
              <w:t>听证会非部门陈述人意见的采纳情况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4"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序号</w:t>
            </w:r>
          </w:p>
        </w:tc>
        <w:tc>
          <w:tcPr>
            <w:tcW w:w="4355"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相关意见</w:t>
            </w:r>
          </w:p>
        </w:tc>
        <w:tc>
          <w:tcPr>
            <w:tcW w:w="1164"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采纳情况</w:t>
            </w:r>
          </w:p>
        </w:tc>
        <w:tc>
          <w:tcPr>
            <w:tcW w:w="8556"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意见回复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4355"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建议进一步明确选取绿谷公园进行改造的原因</w:t>
            </w:r>
          </w:p>
        </w:tc>
        <w:tc>
          <w:tcPr>
            <w:tcW w:w="1164"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采纳</w:t>
            </w:r>
          </w:p>
        </w:tc>
        <w:tc>
          <w:tcPr>
            <w:tcW w:w="8556" w:type="dxa"/>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项目方案将会在必要性、可行性、科学性等方面进一步阐述选择绿谷公园改造成深圳计量文化公园的原因。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4355"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建议决策方案更加充分展现深圳计量文化公园吸引游客参观以及在接待孩童方面的优势内容</w:t>
            </w:r>
          </w:p>
        </w:tc>
        <w:tc>
          <w:tcPr>
            <w:tcW w:w="116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采纳</w:t>
            </w:r>
          </w:p>
        </w:tc>
        <w:tc>
          <w:tcPr>
            <w:tcW w:w="8556" w:type="dxa"/>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项目方案将在全面分析深圳计量文化公园自身独特优势的基础上，在整体规划设计层面重点展现深圳计量文化公园在满足各年龄段市民的需求方面作出的努力以及相应的亮点与特色。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4355"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建议采取有效措施降低在施工过程中对周围环境的影响</w:t>
            </w:r>
          </w:p>
        </w:tc>
        <w:tc>
          <w:tcPr>
            <w:tcW w:w="116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采纳</w:t>
            </w:r>
          </w:p>
        </w:tc>
        <w:tc>
          <w:tcPr>
            <w:tcW w:w="8556"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在施工前，将根据项目施工范围、施工方式以及工期对施工过程可能产生的环境影响进行摸底，做好建设项目影响环境评价，针对可能造成的环境污染制定相关防治方案，建设方也将会同其他相关单位按照现行的法律法规、规章制度的要求全程监督项目施工方依法依规开展项目建设，在项目施工过程中尽可能的减少对周边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4355"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建议制定排水方案，采取具体有效的措施防止积水问题产生</w:t>
            </w:r>
          </w:p>
        </w:tc>
        <w:tc>
          <w:tcPr>
            <w:tcW w:w="1164"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采纳</w:t>
            </w:r>
          </w:p>
        </w:tc>
        <w:tc>
          <w:tcPr>
            <w:tcW w:w="8556" w:type="dxa"/>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将在设施设备、用料以及整体设计架构上，根据住建部《海绵城市建设指南》及深圳市《深圳市海绵城市建设专项规划》的要求，因地制宜制定完善的排水方案，以保护园区植物、设施以及人员安全为核心目的，建设与园区设计以及项目所在地实际条件相配套的排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4355"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建议采取有效措施对园区原有树木进行养护</w:t>
            </w:r>
          </w:p>
        </w:tc>
        <w:tc>
          <w:tcPr>
            <w:tcW w:w="1164"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采纳</w:t>
            </w:r>
          </w:p>
        </w:tc>
        <w:tc>
          <w:tcPr>
            <w:tcW w:w="8556" w:type="dxa"/>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将对绿谷公园树木最大限度争取保留原有设计，顺应现状树木点位及长势方向，以流动的曲线构图最大限度规避树木，若无法避开则在树木保护范围内以围合、开洞、共融的设计手法，最大限度开放地面绿化空间。同时在树木的日常养护上，通过专业养护人实施修剪、灌溉、中耕除草、施肥、病虫害防治、扶正</w:t>
            </w:r>
            <w:bookmarkStart w:id="0" w:name="_GoBack"/>
            <w:bookmarkEnd w:id="0"/>
            <w:r>
              <w:rPr>
                <w:rFonts w:hint="eastAsia" w:ascii="仿宋" w:hAnsi="仿宋" w:eastAsia="仿宋" w:cs="仿宋"/>
                <w:sz w:val="21"/>
                <w:szCs w:val="21"/>
                <w:vertAlign w:val="baseline"/>
                <w:lang w:val="en-US" w:eastAsia="zh-CN"/>
              </w:rPr>
              <w:t>、建档立卡等方式实现对树木的精细化养护。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4355"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建议采取有效措施保证项目顺利落地。</w:t>
            </w:r>
          </w:p>
        </w:tc>
        <w:tc>
          <w:tcPr>
            <w:tcW w:w="1164"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采纳</w:t>
            </w:r>
          </w:p>
        </w:tc>
        <w:tc>
          <w:tcPr>
            <w:tcW w:w="8556" w:type="dxa"/>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将通过组织保障、资金保障、人才保障等举措确保项目的顺利实施。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4355"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建议在决策方案中体现项目建设方式以及回应是否能够将宠物带往深圳计量文化公园的问题</w:t>
            </w:r>
          </w:p>
        </w:tc>
        <w:tc>
          <w:tcPr>
            <w:tcW w:w="116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采纳</w:t>
            </w:r>
          </w:p>
        </w:tc>
        <w:tc>
          <w:tcPr>
            <w:tcW w:w="8556" w:type="dxa"/>
            <w:vAlign w:val="center"/>
          </w:tcPr>
          <w:p>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项目拟采用代建制建设，待建设方式最终确定后将会在方案当中予以明确。福田区建有专门的宠物公园，该公园可满足游客携带宠物前往公园参观的需求。在决策方案的后续完善过程中，将着重明确项目建设方式，同时对于游客携带宠物问题作出详细提示，公园后续建设过程中，建设方会充分考虑听证会议中市民提出的相关需求，在可行性范围内予以最大便利。</w:t>
            </w:r>
          </w:p>
        </w:tc>
      </w:tr>
    </w:tbl>
    <w:p>
      <w:pPr>
        <w:jc w:val="both"/>
        <w:rPr>
          <w:rFonts w:hint="default" w:eastAsiaTheme="minor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74552A0C"/>
    <w:rsid w:val="14F11A91"/>
    <w:rsid w:val="32B40636"/>
    <w:rsid w:val="551B4D8A"/>
    <w:rsid w:val="5AB65662"/>
    <w:rsid w:val="5BEC6233"/>
    <w:rsid w:val="5CFD1C22"/>
    <w:rsid w:val="62AC3764"/>
    <w:rsid w:val="74552A0C"/>
    <w:rsid w:val="7762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2021-10-29T02:10:00Z</dcterms:created>
  <dc:creator>陈燕</dc:creator>
  <cp:lastModifiedBy>律师</cp:lastModifiedBy>
  <dcterms:modified xsi:type="dcterms:W3CDTF">2023-11-01T07:40:07Z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4AD5F978A7CA4E9384FC0E6413638986</vt:lpwstr>
  </property>
</Properties>
</file>