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lang w:eastAsia="zh-CN"/>
        </w:rPr>
        <w:t>网上办理流程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（一）新申请、延续办理流程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609590" cy="5689600"/>
            <wp:effectExtent l="0" t="0" r="10160" b="6350"/>
            <wp:docPr id="1" name="图片 1" descr="新申请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申请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56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br w:type="page"/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（二）企业名称、注册地址、法定代表人变更办理流程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drawing>
          <wp:inline distT="0" distB="0" distL="114300" distR="114300">
            <wp:extent cx="5262245" cy="5908675"/>
            <wp:effectExtent l="0" t="0" r="14605" b="15875"/>
            <wp:docPr id="2" name="图片 14" descr="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图片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590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5DC49"/>
    <w:rsid w:val="2D6792AA"/>
    <w:rsid w:val="3EDF29F9"/>
    <w:rsid w:val="7B75DC49"/>
    <w:rsid w:val="D39FE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CESI仿宋-GB2312" w:cs="宋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2023-09-20T08:12:00Z</dcterms:created>
  <dc:creator>zjj-123</dc:creator>
  <cp:lastModifiedBy>chenyiru</cp:lastModifiedBy>
  <dcterms:modified xsi:type="dcterms:W3CDTF">2023-11-14T10:24:47Z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