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560" w:lineRule="exact"/>
        <w:jc w:val="center"/>
        <w:rPr>
          <w:rFonts w:ascii="宋体" w:hAnsi="宋体" w:cs="宋体"/>
          <w:b/>
          <w:sz w:val="44"/>
          <w:szCs w:val="44"/>
          <w:highlight w:val="none"/>
        </w:rPr>
      </w:pPr>
    </w:p>
    <w:p>
      <w:pPr>
        <w:spacing w:beforeLines="50" w:afterLines="50" w:line="560" w:lineRule="exact"/>
        <w:jc w:val="center"/>
        <w:rPr>
          <w:rFonts w:hint="eastAsia" w:ascii="宋体" w:hAnsi="宋体" w:eastAsia="宋体" w:cs="宋体"/>
          <w:b/>
          <w:sz w:val="44"/>
          <w:szCs w:val="44"/>
          <w:highlight w:val="none"/>
          <w:lang w:eastAsia="zh-CN"/>
        </w:rPr>
      </w:pPr>
      <w:r>
        <w:rPr>
          <w:rFonts w:hint="eastAsia" w:ascii="宋体" w:hAnsi="宋体" w:cs="宋体"/>
          <w:b/>
          <w:sz w:val="44"/>
          <w:szCs w:val="44"/>
          <w:highlight w:val="none"/>
        </w:rPr>
        <w:t>深圳市福田区</w:t>
      </w:r>
      <w:r>
        <w:rPr>
          <w:rFonts w:hint="eastAsia" w:ascii="宋体" w:hAnsi="宋体" w:cs="宋体"/>
          <w:b/>
          <w:sz w:val="44"/>
          <w:szCs w:val="44"/>
          <w:highlight w:val="none"/>
          <w:lang w:val="en-US" w:eastAsia="zh-CN"/>
        </w:rPr>
        <w:t>香蜜湖街道物业</w:t>
      </w:r>
      <w:r>
        <w:rPr>
          <w:rFonts w:hint="eastAsia" w:ascii="宋体" w:hAnsi="宋体" w:cs="宋体"/>
          <w:b/>
          <w:sz w:val="44"/>
          <w:szCs w:val="44"/>
          <w:highlight w:val="none"/>
        </w:rPr>
        <w:t>管理规约</w:t>
      </w:r>
      <w:r>
        <w:rPr>
          <w:rFonts w:hint="eastAsia" w:ascii="宋体" w:hAnsi="宋体" w:cs="宋体"/>
          <w:b/>
          <w:sz w:val="44"/>
          <w:szCs w:val="44"/>
          <w:highlight w:val="none"/>
          <w:lang w:val="en-US" w:eastAsia="zh-CN"/>
        </w:rPr>
        <w:t xml:space="preserve">       </w:t>
      </w:r>
      <w:r>
        <w:rPr>
          <w:rFonts w:hint="eastAsia" w:ascii="宋体" w:hAnsi="宋体" w:cs="宋体"/>
          <w:b/>
          <w:sz w:val="44"/>
          <w:szCs w:val="44"/>
          <w:highlight w:val="none"/>
          <w:lang w:eastAsia="zh-CN"/>
        </w:rPr>
        <w:t>示范文本</w:t>
      </w:r>
    </w:p>
    <w:p>
      <w:pPr>
        <w:spacing w:beforeLines="50" w:afterLines="50" w:line="560" w:lineRule="exact"/>
        <w:jc w:val="center"/>
        <w:rPr>
          <w:rFonts w:ascii="宋体" w:hAnsi="宋体" w:cs="宋体"/>
          <w:b/>
          <w:sz w:val="44"/>
          <w:szCs w:val="44"/>
          <w:highlight w:val="none"/>
        </w:rPr>
      </w:pPr>
      <w:r>
        <w:rPr>
          <w:rFonts w:hint="eastAsia" w:ascii="宋体" w:hAnsi="宋体" w:cs="宋体"/>
          <w:b/>
          <w:sz w:val="44"/>
          <w:szCs w:val="44"/>
          <w:highlight w:val="none"/>
          <w:lang w:eastAsia="zh-CN"/>
        </w:rPr>
        <w:t>（</w:t>
      </w:r>
      <w:r>
        <w:rPr>
          <w:rFonts w:hint="eastAsia" w:ascii="宋体" w:hAnsi="宋体" w:cs="宋体"/>
          <w:b/>
          <w:sz w:val="44"/>
          <w:szCs w:val="44"/>
          <w:highlight w:val="none"/>
          <w:lang w:val="en-US" w:eastAsia="zh-CN"/>
        </w:rPr>
        <w:t>修订</w:t>
      </w:r>
      <w:r>
        <w:rPr>
          <w:rFonts w:hint="eastAsia" w:ascii="宋体" w:hAnsi="宋体" w:cs="宋体"/>
          <w:b/>
          <w:sz w:val="44"/>
          <w:szCs w:val="44"/>
          <w:highlight w:val="none"/>
          <w:lang w:eastAsia="zh-CN"/>
        </w:rPr>
        <w:t>）</w:t>
      </w:r>
    </w:p>
    <w:p>
      <w:pPr>
        <w:jc w:val="center"/>
        <w:rPr>
          <w:rFonts w:ascii="宋体" w:hAnsi="宋体" w:cs="宋体"/>
          <w:bCs/>
          <w:sz w:val="10"/>
          <w:szCs w:val="10"/>
          <w:highlight w:val="none"/>
        </w:rPr>
      </w:pPr>
    </w:p>
    <w:p>
      <w:pPr>
        <w:numPr>
          <w:ilvl w:val="0"/>
          <w:numId w:val="1"/>
        </w:numPr>
        <w:spacing w:beforeLines="50" w:afterLines="50" w:line="560" w:lineRule="exact"/>
        <w:jc w:val="center"/>
        <w:rPr>
          <w:rFonts w:ascii="黑体" w:hAnsi="黑体" w:eastAsia="黑体"/>
          <w:sz w:val="32"/>
          <w:szCs w:val="32"/>
          <w:highlight w:val="none"/>
        </w:rPr>
      </w:pPr>
      <w:r>
        <w:rPr>
          <w:rFonts w:hint="eastAsia" w:ascii="黑体" w:hAnsi="黑体" w:eastAsia="黑体"/>
          <w:sz w:val="32"/>
          <w:szCs w:val="32"/>
          <w:highlight w:val="none"/>
        </w:rPr>
        <w:t>总则</w:t>
      </w:r>
    </w:p>
    <w:p>
      <w:pPr>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第一条</w:t>
      </w:r>
      <w:r>
        <w:rPr>
          <w:rFonts w:hint="eastAsia" w:ascii="仿宋_GB2312" w:hAnsi="仿宋_GB2312" w:eastAsia="仿宋_GB2312" w:cs="仿宋_GB2312"/>
          <w:sz w:val="32"/>
          <w:szCs w:val="32"/>
          <w:highlight w:val="none"/>
        </w:rPr>
        <w:t xml:space="preserve"> 为维护业主以及其他当事人的合法权益，根据有关法律、法规的规定，结合深圳市福田区香蜜湖街道物业管理区域实际情况，制定本规约。</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黑体" w:hAnsi="黑体" w:eastAsia="黑体"/>
          <w:sz w:val="32"/>
          <w:szCs w:val="32"/>
          <w:highlight w:val="none"/>
        </w:rPr>
        <w:t>第二条</w:t>
      </w:r>
      <w:r>
        <w:rPr>
          <w:rFonts w:hint="eastAsia" w:ascii="仿宋_GB2312" w:hAnsi="仿宋_GB2312" w:eastAsia="仿宋_GB2312" w:cs="仿宋_GB2312"/>
          <w:sz w:val="32"/>
          <w:szCs w:val="32"/>
          <w:highlight w:val="none"/>
        </w:rPr>
        <w:t xml:space="preserve"> 本物业管理区域倡导绿色、智慧物业管理。鼓励采用新技术、新方法提高物业管理质量和服务水平，营造安全、舒适、文明、和谐、美好的工作和生活环境。</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业主大会、业主委员会、业主监事会或者监事等在中国共产党社区委员会（以下简称社区党委）的领导下依法依规开展物业管理活动。</w:t>
      </w:r>
    </w:p>
    <w:p>
      <w:pPr>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第三条</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本规约对本物业管理区域内全体业主、物业使用人均具有约束力。物业的所有权发生变更时，</w:t>
      </w:r>
      <w:bookmarkStart w:id="0" w:name="_Hlk23866467"/>
      <w:r>
        <w:rPr>
          <w:rFonts w:hint="eastAsia" w:ascii="仿宋_GB2312" w:hAnsi="仿宋_GB2312" w:eastAsia="仿宋_GB2312" w:cs="仿宋_GB2312"/>
          <w:sz w:val="32"/>
          <w:szCs w:val="32"/>
          <w:highlight w:val="none"/>
        </w:rPr>
        <w:t>本规约对原业主的效力及于新的物业继受人。</w:t>
      </w:r>
      <w:bookmarkEnd w:id="0"/>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物业服务企业应遵循本规约的内容，且依法依规开展物业管理服务活动。</w:t>
      </w:r>
    </w:p>
    <w:p>
      <w:pPr>
        <w:pStyle w:val="2"/>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注：（</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）物业使用人是指除业主以外合法使用物业的单位和个人，包括但不限于物业承租人、借用人等。</w:t>
      </w:r>
    </w:p>
    <w:p>
      <w:pPr>
        <w:pStyle w:val="2"/>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）物业继受人是指在物业买卖、继承、赠予等情形下，权利、义务等转移的特定人。</w:t>
      </w:r>
    </w:p>
    <w:p>
      <w:pPr>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第四条</w:t>
      </w:r>
      <w:r>
        <w:rPr>
          <w:rFonts w:hint="eastAsia" w:ascii="仿宋_GB2312" w:hAnsi="仿宋_GB2312" w:eastAsia="仿宋_GB2312" w:cs="仿宋_GB2312"/>
          <w:sz w:val="32"/>
          <w:szCs w:val="32"/>
          <w:highlight w:val="none"/>
        </w:rPr>
        <w:t xml:space="preserve"> </w:t>
      </w:r>
      <w:bookmarkStart w:id="1" w:name="_Hlk23866515"/>
      <w:r>
        <w:rPr>
          <w:rFonts w:hint="eastAsia" w:ascii="仿宋_GB2312" w:hAnsi="仿宋_GB2312" w:eastAsia="仿宋_GB2312" w:cs="仿宋_GB2312"/>
          <w:sz w:val="32"/>
          <w:szCs w:val="32"/>
          <w:highlight w:val="none"/>
        </w:rPr>
        <w:t>业主、物业使用人应当遵守相关政府部门的有关规定，遵守社会公德，不得危及物业的安全，不得损害其他业主、物业使用人的合法权益，并承担治安、消防、卫生等方面的安全责任。</w:t>
      </w:r>
      <w:bookmarkEnd w:id="1"/>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业主转让或者出租物业时，应将本规约作为物业转让合同或者租赁合同的附件，同时书面告知物业服务企业、业主委员会。</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业主转让物业，应当结清物业管理费、日常收取的专项维修资金等费用。</w:t>
      </w:r>
    </w:p>
    <w:p>
      <w:pPr>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第五条</w:t>
      </w:r>
      <w:r>
        <w:rPr>
          <w:rFonts w:hint="eastAsia" w:ascii="仿宋_GB2312" w:hAnsi="仿宋_GB2312" w:eastAsia="仿宋_GB2312" w:cs="仿宋_GB2312"/>
          <w:sz w:val="32"/>
          <w:szCs w:val="32"/>
          <w:highlight w:val="none"/>
        </w:rPr>
        <w:t xml:space="preserve"> </w:t>
      </w:r>
      <w:bookmarkStart w:id="2" w:name="_Hlk15554629"/>
      <w:r>
        <w:rPr>
          <w:rFonts w:hint="eastAsia" w:ascii="仿宋_GB2312" w:hAnsi="仿宋_GB2312" w:eastAsia="仿宋_GB2312" w:cs="仿宋_GB2312"/>
          <w:sz w:val="32"/>
          <w:szCs w:val="32"/>
          <w:highlight w:val="none"/>
        </w:rPr>
        <w:t>业主在物业管理活动中，依法履行下列权利义务。</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业主依法享有下列权利：</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（一）参加业主大会会议，发表意见，行使投票权；</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（二）选举业主委员会、业主监事会或者监事，并依法依规享有被选举权；</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（三）监督业主委员会、业主监事会或者监事的工作；</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（四）监督物业服务企业履行物业服务合同的情况； </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（五）对共有物业和业主共有资金使用管理的知情权和监督权； </w:t>
      </w:r>
    </w:p>
    <w:p>
      <w:pPr>
        <w:spacing w:line="560" w:lineRule="exact"/>
        <w:ind w:firstLine="640" w:firstLineChars="200"/>
        <w:rPr>
          <w:rFonts w:hint="default" w:eastAsia="仿宋_GB2312"/>
          <w:highlight w:val="none"/>
          <w:lang w:val="en-US" w:eastAsia="zh-CN"/>
        </w:rPr>
      </w:pPr>
      <w:r>
        <w:rPr>
          <w:rFonts w:hint="eastAsia" w:ascii="仿宋_GB2312" w:hAnsi="仿宋_GB2312" w:eastAsia="仿宋_GB2312" w:cs="仿宋_GB2312"/>
          <w:sz w:val="32"/>
          <w:szCs w:val="32"/>
          <w:highlight w:val="none"/>
        </w:rPr>
        <w:t>（六）就制订或者修改本规约、业主大会议事规则、物业服务合同等物业管理事项提出意见和建议；</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（七）</w:t>
      </w:r>
      <w:r>
        <w:rPr>
          <w:rFonts w:hint="eastAsia" w:ascii="仿宋_GB2312" w:hAnsi="仿宋_GB2312" w:eastAsia="仿宋_GB2312" w:cs="仿宋_GB2312"/>
          <w:sz w:val="32"/>
          <w:szCs w:val="32"/>
          <w:highlight w:val="none"/>
          <w:lang w:eastAsia="zh-CN"/>
        </w:rPr>
        <w:t>业主可以查阅业主大会、业主委员会、监事会所有会议资料，并有权就物业管理事项向业主委员会、监事会或者监事提出询问，业主委员会、监事会或者监事应当及时予以书面答复。</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法律、法规规定的其他权利。</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业主应当依法履行下列义务：</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（一）遵守本规约以及物业使用、公共秩序和环境卫生等方面的规章制度；</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（二）执行业主大会、业主委员会依法作出的决定；</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（三）按时缴纳物业管理费、日常收取的专项维修资金；</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（四）配合物业服务企业或者其他管理人实施物业管理；</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（五）法律、法规规定和本规约约定的其他义务。</w:t>
      </w:r>
    </w:p>
    <w:p>
      <w:pPr>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第六条</w:t>
      </w:r>
      <w:r>
        <w:rPr>
          <w:rFonts w:hint="eastAsia" w:ascii="仿宋_GB2312" w:hAnsi="仿宋_GB2312" w:eastAsia="仿宋_GB2312" w:cs="仿宋_GB2312"/>
          <w:sz w:val="32"/>
          <w:szCs w:val="32"/>
          <w:highlight w:val="none"/>
        </w:rPr>
        <w:t xml:space="preserve"> </w:t>
      </w:r>
      <w:bookmarkStart w:id="3" w:name="_Hlk23866739"/>
      <w:r>
        <w:rPr>
          <w:rFonts w:hint="eastAsia" w:ascii="仿宋_GB2312" w:hAnsi="仿宋_GB2312" w:eastAsia="仿宋_GB2312" w:cs="仿宋_GB2312"/>
          <w:sz w:val="32"/>
          <w:szCs w:val="32"/>
          <w:highlight w:val="none"/>
        </w:rPr>
        <w:t>业主、物业使用人应遵守法律、法规的规定和本规约的约定，按照有利于物业使用、安全、整洁以及公平、合理、不损害公共利益和他人利益的原则，在供电、供水、供气、排水、通行、通风、采光、维修、装饰装修、环境卫生、环境保护、房屋外观等方面妥善处理与相邻业主的关系。</w:t>
      </w:r>
      <w:bookmarkEnd w:id="3"/>
    </w:p>
    <w:bookmarkEnd w:id="2"/>
    <w:p>
      <w:pPr>
        <w:numPr>
          <w:ilvl w:val="0"/>
          <w:numId w:val="1"/>
        </w:numPr>
        <w:spacing w:beforeLines="50" w:afterLines="50" w:line="560" w:lineRule="exact"/>
        <w:jc w:val="center"/>
        <w:rPr>
          <w:rFonts w:ascii="黑体" w:hAnsi="黑体" w:eastAsia="黑体"/>
          <w:sz w:val="32"/>
          <w:szCs w:val="32"/>
          <w:highlight w:val="none"/>
        </w:rPr>
      </w:pPr>
      <w:r>
        <w:rPr>
          <w:rFonts w:hint="eastAsia" w:ascii="黑体" w:hAnsi="黑体" w:eastAsia="黑体"/>
          <w:sz w:val="32"/>
          <w:szCs w:val="32"/>
          <w:highlight w:val="none"/>
        </w:rPr>
        <w:t>物业管理区域及设施</w:t>
      </w:r>
    </w:p>
    <w:p>
      <w:pPr>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第七条</w:t>
      </w:r>
      <w:r>
        <w:rPr>
          <w:rFonts w:hint="eastAsia" w:ascii="仿宋_GB2312" w:hAnsi="仿宋_GB2312" w:eastAsia="仿宋_GB2312" w:cs="仿宋_GB2312"/>
          <w:sz w:val="32"/>
          <w:szCs w:val="32"/>
          <w:highlight w:val="none"/>
        </w:rPr>
        <w:t xml:space="preserve"> 本物业管理区域的基本情况</w:t>
      </w:r>
    </w:p>
    <w:p>
      <w:pPr>
        <w:spacing w:line="560" w:lineRule="exact"/>
        <w:ind w:firstLine="640" w:firstLineChars="200"/>
        <w:rPr>
          <w:rFonts w:ascii="仿宋_GB2312" w:hAnsi="仿宋_GB2312" w:eastAsia="仿宋_GB2312" w:cs="仿宋_GB2312"/>
          <w:sz w:val="32"/>
          <w:szCs w:val="32"/>
          <w:highlight w:val="none"/>
        </w:rPr>
      </w:pPr>
      <w:bookmarkStart w:id="4" w:name="_Hlk23866898"/>
      <w:r>
        <w:rPr>
          <w:rFonts w:hint="eastAsia" w:ascii="仿宋_GB2312" w:hAnsi="仿宋_GB2312" w:eastAsia="仿宋_GB2312" w:cs="仿宋_GB2312"/>
          <w:sz w:val="32"/>
          <w:szCs w:val="32"/>
          <w:highlight w:val="none"/>
        </w:rPr>
        <w:t>（一）名称</w:t>
      </w:r>
      <w:bookmarkStart w:id="5" w:name="_Hlk15477388"/>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w:t>
      </w:r>
      <w:bookmarkEnd w:id="5"/>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（二）坐落位置：</w:t>
      </w:r>
      <w:bookmarkStart w:id="6" w:name="_Hlk15477411"/>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w:t>
      </w:r>
      <w:bookmarkEnd w:id="6"/>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（三）物业总建筑面积：</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（四）物业类型：</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w:t>
      </w:r>
    </w:p>
    <w:p>
      <w:pPr>
        <w:spacing w:line="560" w:lineRule="exact"/>
        <w:ind w:left="559" w:leftChars="266"/>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（五）土地宗地号：</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w:t>
      </w:r>
    </w:p>
    <w:p>
      <w:pPr>
        <w:spacing w:line="560" w:lineRule="exact"/>
        <w:ind w:left="559" w:leftChars="266"/>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（六）区域四至如下：</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东至</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南至</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西至</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北至</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w:t>
      </w:r>
    </w:p>
    <w:p>
      <w:pPr>
        <w:numPr>
          <w:ilvl w:val="0"/>
          <w:numId w:val="2"/>
        </w:num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物业服务办公用房建筑面积为</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平方米，位于</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[幢]</w:t>
      </w:r>
      <w:r>
        <w:rPr>
          <w:rFonts w:hint="eastAsia" w:ascii="仿宋_GB2312" w:hAnsi="仿宋_GB2312" w:eastAsia="仿宋_GB2312" w:cs="仿宋_GB2312"/>
          <w:sz w:val="32"/>
          <w:szCs w:val="32"/>
          <w:highlight w:val="none"/>
          <w:u w:val="single"/>
        </w:rPr>
        <w:t xml:space="preserve">  \  </w:t>
      </w:r>
      <w:r>
        <w:rPr>
          <w:rFonts w:hint="eastAsia" w:ascii="仿宋_GB2312" w:hAnsi="仿宋_GB2312" w:eastAsia="仿宋_GB2312" w:cs="仿宋_GB2312"/>
          <w:sz w:val="32"/>
          <w:szCs w:val="32"/>
          <w:highlight w:val="none"/>
        </w:rPr>
        <w:t xml:space="preserve"> [座]</w:t>
      </w:r>
      <w:r>
        <w:rPr>
          <w:rFonts w:hint="eastAsia" w:ascii="仿宋_GB2312" w:hAnsi="仿宋_GB2312" w:eastAsia="仿宋_GB2312" w:cs="仿宋_GB2312"/>
          <w:sz w:val="32"/>
          <w:szCs w:val="32"/>
          <w:highlight w:val="none"/>
          <w:u w:val="single"/>
        </w:rPr>
        <w:t xml:space="preserve">  \ </w:t>
      </w:r>
      <w:r>
        <w:rPr>
          <w:rFonts w:hint="eastAsia" w:ascii="仿宋_GB2312" w:hAnsi="仿宋_GB2312" w:eastAsia="仿宋_GB2312" w:cs="仿宋_GB2312"/>
          <w:sz w:val="32"/>
          <w:szCs w:val="32"/>
          <w:highlight w:val="none"/>
        </w:rPr>
        <w:t>单元</w:t>
      </w:r>
      <w:r>
        <w:rPr>
          <w:rFonts w:hint="eastAsia" w:ascii="仿宋_GB2312" w:hAnsi="仿宋_GB2312" w:eastAsia="仿宋_GB2312" w:cs="仿宋_GB2312"/>
          <w:sz w:val="32"/>
          <w:szCs w:val="32"/>
          <w:highlight w:val="none"/>
          <w:u w:val="single"/>
        </w:rPr>
        <w:t xml:space="preserve">  一、二    </w:t>
      </w:r>
      <w:r>
        <w:rPr>
          <w:rFonts w:hint="eastAsia" w:ascii="仿宋_GB2312" w:hAnsi="仿宋_GB2312" w:eastAsia="仿宋_GB2312" w:cs="仿宋_GB2312"/>
          <w:sz w:val="32"/>
          <w:szCs w:val="32"/>
          <w:highlight w:val="none"/>
        </w:rPr>
        <w:t>层</w:t>
      </w:r>
      <w:r>
        <w:rPr>
          <w:rFonts w:hint="eastAsia" w:ascii="仿宋_GB2312" w:hAnsi="仿宋_GB2312" w:eastAsia="仿宋_GB2312" w:cs="仿宋_GB2312"/>
          <w:sz w:val="32"/>
          <w:szCs w:val="32"/>
          <w:highlight w:val="none"/>
          <w:u w:val="single"/>
        </w:rPr>
        <w:t xml:space="preserve">  \  </w:t>
      </w:r>
      <w:r>
        <w:rPr>
          <w:rFonts w:hint="eastAsia" w:ascii="仿宋_GB2312" w:hAnsi="仿宋_GB2312" w:eastAsia="仿宋_GB2312" w:cs="仿宋_GB2312"/>
          <w:sz w:val="32"/>
          <w:szCs w:val="32"/>
          <w:highlight w:val="none"/>
        </w:rPr>
        <w:t xml:space="preserve">室； </w:t>
      </w:r>
    </w:p>
    <w:p>
      <w:pPr>
        <w:spacing w:line="560" w:lineRule="exact"/>
        <w:ind w:left="580" w:leftChars="200" w:hanging="160" w:hangingChars="5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业主委员会办公用房建筑面积为</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平方米，位于</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[幢]</w:t>
      </w:r>
      <w:r>
        <w:rPr>
          <w:rFonts w:hint="eastAsia" w:ascii="仿宋_GB2312" w:hAnsi="仿宋_GB2312" w:eastAsia="仿宋_GB2312" w:cs="仿宋_GB2312"/>
          <w:sz w:val="32"/>
          <w:szCs w:val="32"/>
          <w:highlight w:val="none"/>
          <w:u w:val="single"/>
        </w:rPr>
        <w:t xml:space="preserve">   \ </w:t>
      </w:r>
      <w:r>
        <w:rPr>
          <w:rFonts w:hint="eastAsia" w:ascii="仿宋_GB2312" w:hAnsi="仿宋_GB2312" w:eastAsia="仿宋_GB2312" w:cs="仿宋_GB2312"/>
          <w:sz w:val="32"/>
          <w:szCs w:val="32"/>
          <w:highlight w:val="none"/>
        </w:rPr>
        <w:t xml:space="preserve">[座] </w:t>
      </w:r>
      <w:r>
        <w:rPr>
          <w:rFonts w:hint="eastAsia" w:ascii="仿宋_GB2312" w:hAnsi="仿宋_GB2312" w:eastAsia="仿宋_GB2312" w:cs="仿宋_GB2312"/>
          <w:sz w:val="32"/>
          <w:szCs w:val="32"/>
          <w:highlight w:val="none"/>
          <w:u w:val="single"/>
        </w:rPr>
        <w:t>无</w:t>
      </w:r>
      <w:r>
        <w:rPr>
          <w:rFonts w:hint="eastAsia" w:ascii="仿宋_GB2312" w:hAnsi="仿宋_GB2312" w:eastAsia="仿宋_GB2312" w:cs="仿宋_GB2312"/>
          <w:sz w:val="32"/>
          <w:szCs w:val="32"/>
          <w:highlight w:val="none"/>
        </w:rPr>
        <w:t>单元</w:t>
      </w:r>
      <w:r>
        <w:rPr>
          <w:rFonts w:hint="eastAsia" w:ascii="仿宋_GB2312" w:hAnsi="仿宋_GB2312" w:eastAsia="仿宋_GB2312" w:cs="仿宋_GB2312"/>
          <w:sz w:val="32"/>
          <w:szCs w:val="32"/>
          <w:highlight w:val="none"/>
          <w:u w:val="single"/>
        </w:rPr>
        <w:t xml:space="preserve"> 二 </w:t>
      </w:r>
      <w:r>
        <w:rPr>
          <w:rFonts w:hint="eastAsia" w:ascii="仿宋_GB2312" w:hAnsi="仿宋_GB2312" w:eastAsia="仿宋_GB2312" w:cs="仿宋_GB2312"/>
          <w:sz w:val="32"/>
          <w:szCs w:val="32"/>
          <w:highlight w:val="none"/>
        </w:rPr>
        <w:t>层</w:t>
      </w:r>
      <w:r>
        <w:rPr>
          <w:rFonts w:hint="eastAsia" w:ascii="仿宋_GB2312" w:hAnsi="仿宋_GB2312" w:eastAsia="仿宋_GB2312" w:cs="仿宋_GB2312"/>
          <w:sz w:val="32"/>
          <w:szCs w:val="32"/>
          <w:highlight w:val="none"/>
          <w:u w:val="single"/>
        </w:rPr>
        <w:t xml:space="preserve"> \ </w:t>
      </w:r>
      <w:r>
        <w:rPr>
          <w:rFonts w:hint="eastAsia" w:ascii="仿宋_GB2312" w:hAnsi="仿宋_GB2312" w:eastAsia="仿宋_GB2312" w:cs="仿宋_GB2312"/>
          <w:sz w:val="32"/>
          <w:szCs w:val="32"/>
          <w:highlight w:val="none"/>
        </w:rPr>
        <w:t>室；</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物业管理设施设备用房建筑面积为</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平方米，位于</w:t>
      </w:r>
      <w:r>
        <w:rPr>
          <w:rFonts w:hint="eastAsia" w:ascii="仿宋_GB2312" w:hAnsi="仿宋_GB2312" w:eastAsia="仿宋_GB2312" w:cs="仿宋_GB2312"/>
          <w:sz w:val="32"/>
          <w:szCs w:val="32"/>
          <w:highlight w:val="none"/>
          <w:u w:val="single"/>
        </w:rPr>
        <w:t xml:space="preserve">  \ </w:t>
      </w:r>
      <w:r>
        <w:rPr>
          <w:rFonts w:hint="eastAsia" w:ascii="仿宋_GB2312" w:hAnsi="仿宋_GB2312" w:eastAsia="仿宋_GB2312" w:cs="仿宋_GB2312"/>
          <w:sz w:val="32"/>
          <w:szCs w:val="32"/>
          <w:highlight w:val="none"/>
        </w:rPr>
        <w:t>[幢]</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[座]</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单元</w:t>
      </w:r>
      <w:r>
        <w:rPr>
          <w:rFonts w:hint="eastAsia" w:ascii="仿宋_GB2312" w:hAnsi="仿宋_GB2312" w:eastAsia="仿宋_GB2312" w:cs="仿宋_GB2312"/>
          <w:sz w:val="32"/>
          <w:szCs w:val="32"/>
          <w:highlight w:val="none"/>
          <w:u w:val="single"/>
        </w:rPr>
        <w:t xml:space="preserve"> </w:t>
      </w:r>
      <w:r>
        <w:rPr>
          <w:rFonts w:ascii="仿宋_GB2312" w:hAnsi="仿宋_GB2312" w:eastAsia="仿宋_GB2312" w:cs="仿宋_GB2312"/>
          <w:sz w:val="32"/>
          <w:szCs w:val="32"/>
          <w:highlight w:val="none"/>
          <w:u w:val="single"/>
        </w:rPr>
        <w:t>\</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层</w:t>
      </w:r>
      <w:r>
        <w:rPr>
          <w:rFonts w:hint="eastAsia" w:ascii="仿宋_GB2312" w:hAnsi="仿宋_GB2312" w:eastAsia="仿宋_GB2312" w:cs="仿宋_GB2312"/>
          <w:sz w:val="32"/>
          <w:szCs w:val="32"/>
          <w:highlight w:val="none"/>
          <w:u w:val="single"/>
        </w:rPr>
        <w:t xml:space="preserve"> </w:t>
      </w:r>
      <w:r>
        <w:rPr>
          <w:rFonts w:ascii="仿宋_GB2312" w:hAnsi="仿宋_GB2312" w:eastAsia="仿宋_GB2312" w:cs="仿宋_GB2312"/>
          <w:sz w:val="32"/>
          <w:szCs w:val="32"/>
          <w:highlight w:val="none"/>
          <w:u w:val="single"/>
        </w:rPr>
        <w:t>\</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室。</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（注：本物业管理区域的基本情况详见附件1、附件2和附件3）</w:t>
      </w:r>
      <w:bookmarkEnd w:id="4"/>
    </w:p>
    <w:p>
      <w:pPr>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第八条</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本物业管理区域内的道路属于业主共有，但属于城市公共道路的除外。本物业管理区域内的绿地属于业主共有，但属于城市公共绿地或者明示属于私人所有的除外。</w:t>
      </w:r>
      <w:bookmarkStart w:id="7" w:name="_Hlk15554764"/>
      <w:r>
        <w:rPr>
          <w:rFonts w:hint="eastAsia" w:ascii="仿宋_GB2312" w:hAnsi="仿宋_GB2312" w:eastAsia="仿宋_GB2312" w:cs="仿宋_GB2312"/>
          <w:sz w:val="32"/>
          <w:szCs w:val="32"/>
          <w:highlight w:val="none"/>
        </w:rPr>
        <w:t>本物业管理区域内物业的以下部分属于业主共有：</w:t>
      </w:r>
      <w:bookmarkEnd w:id="7"/>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（一）建筑物的基础、承重结构、外墙、屋顶等基本结构部分，通道、楼梯、大堂等公共通行部分，消防、公共照明等附属设施设备，避难层、架空层、设备层或者设备间等；</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（二）其他不属于业主专有部分，也不属于市政公用部分或者其他权利人所有的场所及设施设备等；</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（三）房地产买卖合同约定属于业主共有的物业；</w:t>
      </w:r>
    </w:p>
    <w:p>
      <w:pPr>
        <w:spacing w:line="560" w:lineRule="exact"/>
        <w:ind w:firstLine="640" w:firstLineChars="200"/>
        <w:rPr>
          <w:rFonts w:ascii="仿宋_GB2312" w:hAnsi="仿宋_GB2312" w:eastAsia="仿宋_GB2312" w:cs="仿宋_GB2312"/>
          <w:sz w:val="32"/>
          <w:szCs w:val="32"/>
          <w:highlight w:val="none"/>
        </w:rPr>
      </w:pPr>
      <w:bookmarkStart w:id="8" w:name="_Hlk15554814"/>
      <w:r>
        <w:rPr>
          <w:rFonts w:hint="eastAsia" w:ascii="仿宋_GB2312" w:hAnsi="仿宋_GB2312" w:eastAsia="仿宋_GB2312" w:cs="仿宋_GB2312"/>
          <w:sz w:val="32"/>
          <w:szCs w:val="32"/>
          <w:highlight w:val="none"/>
        </w:rPr>
        <w:t>（四）法律、法规规定的其他共有部分。</w:t>
      </w:r>
      <w:bookmarkEnd w:id="8"/>
    </w:p>
    <w:p>
      <w:pPr>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第九条</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利用本</w:t>
      </w:r>
      <w:r>
        <w:rPr>
          <w:rFonts w:hint="eastAsia" w:ascii="仿宋_GB2312" w:hAnsi="仿宋" w:eastAsia="仿宋_GB2312" w:cs="仿宋_GB2312"/>
          <w:sz w:val="32"/>
          <w:szCs w:val="32"/>
          <w:highlight w:val="none"/>
        </w:rPr>
        <w:t>物业管理区域</w:t>
      </w:r>
      <w:r>
        <w:rPr>
          <w:rFonts w:hint="eastAsia" w:ascii="仿宋_GB2312" w:hAnsi="仿宋_GB2312" w:eastAsia="仿宋_GB2312" w:cs="仿宋_GB2312"/>
          <w:sz w:val="32"/>
          <w:szCs w:val="32"/>
          <w:highlight w:val="none"/>
        </w:rPr>
        <w:t>共有物业进行经营活动的，应当由全体业主共同决定</w:t>
      </w:r>
      <w:bookmarkStart w:id="9" w:name="_Hlk23868165"/>
      <w:r>
        <w:rPr>
          <w:rFonts w:hint="eastAsia" w:ascii="仿宋_GB2312" w:hAnsi="仿宋_GB2312" w:eastAsia="仿宋_GB2312" w:cs="仿宋_GB2312"/>
          <w:sz w:val="32"/>
          <w:szCs w:val="32"/>
          <w:highlight w:val="none"/>
        </w:rPr>
        <w:t>，</w:t>
      </w:r>
      <w:bookmarkStart w:id="10" w:name="_Hlk15555036"/>
      <w:r>
        <w:rPr>
          <w:rFonts w:hint="eastAsia" w:ascii="仿宋_GB2312" w:hAnsi="仿宋_GB2312" w:eastAsia="仿宋_GB2312" w:cs="仿宋_GB2312"/>
          <w:sz w:val="32"/>
          <w:szCs w:val="32"/>
          <w:highlight w:val="none"/>
        </w:rPr>
        <w:t>其收益属于全体业主共有。</w:t>
      </w:r>
      <w:bookmarkEnd w:id="9"/>
      <w:r>
        <w:rPr>
          <w:rFonts w:hint="eastAsia" w:ascii="仿宋_GB2312" w:hAnsi="仿宋_GB2312" w:eastAsia="仿宋_GB2312" w:cs="仿宋_GB2312"/>
          <w:sz w:val="32"/>
          <w:szCs w:val="32"/>
          <w:highlight w:val="none"/>
        </w:rPr>
        <w:t>可能损害特定业主就其专有部分享有的合法权益的，</w:t>
      </w:r>
      <w:bookmarkEnd w:id="10"/>
      <w:r>
        <w:rPr>
          <w:rFonts w:hint="eastAsia" w:ascii="仿宋_GB2312" w:hAnsi="仿宋_GB2312" w:eastAsia="仿宋_GB2312" w:cs="仿宋_GB2312"/>
          <w:sz w:val="32"/>
          <w:szCs w:val="32"/>
          <w:highlight w:val="none"/>
        </w:rPr>
        <w:t>还应当经有利害关系的业主同意。</w:t>
      </w:r>
      <w:bookmarkStart w:id="11" w:name="_Hlk15555049"/>
      <w:r>
        <w:rPr>
          <w:rFonts w:hint="eastAsia" w:ascii="仿宋_GB2312" w:hAnsi="仿宋_GB2312" w:eastAsia="仿宋_GB2312" w:cs="仿宋_GB2312"/>
          <w:sz w:val="32"/>
          <w:szCs w:val="32"/>
          <w:highlight w:val="none"/>
        </w:rPr>
        <w:t>任何单位和个人</w:t>
      </w:r>
      <w:bookmarkEnd w:id="11"/>
      <w:r>
        <w:rPr>
          <w:rFonts w:hint="eastAsia" w:ascii="仿宋_GB2312" w:hAnsi="仿宋_GB2312" w:eastAsia="仿宋_GB2312" w:cs="仿宋_GB2312"/>
          <w:sz w:val="32"/>
          <w:szCs w:val="32"/>
          <w:highlight w:val="none"/>
        </w:rPr>
        <w:t>不得擅自处分属于全体业主的共有物业。</w:t>
      </w:r>
    </w:p>
    <w:p>
      <w:pPr>
        <w:pStyle w:val="2"/>
        <w:rPr>
          <w:rFonts w:eastAsia="仿宋_GB2312"/>
          <w:highlight w:val="none"/>
          <w:lang w:val="en-US"/>
        </w:rPr>
      </w:pPr>
    </w:p>
    <w:p>
      <w:pPr>
        <w:numPr>
          <w:ilvl w:val="0"/>
          <w:numId w:val="1"/>
        </w:numPr>
        <w:spacing w:beforeLines="50" w:afterLines="50" w:line="560" w:lineRule="exact"/>
        <w:jc w:val="center"/>
        <w:rPr>
          <w:rFonts w:ascii="黑体" w:hAnsi="黑体" w:eastAsia="黑体"/>
          <w:sz w:val="32"/>
          <w:szCs w:val="32"/>
          <w:highlight w:val="none"/>
        </w:rPr>
      </w:pPr>
      <w:bookmarkStart w:id="12" w:name="_Hlk15555068"/>
      <w:r>
        <w:rPr>
          <w:rFonts w:hint="eastAsia" w:ascii="黑体" w:hAnsi="黑体" w:eastAsia="黑体"/>
          <w:sz w:val="32"/>
          <w:szCs w:val="32"/>
          <w:highlight w:val="none"/>
        </w:rPr>
        <w:t>物业安全管理与使用</w:t>
      </w:r>
      <w:bookmarkEnd w:id="12"/>
    </w:p>
    <w:p>
      <w:pPr>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 xml:space="preserve">第十条 </w:t>
      </w:r>
      <w:r>
        <w:rPr>
          <w:rFonts w:hint="eastAsia" w:ascii="仿宋_GB2312" w:hAnsi="仿宋_GB2312" w:eastAsia="仿宋_GB2312" w:cs="仿宋_GB2312"/>
          <w:sz w:val="32"/>
          <w:szCs w:val="32"/>
          <w:highlight w:val="none"/>
        </w:rPr>
        <w:t>业主、物业使用人应按照有关政府部门批准或者不动产登记簿载明的用途使用物业专有部分，不得擅自改变物业专有部分的使用性质。因特殊情况需要改变物业用途的，除遵守法律、法规以及本规约外，应当征得有利害关系的业主同意，并报相关政府部门批准。</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本物业管理区域内严禁将住宅改变为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餐饮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娱乐</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宾馆</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等经营场所，严禁将商铺（含临街）用于</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宠物医院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机动车养护维修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餐饮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酒吧等经营场所。</w:t>
      </w:r>
    </w:p>
    <w:p>
      <w:pPr>
        <w:spacing w:line="560" w:lineRule="exact"/>
        <w:ind w:firstLine="640" w:firstLineChars="200"/>
        <w:rPr>
          <w:rFonts w:ascii="仿宋_GB2312" w:hAnsi="仿宋_GB2312" w:eastAsia="仿宋_GB2312" w:cs="仿宋_GB2312"/>
          <w:sz w:val="32"/>
          <w:szCs w:val="32"/>
          <w:highlight w:val="none"/>
        </w:rPr>
      </w:pPr>
      <w:bookmarkStart w:id="13" w:name="_Hlk15555192"/>
      <w:r>
        <w:rPr>
          <w:rFonts w:hint="eastAsia" w:ascii="黑体" w:hAnsi="黑体" w:eastAsia="黑体"/>
          <w:sz w:val="32"/>
          <w:szCs w:val="32"/>
          <w:highlight w:val="none"/>
        </w:rPr>
        <w:t>第十一条</w:t>
      </w:r>
      <w:r>
        <w:rPr>
          <w:rFonts w:hint="eastAsia" w:ascii="仿宋_GB2312" w:hAnsi="仿宋_GB2312" w:eastAsia="仿宋_GB2312" w:cs="仿宋_GB2312"/>
          <w:sz w:val="32"/>
          <w:szCs w:val="32"/>
          <w:highlight w:val="none"/>
        </w:rPr>
        <w:t xml:space="preserve"> </w:t>
      </w:r>
      <w:bookmarkStart w:id="14" w:name="_Hlk23868232"/>
      <w:r>
        <w:rPr>
          <w:rFonts w:hint="eastAsia" w:ascii="仿宋_GB2312" w:hAnsi="仿宋_GB2312" w:eastAsia="仿宋_GB2312" w:cs="仿宋_GB2312"/>
          <w:sz w:val="32"/>
          <w:szCs w:val="32"/>
          <w:highlight w:val="none"/>
        </w:rPr>
        <w:t>业主、物业使用人负责物业专有部分的安全检查、维护、保养，及时消除安全隐患，对其所有或者使用的窗户、阳台、搁置物、悬挂物等可能影响公共安全的物品和设施设备承担安全管理责任。</w:t>
      </w:r>
      <w:bookmarkEnd w:id="14"/>
    </w:p>
    <w:p>
      <w:pPr>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第十二条</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业主、物业使用人应当积极配合、协助业主委员会、物业服务企业对共有物业进行安全检查、维护保养等工作。</w:t>
      </w:r>
    </w:p>
    <w:p>
      <w:pPr>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第十三条</w:t>
      </w:r>
      <w:r>
        <w:rPr>
          <w:rFonts w:hint="eastAsia" w:ascii="仿宋_GB2312" w:hAnsi="仿宋_GB2312" w:eastAsia="仿宋_GB2312" w:cs="仿宋_GB2312"/>
          <w:sz w:val="32"/>
          <w:szCs w:val="32"/>
          <w:highlight w:val="none"/>
        </w:rPr>
        <w:t xml:space="preserve"> </w:t>
      </w:r>
      <w:bookmarkStart w:id="15" w:name="_Hlk23868491"/>
      <w:r>
        <w:rPr>
          <w:rFonts w:hint="eastAsia" w:ascii="仿宋_GB2312" w:hAnsi="仿宋_GB2312" w:eastAsia="仿宋_GB2312" w:cs="仿宋_GB2312"/>
          <w:sz w:val="32"/>
          <w:szCs w:val="32"/>
          <w:highlight w:val="none"/>
        </w:rPr>
        <w:t>本物业管理区域内业主、物业使用人禁止出现下列行为：</w:t>
      </w:r>
      <w:bookmarkEnd w:id="15"/>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（一）损坏或者擅自变动房屋承重结构</w:t>
      </w:r>
      <w:r>
        <w:rPr>
          <w:rFonts w:hint="eastAsia" w:ascii="仿宋_GB2312" w:hAnsi="仿宋_GB2312" w:eastAsia="仿宋_GB2312" w:cs="仿宋_GB2312"/>
          <w:sz w:val="32"/>
          <w:szCs w:val="32"/>
          <w:highlight w:val="none"/>
        </w:rPr>
        <w:t>和</w:t>
      </w:r>
      <w:r>
        <w:rPr>
          <w:rFonts w:hint="eastAsia" w:ascii="仿宋_GB2312" w:hAnsi="仿宋_GB2312" w:eastAsia="仿宋_GB2312" w:cs="仿宋_GB2312"/>
          <w:kern w:val="0"/>
          <w:sz w:val="32"/>
          <w:szCs w:val="32"/>
          <w:highlight w:val="none"/>
        </w:rPr>
        <w:t xml:space="preserve">主体结构； </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（二）将房间或者阳台改为卫生间、厨房，或者将卫生间改在下层住户的卧室、起居室(厅)、书房和厨房的上方； </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（三）未经批准擅自改变房屋内部防火分隔，影响消防安全和疏散要求；</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（四）破坏或者擅自改变房屋外观；</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（五）违法建造建筑物、构筑物；</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（六）损坏或者擅自占用、改建</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 xml:space="preserve">共有物业； </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（七）损坏或者擅自占用、移装共用设施设备；</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（八）擅自建设、接驳排水系统；</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（九）擅自占用、改建、扩建本物业管理区域内道路进行摆摊设点；</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（十）擅自占用、堵塞、封闭本物业管理区域消防通道；</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（十一）存放不符合安全标准的易燃、易爆、剧毒、放射性等危险性物品，排放有毒、有害物质；</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（十二）侵占或损坏道路、绿地、花卉树木、艺术景观及文体休闲等设施设备；</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（十三）在建筑顶层搭棚设架和随意堆放杂物，或在建筑物阳台边沿、窗口及外墙堆放、吊挂物品，或从建筑物内抛掷物品危害他人人身财产安全或者破坏环境卫生等行为；</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（十四）制造超过国家标准的噪声（包括大音量播放电视、音响、举行喧闹的聚会、舞会、机器设备噪声等），影响他人正常生活、工作和学习；</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（十五）在共有物业和公共场所悬挂、张贴或乱涂乱画；</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（十六）违反有关规定饲养家禽、家畜及宠物；</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（十七）其他法律、法规规定禁止的行为。</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（十八）</w:t>
      </w:r>
      <w:r>
        <w:rPr>
          <w:rFonts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rPr>
        <w:t>小区</w:t>
      </w:r>
      <w:r>
        <w:rPr>
          <w:rFonts w:ascii="仿宋_GB2312" w:hAnsi="仿宋_GB2312" w:eastAsia="仿宋_GB2312" w:cs="仿宋_GB2312"/>
          <w:sz w:val="32"/>
          <w:szCs w:val="32"/>
          <w:highlight w:val="none"/>
        </w:rPr>
        <w:t>疏散走道、楼梯间、安全出口停放电动自行车或者为电动自行车充电。</w:t>
      </w:r>
    </w:p>
    <w:p>
      <w:pPr>
        <w:adjustRightInd w:val="0"/>
        <w:snapToGrid w:val="0"/>
        <w:spacing w:line="560" w:lineRule="exact"/>
        <w:ind w:firstLine="640" w:firstLineChars="200"/>
        <w:jc w:val="left"/>
        <w:rPr>
          <w:rFonts w:hint="default"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（十九）</w:t>
      </w:r>
      <w:r>
        <w:rPr>
          <w:rFonts w:hint="default" w:ascii="仿宋_GB2312" w:hAnsi="仿宋_GB2312" w:eastAsia="仿宋_GB2312" w:cs="仿宋_GB2312"/>
          <w:sz w:val="32"/>
          <w:szCs w:val="32"/>
          <w:highlight w:val="none"/>
        </w:rPr>
        <w:t>本住宅小区设置部分集中充电设施，具体位置在小区地下非机动车停车库和地面非机动车停车棚处，业主、使用人应当使用本住宅小区集中充电设施为电动自行车充电。</w:t>
      </w:r>
    </w:p>
    <w:p>
      <w:pPr>
        <w:adjustRightInd w:val="0"/>
        <w:snapToGrid w:val="0"/>
        <w:spacing w:line="560" w:lineRule="exact"/>
        <w:ind w:firstLine="640" w:firstLineChars="200"/>
        <w:jc w:val="left"/>
        <w:rPr>
          <w:rFonts w:hint="default"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（二十）</w:t>
      </w:r>
      <w:r>
        <w:rPr>
          <w:rFonts w:hint="default" w:ascii="仿宋_GB2312" w:hAnsi="仿宋_GB2312" w:eastAsia="仿宋_GB2312" w:cs="仿宋_GB2312"/>
          <w:sz w:val="32"/>
          <w:szCs w:val="32"/>
          <w:highlight w:val="none"/>
        </w:rPr>
        <w:t>严禁电动自行车进楼入户：电动自行车充电时应当确保安全，不得违反用电安全要求私拉电线和插座为电动自行车充电；</w:t>
      </w:r>
      <w:r>
        <w:rPr>
          <w:rFonts w:hint="eastAsia" w:ascii="仿宋_GB2312" w:hAnsi="仿宋_GB2312" w:eastAsia="仿宋_GB2312" w:cs="仿宋_GB2312"/>
          <w:sz w:val="32"/>
          <w:szCs w:val="32"/>
          <w:highlight w:val="none"/>
          <w:lang w:eastAsia="zh-CN"/>
        </w:rPr>
        <w:t>不得</w:t>
      </w:r>
      <w:r>
        <w:rPr>
          <w:rFonts w:hint="eastAsia" w:ascii="仿宋_GB2312" w:hAnsi="仿宋_GB2312" w:eastAsia="仿宋_GB2312" w:cs="仿宋_GB2312"/>
          <w:sz w:val="32"/>
          <w:szCs w:val="32"/>
          <w:highlight w:val="none"/>
          <w:lang w:val="en-US"/>
        </w:rPr>
        <w:t>将电动自行车电池携带至住房内充电</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rPr>
        <w:t>不得在首层门厅、共用走道、楼梯间、楼道等共用部位，以及疏散通道、安全出口、消防车通道及其两侧影响通行的区域、人员密集场所的室内区域</w:t>
      </w:r>
      <w:r>
        <w:rPr>
          <w:rFonts w:hint="eastAsia" w:ascii="仿宋_GB2312" w:hAnsi="仿宋_GB2312" w:eastAsia="仿宋_GB2312" w:cs="仿宋_GB2312"/>
          <w:sz w:val="32"/>
          <w:szCs w:val="32"/>
          <w:highlight w:val="none"/>
          <w:lang w:eastAsia="zh-CN"/>
        </w:rPr>
        <w:t>内</w:t>
      </w:r>
      <w:r>
        <w:rPr>
          <w:rFonts w:hint="default" w:ascii="仿宋_GB2312" w:hAnsi="仿宋_GB2312" w:eastAsia="仿宋_GB2312" w:cs="仿宋_GB2312"/>
          <w:sz w:val="32"/>
          <w:szCs w:val="32"/>
          <w:highlight w:val="none"/>
        </w:rPr>
        <w:t>停放、充电。</w:t>
      </w:r>
    </w:p>
    <w:p>
      <w:pPr>
        <w:adjustRightInd w:val="0"/>
        <w:snapToGrid w:val="0"/>
        <w:spacing w:line="560" w:lineRule="exact"/>
        <w:ind w:firstLine="640" w:firstLineChars="200"/>
        <w:jc w:val="left"/>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eastAsia="zh-CN"/>
        </w:rPr>
        <w:t>（二十一）</w:t>
      </w:r>
      <w:r>
        <w:rPr>
          <w:rFonts w:hint="default" w:ascii="仿宋_GB2312" w:hAnsi="仿宋_GB2312" w:eastAsia="仿宋_GB2312" w:cs="仿宋_GB2312"/>
          <w:sz w:val="32"/>
          <w:szCs w:val="32"/>
          <w:highlight w:val="none"/>
        </w:rPr>
        <w:t>电动自行车报警装置以鸣响方式报警后，其所有人或者使用人应当及时处理，避免长时间鸣响干扰他人正常生活。</w:t>
      </w:r>
    </w:p>
    <w:p>
      <w:pPr>
        <w:pStyle w:val="2"/>
        <w:ind w:firstLine="0"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rPr>
        <w:t xml:space="preserve">     </w:t>
      </w:r>
      <w:r>
        <w:rPr>
          <w:rFonts w:hint="eastAsia" w:ascii="仿宋_GB2312" w:hAnsi="仿宋_GB2312" w:eastAsia="仿宋_GB2312" w:cs="仿宋_GB2312"/>
          <w:sz w:val="32"/>
          <w:szCs w:val="32"/>
          <w:highlight w:val="none"/>
        </w:rPr>
        <w:t>本物业管理区域内发生前款所列行为时，业主、物业使用人有权投诉、举报，业主委员会、物业服务企业应当及时劝阻；对于劝阻无效的，业主委员会、物业服务企业应当及时报告</w:t>
      </w:r>
      <w:r>
        <w:rPr>
          <w:rFonts w:hint="eastAsia" w:ascii="仿宋" w:hAnsi="仿宋" w:eastAsia="仿宋" w:cs="仿宋"/>
          <w:kern w:val="1"/>
          <w:sz w:val="32"/>
          <w:szCs w:val="32"/>
          <w:highlight w:val="none"/>
        </w:rPr>
        <w:t>本物业</w:t>
      </w:r>
      <w:r>
        <w:rPr>
          <w:rFonts w:hint="eastAsia" w:ascii="仿宋_GB2312" w:hAnsi="仿宋_GB2312" w:eastAsia="仿宋_GB2312" w:cs="仿宋_GB2312"/>
          <w:sz w:val="32"/>
          <w:szCs w:val="32"/>
          <w:highlight w:val="none"/>
        </w:rPr>
        <w:t>所在地街道办事处或有关政府部门；街道办事处或有关政府部门在依法处理时，相关业主、物业使用人应当予以配合。</w:t>
      </w:r>
    </w:p>
    <w:bookmarkEnd w:id="13"/>
    <w:p>
      <w:pPr>
        <w:pStyle w:val="2"/>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第十四条</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业主、物业使用人装饰装修物业专有部分，或者进行其他涉及专有部分的安装、维修及高空作业等活动的，应当事先告知物业服务企业，并与其签订装饰装修管理服务协议，配合办理小散工程和零星作业备案。物业使用人签订协议时应当同时提供带有业主签字（章）同意装饰装修的书面意见。物业服务企业应当将装饰装修、小散工程和零星作业的禁止行为和注意事项书面告知业主、物业使用人。业主、物业使用人装饰装修物业、小散工程和零星作业时应遵守以下约定：</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（一）应在指定地点放置装饰装修材料及装修垃圾，不得擅自占用共有物业和公共场所；</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（二）施工期间应注意噪音问题，减轻或避免施工过程中对相邻业主、物业使用人的正常生活、学习和工作造成影响；晚间</w:t>
      </w:r>
    </w:p>
    <w:p>
      <w:pPr>
        <w:adjustRightInd w:val="0"/>
        <w:snapToGrid w:val="0"/>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18:00至次日上午9:00及节假日，不得从事敲、凿、锯、钻等产生噪音的施工；</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（三）未经有关政府部门批准，不得改变物业的功能、结构、外貌和用途，不得增加超出设计规范规定的负荷；</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（四）不得影响物业供电、供水、排水、供气、通讯等使用功能，如有损坏，相关业主、物业使用人应承担相应法律责任；</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（五）因装饰装修房屋影响共有物业、共用设施设备的正常使用或侵害相邻业主合法权益的，应及时恢复原状并承担相应法律责任；</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（六）按规定可以安装防盗网的，应按照统一的标准制作安装，以保持本物业管理区域外观统一；</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（七）如违反法律、法规的有关规定以及本规约、装饰装修管理服务协议的有关约定，且未及时予以更正的，则装饰装修保证金不予退还，暂存入业主共有资金账户中保管；</w:t>
      </w:r>
    </w:p>
    <w:p>
      <w:pPr>
        <w:pStyle w:val="2"/>
        <w:rPr>
          <w:rFonts w:eastAsia="仿宋_GB2312"/>
          <w:highlight w:val="none"/>
          <w:lang w:val="en-US"/>
        </w:rPr>
      </w:pPr>
      <w:r>
        <w:rPr>
          <w:rFonts w:hint="eastAsia" w:ascii="仿宋_GB2312" w:hAnsi="仿宋_GB2312" w:eastAsia="仿宋_GB2312" w:cs="仿宋_GB2312"/>
          <w:sz w:val="32"/>
          <w:szCs w:val="32"/>
          <w:highlight w:val="none"/>
          <w:lang w:val="en-US"/>
        </w:rPr>
        <w:t xml:space="preserve">    （八）外请施工单位对业主专有部分进行临空点高处作业的，应主动配合管理处要求施工单位（人员）办理相关施工手续，督促施工单位（人员）做好高处作业安全工作。</w:t>
      </w:r>
    </w:p>
    <w:p>
      <w:pPr>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第十五条</w:t>
      </w: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sz w:val="32"/>
          <w:szCs w:val="32"/>
          <w:highlight w:val="none"/>
        </w:rPr>
        <w:t>业主、物业使用人在物业使用过程中，应遵守下列约定：</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（一）空调安装：应按设计预留的位置安装空调，未预留设计位置的，应按物业服务企业指定的位置安装，并按要求做好噪音及冷凝水的处理。</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（二）电梯使用：安全、规范地使用电梯、扶梯，遵守本物业管理区域的电梯、扶梯使用管理规定。损坏电梯设备的，相关业主、物业使用人应承担相应法律责任。</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（三）车辆停放：本物业管理区域内的车辆行驶和停放，应遵守以下规则：</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1.超过2.5m高度以上的货车、大型客车以及载有易爆、剧毒、放射性等危险品的车辆禁止进入本物业管理区域；</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2.机动车辆在本物业管理区域内行驶，时速不得超过15公里，禁止鸣笛、练车；</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3.机动车应在规定的车位停放，禁止在消防通道、消防井盖、绿地等场地停放；</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4.按规定缴纳机动车停放服务费；</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5.未经业主共同决定，禁止擅自在停车位上安装任何装置，车辆停放期间，防盗报警器应使用静音，防止发生噪音影响他人正常的生活、学习、工作和休息；</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w:t>
      </w:r>
      <w:r>
        <w:rPr>
          <w:rFonts w:ascii="仿宋_GB2312" w:hAnsi="仿宋_GB2312" w:eastAsia="仿宋_GB2312" w:cs="仿宋_GB2312"/>
          <w:sz w:val="32"/>
          <w:szCs w:val="32"/>
          <w:highlight w:val="none"/>
        </w:rPr>
        <w:t>.</w:t>
      </w:r>
      <w:r>
        <w:rPr>
          <w:rFonts w:hint="eastAsia"/>
          <w:highlight w:val="none"/>
        </w:rPr>
        <w:t xml:space="preserve"> </w:t>
      </w:r>
      <w:r>
        <w:rPr>
          <w:rFonts w:hint="eastAsia" w:ascii="仿宋_GB2312" w:hAnsi="仿宋_GB2312" w:eastAsia="仿宋_GB2312" w:cs="仿宋_GB2312"/>
          <w:sz w:val="32"/>
          <w:szCs w:val="32"/>
          <w:highlight w:val="none"/>
        </w:rPr>
        <w:t>禁止在用于停放汽车的车位（库）上停放电动摩托车、电动自行车和自行车；</w:t>
      </w:r>
    </w:p>
    <w:p>
      <w:pPr>
        <w:adjustRightInd w:val="0"/>
        <w:snapToGrid w:val="0"/>
        <w:spacing w:line="560" w:lineRule="exact"/>
        <w:ind w:firstLine="640" w:firstLineChars="200"/>
        <w:jc w:val="left"/>
        <w:rPr>
          <w:rFonts w:eastAsia="仿宋_GB2312"/>
          <w:highlight w:val="none"/>
        </w:rPr>
      </w:pPr>
      <w:r>
        <w:rPr>
          <w:rFonts w:hint="eastAsia" w:ascii="仿宋_GB2312" w:hAnsi="仿宋_GB2312" w:eastAsia="仿宋_GB2312" w:cs="仿宋_GB2312"/>
          <w:sz w:val="32"/>
          <w:szCs w:val="32"/>
          <w:highlight w:val="none"/>
        </w:rPr>
        <w:t xml:space="preserve"> 7.禁止</w:t>
      </w:r>
      <w:r>
        <w:rPr>
          <w:rFonts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rPr>
        <w:t>小区</w:t>
      </w:r>
      <w:r>
        <w:rPr>
          <w:rFonts w:ascii="仿宋_GB2312" w:hAnsi="仿宋_GB2312" w:eastAsia="仿宋_GB2312" w:cs="仿宋_GB2312"/>
          <w:sz w:val="32"/>
          <w:szCs w:val="32"/>
          <w:highlight w:val="none"/>
        </w:rPr>
        <w:t>疏散走道、楼梯间、安全出口停放电动自行车或者为电动自行车充电。</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（四）休闲娱乐：广场舞时间不应早于8点整或超过9点整，白天音乐声不得超过</w:t>
      </w:r>
      <w:r>
        <w:rPr>
          <w:rFonts w:hint="eastAsia" w:ascii="仿宋_GB2312" w:hAnsi="仿宋_GB2312" w:eastAsia="仿宋_GB2312" w:cs="仿宋_GB2312"/>
          <w:sz w:val="32"/>
          <w:szCs w:val="32"/>
          <w:highlight w:val="none"/>
          <w:u w:val="single"/>
        </w:rPr>
        <w:t>55</w:t>
      </w:r>
      <w:r>
        <w:rPr>
          <w:rFonts w:hint="eastAsia" w:ascii="仿宋_GB2312" w:hAnsi="仿宋_GB2312" w:eastAsia="仿宋_GB2312" w:cs="仿宋_GB2312"/>
          <w:sz w:val="32"/>
          <w:szCs w:val="32"/>
          <w:highlight w:val="none"/>
        </w:rPr>
        <w:t>分贝，晚上不得超过</w:t>
      </w:r>
      <w:r>
        <w:rPr>
          <w:rFonts w:hint="eastAsia" w:ascii="仿宋_GB2312" w:hAnsi="仿宋_GB2312" w:eastAsia="仿宋_GB2312" w:cs="仿宋_GB2312"/>
          <w:sz w:val="32"/>
          <w:szCs w:val="32"/>
          <w:highlight w:val="none"/>
          <w:u w:val="single"/>
        </w:rPr>
        <w:t>45</w:t>
      </w:r>
      <w:r>
        <w:rPr>
          <w:rFonts w:hint="eastAsia" w:ascii="仿宋_GB2312" w:hAnsi="仿宋_GB2312" w:eastAsia="仿宋_GB2312" w:cs="仿宋_GB2312"/>
          <w:sz w:val="32"/>
          <w:szCs w:val="32"/>
          <w:highlight w:val="none"/>
        </w:rPr>
        <w:t>分贝；在每年高考和中考前3天或其他特殊时间段，应暂停所有带有音响设备的健身</w:t>
      </w:r>
      <w:bookmarkStart w:id="16" w:name="_Hlk15555565"/>
      <w:r>
        <w:rPr>
          <w:rFonts w:hint="eastAsia" w:ascii="仿宋_GB2312" w:hAnsi="仿宋_GB2312" w:eastAsia="仿宋_GB2312" w:cs="仿宋_GB2312"/>
          <w:sz w:val="32"/>
          <w:szCs w:val="32"/>
          <w:highlight w:val="none"/>
        </w:rPr>
        <w:t>等休闲娱乐</w:t>
      </w:r>
      <w:bookmarkEnd w:id="16"/>
      <w:r>
        <w:rPr>
          <w:rFonts w:hint="eastAsia" w:ascii="仿宋_GB2312" w:hAnsi="仿宋_GB2312" w:eastAsia="仿宋_GB2312" w:cs="仿宋_GB2312"/>
          <w:sz w:val="32"/>
          <w:szCs w:val="32"/>
          <w:highlight w:val="none"/>
        </w:rPr>
        <w:t>活动。</w:t>
      </w:r>
    </w:p>
    <w:p>
      <w:pPr>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第十六条</w:t>
      </w:r>
      <w:r>
        <w:rPr>
          <w:rFonts w:hint="eastAsia" w:ascii="仿宋_GB2312" w:hAnsi="仿宋_GB2312" w:eastAsia="仿宋_GB2312" w:cs="仿宋_GB2312"/>
          <w:b/>
          <w:bCs/>
          <w:sz w:val="32"/>
          <w:szCs w:val="32"/>
          <w:highlight w:val="none"/>
        </w:rPr>
        <w:t xml:space="preserve"> </w:t>
      </w:r>
      <w:bookmarkStart w:id="17" w:name="_Hlk15555675"/>
      <w:r>
        <w:rPr>
          <w:rFonts w:hint="eastAsia" w:ascii="仿宋_GB2312" w:hAnsi="仿宋_GB2312" w:eastAsia="仿宋_GB2312" w:cs="仿宋_GB2312"/>
          <w:sz w:val="32"/>
          <w:szCs w:val="32"/>
          <w:highlight w:val="none"/>
        </w:rPr>
        <w:t>业主、物业使用人在本物业管理区域内饲养动物不得违反法律、法规的规定，并应遵守以下约定：</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（一）履行养犬登记制度，养犬人应当到本物业所在地相关政府部门申请养犬登记。未经登记的，任何单位和个人不得擅自饲养犬只；</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（二）不得饲养烈性犬和大型犬；</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（三）不得影响其他业主、物业使用人的正常生活、工作和学习，犬吠影响他人的，养犬人应当采取有效措施予以制止；</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（四）进入共有物业和公共场所应当采取有效措施防止犬只伤人；</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（五）应当及时处置动物的排泄物，不得影响公共环境的卫生和美观；</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（六）禁止在本物业管理区域内设立犬只养殖、销售场所；</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黑体" w:hAnsi="黑体" w:eastAsia="黑体"/>
          <w:sz w:val="32"/>
          <w:szCs w:val="32"/>
          <w:highlight w:val="none"/>
        </w:rPr>
        <w:t>第十七条</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本物业管理区域内，业主、物业使用人应当遵守法律、法规中关于生活垃圾分类投放的有关规定，禁止乱扔生活垃圾。</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接受本物业管理区域内</w:t>
      </w:r>
      <w:r>
        <w:rPr>
          <w:rFonts w:hint="eastAsia" w:ascii="仿宋_GB2312" w:hAnsi="仿宋_GB2312" w:eastAsia="仿宋_GB2312" w:cs="仿宋_GB2312"/>
          <w:spacing w:val="-6"/>
          <w:sz w:val="32"/>
          <w:szCs w:val="32"/>
          <w:highlight w:val="none"/>
        </w:rPr>
        <w:t>生活垃圾分类投放管理责任人</w:t>
      </w:r>
      <w:r>
        <w:rPr>
          <w:rFonts w:hint="eastAsia" w:ascii="仿宋_GB2312" w:hAnsi="仿宋_GB2312" w:eastAsia="仿宋_GB2312" w:cs="仿宋_GB2312"/>
          <w:sz w:val="32"/>
          <w:szCs w:val="32"/>
          <w:highlight w:val="none"/>
        </w:rPr>
        <w:t>的管理。</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在不侵犯他人隐私的前提下，生活垃圾分类投放管理责任人可以采取在生活垃圾分类点安装监控设施等措施就前款禁止的行为采集相应证据。安装、维护监控所需费用从业主共有资金中列支。</w:t>
      </w:r>
    </w:p>
    <w:bookmarkEnd w:id="17"/>
    <w:p>
      <w:pPr>
        <w:spacing w:line="560" w:lineRule="exact"/>
        <w:ind w:firstLine="640" w:firstLineChars="200"/>
        <w:rPr>
          <w:rFonts w:hint="eastAsia" w:ascii="仿宋_GB2312" w:hAnsi="仿宋_GB2312" w:eastAsia="仿宋_GB2312" w:cs="仿宋_GB2312"/>
          <w:sz w:val="32"/>
          <w:szCs w:val="32"/>
          <w:highlight w:val="none"/>
        </w:rPr>
      </w:pPr>
      <w:r>
        <w:rPr>
          <w:rFonts w:hint="eastAsia" w:ascii="黑体" w:hAnsi="黑体" w:eastAsia="黑体"/>
          <w:sz w:val="32"/>
          <w:szCs w:val="32"/>
          <w:highlight w:val="none"/>
        </w:rPr>
        <w:t>第十八条</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本物业管理区域内的车位（库），应当优先满足本物业管理区域内业主的停车需要。</w:t>
      </w:r>
    </w:p>
    <w:p>
      <w:pPr>
        <w:spacing w:line="560" w:lineRule="exact"/>
        <w:ind w:firstLine="640" w:firstLineChars="200"/>
        <w:rPr>
          <w:highlight w:val="none"/>
        </w:rPr>
      </w:pPr>
      <w:r>
        <w:rPr>
          <w:rFonts w:hint="eastAsia" w:ascii="仿宋_GB2312" w:hAnsi="仿宋_GB2312" w:eastAsia="仿宋_GB2312" w:cs="仿宋_GB2312"/>
          <w:sz w:val="32"/>
          <w:szCs w:val="32"/>
          <w:highlight w:val="none"/>
          <w:lang w:val="en-US" w:eastAsia="zh-CN"/>
        </w:rPr>
        <w:t>本物业管理区域内住宅房屋、非住宅房屋、配套建设的停车位以及其他共用部分应当由一家物业服务企业实施统一管理。</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本物业管理区域的车位、车库使用情况按月由物业服务企业按照《深圳经济特区物业管理条例》规定的方式予以公示。公示的内容包括可使用车位、车库的总数，车位、车库使用信息等。</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黑体" w:hAnsi="黑体" w:eastAsia="黑体"/>
          <w:sz w:val="32"/>
          <w:szCs w:val="32"/>
          <w:highlight w:val="none"/>
        </w:rPr>
        <w:t>第十九条</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本物业管理区域内业主、物业使用人将房屋进行租赁的，不得擅自改变房屋原设计功能和布局；不得将原始设计为居住空间的房屋分割、分隔后出租；不得将原始设计为厨房、卫生间、阳台和地下储藏室等非居住空间通过改建、搭建后出租供人居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业主转让或者出租物业的，应当将本规约作为物业专有部分转让合同或者租赁合同的附件；当事人应当自物业专有部分买卖合同或者租赁合同签订之日起</w:t>
      </w:r>
      <w:r>
        <w:rPr>
          <w:rFonts w:hint="eastAsia" w:ascii="仿宋_GB2312" w:hAnsi="仿宋_GB2312" w:eastAsia="仿宋_GB2312" w:cs="仿宋_GB2312"/>
          <w:kern w:val="2"/>
          <w:sz w:val="32"/>
          <w:szCs w:val="32"/>
          <w:highlight w:val="none"/>
          <w:lang w:val="en-US" w:eastAsia="zh-CN" w:bidi="ar-SA"/>
        </w:rPr>
        <w:t xml:space="preserve"> </w:t>
      </w:r>
      <w:r>
        <w:rPr>
          <w:rFonts w:hint="default" w:ascii="仿宋_GB2312" w:hAnsi="仿宋_GB2312" w:eastAsia="仿宋_GB2312" w:cs="仿宋_GB2312"/>
          <w:kern w:val="2"/>
          <w:sz w:val="32"/>
          <w:szCs w:val="32"/>
          <w:highlight w:val="none"/>
          <w:lang w:val="en-US" w:eastAsia="zh-CN" w:bidi="ar-SA"/>
        </w:rPr>
        <w:t>30</w:t>
      </w:r>
      <w:r>
        <w:rPr>
          <w:rFonts w:hint="eastAsia" w:ascii="仿宋_GB2312" w:hAnsi="仿宋_GB2312" w:eastAsia="仿宋_GB2312" w:cs="仿宋_GB2312"/>
          <w:kern w:val="2"/>
          <w:sz w:val="32"/>
          <w:szCs w:val="32"/>
          <w:highlight w:val="none"/>
          <w:lang w:val="en-US" w:eastAsia="zh-CN" w:bidi="ar-SA"/>
        </w:rPr>
        <w:t xml:space="preserve"> </w:t>
      </w:r>
      <w:r>
        <w:rPr>
          <w:rFonts w:hint="default" w:ascii="仿宋_GB2312" w:hAnsi="仿宋_GB2312" w:eastAsia="仿宋_GB2312" w:cs="仿宋_GB2312"/>
          <w:kern w:val="2"/>
          <w:sz w:val="32"/>
          <w:szCs w:val="32"/>
          <w:highlight w:val="none"/>
          <w:lang w:val="en-US" w:eastAsia="zh-CN" w:bidi="ar-SA"/>
        </w:rPr>
        <w:t>日内，将物业专有部分转让或者出租情况以及通讯方式向政府相关管理部门备案，同时告知物业服务企业，物业服务企业应当及时告知</w:t>
      </w:r>
      <w:r>
        <w:rPr>
          <w:rFonts w:hint="eastAsia" w:ascii="仿宋_GB2312" w:hAnsi="仿宋_GB2312" w:eastAsia="仿宋_GB2312" w:cs="仿宋_GB2312"/>
          <w:kern w:val="2"/>
          <w:sz w:val="32"/>
          <w:szCs w:val="32"/>
          <w:highlight w:val="none"/>
          <w:lang w:val="en-US" w:eastAsia="zh-CN" w:bidi="ar-SA"/>
        </w:rPr>
        <w:t>业主委员会</w:t>
      </w:r>
      <w:r>
        <w:rPr>
          <w:rFonts w:hint="default" w:ascii="仿宋_GB2312" w:hAnsi="仿宋_GB2312" w:eastAsia="仿宋_GB2312" w:cs="仿宋_GB2312"/>
          <w:kern w:val="2"/>
          <w:sz w:val="32"/>
          <w:szCs w:val="32"/>
          <w:highlight w:val="none"/>
          <w:lang w:val="en-US" w:eastAsia="zh-CN" w:bidi="ar-SA"/>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业主出租房屋必须符合本市规定的房屋出租条件、最小出租单位、最低承租面积和租住人数限制等相关规定：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ascii="仿宋_GB2312" w:hAnsi="仿宋_GB2312" w:eastAsia="仿宋_GB2312" w:cs="仿宋_GB2312"/>
          <w:i w:val="0"/>
          <w:caps w:val="0"/>
          <w:spacing w:val="0"/>
          <w:kern w:val="2"/>
          <w:sz w:val="32"/>
          <w:szCs w:val="32"/>
          <w:highlight w:val="none"/>
          <w:lang w:bidi="ar-SA"/>
        </w:rPr>
      </w:pPr>
      <w:r>
        <w:rPr>
          <w:rFonts w:hint="default" w:ascii="仿宋_GB2312" w:hAnsi="仿宋_GB2312" w:eastAsia="仿宋_GB2312" w:cs="仿宋_GB2312"/>
          <w:i w:val="0"/>
          <w:caps w:val="0"/>
          <w:spacing w:val="0"/>
          <w:kern w:val="2"/>
          <w:sz w:val="32"/>
          <w:szCs w:val="32"/>
          <w:highlight w:val="none"/>
          <w:shd w:val="clear" w:fill="auto"/>
          <w:lang w:val="en-US" w:bidi="ar-SA"/>
        </w:rPr>
        <w:t>1</w:t>
      </w:r>
      <w:r>
        <w:rPr>
          <w:rFonts w:hint="default" w:ascii="仿宋_GB2312" w:hAnsi="仿宋_GB2312" w:eastAsia="仿宋_GB2312" w:cs="仿宋_GB2312"/>
          <w:i w:val="0"/>
          <w:caps w:val="0"/>
          <w:spacing w:val="0"/>
          <w:kern w:val="2"/>
          <w:sz w:val="32"/>
          <w:szCs w:val="32"/>
          <w:highlight w:val="none"/>
          <w:shd w:val="clear" w:fill="auto"/>
          <w:lang w:bidi="ar-SA"/>
        </w:rPr>
        <w:t>、业主、</w:t>
      </w:r>
      <w:r>
        <w:rPr>
          <w:rFonts w:hint="default" w:ascii="仿宋_GB2312" w:hAnsi="仿宋_GB2312" w:eastAsia="仿宋_GB2312" w:cs="仿宋_GB2312"/>
          <w:i w:val="0"/>
          <w:caps w:val="0"/>
          <w:spacing w:val="0"/>
          <w:kern w:val="2"/>
          <w:sz w:val="32"/>
          <w:szCs w:val="32"/>
          <w:highlight w:val="none"/>
          <w:shd w:val="clear" w:fill="auto"/>
          <w:lang w:eastAsia="zh-CN" w:bidi="ar-SA"/>
        </w:rPr>
        <w:t>物业</w:t>
      </w:r>
      <w:r>
        <w:rPr>
          <w:rFonts w:hint="default" w:ascii="仿宋_GB2312" w:hAnsi="仿宋_GB2312" w:eastAsia="仿宋_GB2312" w:cs="仿宋_GB2312"/>
          <w:i w:val="0"/>
          <w:caps w:val="0"/>
          <w:spacing w:val="0"/>
          <w:kern w:val="2"/>
          <w:sz w:val="32"/>
          <w:szCs w:val="32"/>
          <w:highlight w:val="none"/>
          <w:shd w:val="clear" w:fill="auto"/>
          <w:lang w:bidi="ar-SA"/>
        </w:rPr>
        <w:t>使用人不得将房屋用作集体宿舍出租；</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default" w:ascii="仿宋_GB2312" w:hAnsi="仿宋_GB2312" w:eastAsia="仿宋_GB2312" w:cs="仿宋_GB2312"/>
          <w:i w:val="0"/>
          <w:caps w:val="0"/>
          <w:spacing w:val="0"/>
          <w:kern w:val="2"/>
          <w:sz w:val="32"/>
          <w:szCs w:val="32"/>
          <w:highlight w:val="none"/>
          <w:lang w:bidi="ar-SA"/>
        </w:rPr>
      </w:pPr>
      <w:r>
        <w:rPr>
          <w:rFonts w:hint="default" w:ascii="仿宋_GB2312" w:hAnsi="仿宋_GB2312" w:eastAsia="仿宋_GB2312" w:cs="仿宋_GB2312"/>
          <w:i w:val="0"/>
          <w:caps w:val="0"/>
          <w:spacing w:val="0"/>
          <w:kern w:val="2"/>
          <w:sz w:val="32"/>
          <w:szCs w:val="32"/>
          <w:highlight w:val="none"/>
          <w:shd w:val="clear" w:fill="auto"/>
          <w:lang w:val="en-US" w:bidi="ar-SA"/>
        </w:rPr>
        <w:t>2</w:t>
      </w:r>
      <w:r>
        <w:rPr>
          <w:rFonts w:hint="default" w:ascii="仿宋_GB2312" w:hAnsi="仿宋_GB2312" w:eastAsia="仿宋_GB2312" w:cs="仿宋_GB2312"/>
          <w:i w:val="0"/>
          <w:caps w:val="0"/>
          <w:spacing w:val="0"/>
          <w:kern w:val="2"/>
          <w:sz w:val="32"/>
          <w:szCs w:val="32"/>
          <w:highlight w:val="none"/>
          <w:shd w:val="clear" w:fill="auto"/>
          <w:lang w:bidi="ar-SA"/>
        </w:rPr>
        <w:t>、不得擅自改变房屋原设计功能和布局；不得将一间原始设计为居住空间的房间分割、分隔、搭建后出租，或按床位出租；</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default" w:ascii="仿宋_GB2312" w:hAnsi="仿宋_GB2312" w:eastAsia="仿宋_GB2312" w:cs="仿宋_GB2312"/>
          <w:i w:val="0"/>
          <w:caps w:val="0"/>
          <w:spacing w:val="0"/>
          <w:kern w:val="2"/>
          <w:sz w:val="32"/>
          <w:szCs w:val="32"/>
          <w:highlight w:val="none"/>
          <w:lang w:bidi="ar-SA"/>
        </w:rPr>
      </w:pPr>
      <w:r>
        <w:rPr>
          <w:rFonts w:hint="default" w:ascii="仿宋_GB2312" w:hAnsi="仿宋_GB2312" w:eastAsia="仿宋_GB2312" w:cs="仿宋_GB2312"/>
          <w:i w:val="0"/>
          <w:caps w:val="0"/>
          <w:spacing w:val="0"/>
          <w:kern w:val="2"/>
          <w:sz w:val="32"/>
          <w:szCs w:val="32"/>
          <w:highlight w:val="none"/>
          <w:shd w:val="clear" w:fill="auto"/>
          <w:lang w:val="en-US" w:bidi="ar-SA"/>
        </w:rPr>
        <w:t>3</w:t>
      </w:r>
      <w:r>
        <w:rPr>
          <w:rFonts w:hint="default" w:ascii="仿宋_GB2312" w:hAnsi="仿宋_GB2312" w:eastAsia="仿宋_GB2312" w:cs="仿宋_GB2312"/>
          <w:i w:val="0"/>
          <w:caps w:val="0"/>
          <w:spacing w:val="0"/>
          <w:kern w:val="2"/>
          <w:sz w:val="32"/>
          <w:szCs w:val="32"/>
          <w:highlight w:val="none"/>
          <w:shd w:val="clear" w:fill="auto"/>
          <w:lang w:bidi="ar-SA"/>
        </w:rPr>
        <w:t>、不得将原始设计为厨房、卫生间、阳台和地下储藏室等非居住空间出租供人员居住；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i w:val="0"/>
          <w:caps w:val="0"/>
          <w:spacing w:val="0"/>
          <w:kern w:val="2"/>
          <w:sz w:val="32"/>
          <w:szCs w:val="32"/>
          <w:highlight w:val="none"/>
          <w:shd w:val="clear" w:fill="auto"/>
          <w:lang w:bidi="ar-SA"/>
        </w:rPr>
        <w:t>业主转让物业应当与物业服务企业结清物业费、物业服务资金，补足专项维修资金；业主出租物业的，业主需按时交纳物业费，业主和承租人内部约定不得对抗业主义务。</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业主、物业使用人有上述行为，物业服务企业、业主委员会可书面要求业主、物业使用人限期整改。业主、物业使用人应当及时整改，并采取措施，确保出租房屋的使用安全。</w:t>
      </w:r>
    </w:p>
    <w:p>
      <w:pPr>
        <w:numPr>
          <w:ilvl w:val="0"/>
          <w:numId w:val="1"/>
        </w:numPr>
        <w:spacing w:beforeLines="50" w:afterLines="50" w:line="560" w:lineRule="exact"/>
        <w:jc w:val="center"/>
        <w:rPr>
          <w:rFonts w:ascii="黑体" w:hAnsi="黑体" w:eastAsia="黑体"/>
          <w:sz w:val="32"/>
          <w:szCs w:val="32"/>
          <w:highlight w:val="none"/>
        </w:rPr>
      </w:pPr>
      <w:r>
        <w:rPr>
          <w:rFonts w:hint="eastAsia" w:ascii="黑体" w:hAnsi="黑体" w:eastAsia="黑体"/>
          <w:sz w:val="32"/>
          <w:szCs w:val="32"/>
          <w:highlight w:val="none"/>
        </w:rPr>
        <w:t>物业维修、养护和共有资金管理</w:t>
      </w:r>
    </w:p>
    <w:p>
      <w:pPr>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第二十条</w:t>
      </w:r>
      <w:r>
        <w:rPr>
          <w:rFonts w:hint="eastAsia" w:ascii="仿宋_GB2312" w:hAnsi="仿宋_GB2312" w:eastAsia="仿宋_GB2312" w:cs="仿宋_GB2312"/>
          <w:sz w:val="32"/>
          <w:szCs w:val="32"/>
          <w:highlight w:val="none"/>
        </w:rPr>
        <w:t xml:space="preserve"> 业主、物业使用人应当按照下列规定维修、养护物业：</w:t>
      </w:r>
    </w:p>
    <w:p>
      <w:pPr>
        <w:numPr>
          <w:ilvl w:val="0"/>
          <w:numId w:val="3"/>
        </w:num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对物业专有部分的维修、养护，不得侵害其他业主的合法权益；</w:t>
      </w:r>
    </w:p>
    <w:p>
      <w:pPr>
        <w:numPr>
          <w:ilvl w:val="0"/>
          <w:numId w:val="3"/>
        </w:num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因维修养护专有部分，确需临时占用、挖掘道路和场地的，业主、物业使用人应当书面告知物业服务企业、业主委员会，并应在约定期限内恢复原状，如造成第三方损失的，应当承担相应法律责任；</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如物业服务企业因维修养护共有物业确需进入相关业主物业专有部分时，相关业主、物业使用人应予以配合；业主、物业使用人因维护专有部分需进入其他业主物业专有部分的，其他业主、物业使用人应当提供方便；相关业主、物业使用人阻挠维修、养护造成物业损坏及其他损失的，应及时修复，并承担相应法律责任；</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物业专有部分在使用中存在安全隐患，已经或者即将危及公共利益及他人利益的，业主、物业使用人应当及时维修；业主、物业使用人不履行或者无法履行维修义务的，应急维修单位可在公安机关或者本物业所在地街道办事处到场见证下实施应急维修，维修中发生的费用由相应的业主、物业使用人承担。</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黑体" w:hAnsi="黑体" w:eastAsia="黑体"/>
          <w:sz w:val="32"/>
          <w:szCs w:val="32"/>
          <w:highlight w:val="none"/>
        </w:rPr>
        <w:t>第二十一条</w:t>
      </w:r>
      <w:r>
        <w:rPr>
          <w:rFonts w:hint="eastAsia" w:ascii="仿宋_GB2312" w:hAnsi="仿宋_GB2312" w:eastAsia="仿宋_GB2312" w:cs="仿宋_GB2312"/>
          <w:sz w:val="32"/>
          <w:szCs w:val="32"/>
          <w:highlight w:val="none"/>
        </w:rPr>
        <w:t xml:space="preserve"> 业主委员会、物业服务企业从事物业维护、修缮、装修监督等工作时，业主、物业使用人应当提供方便。供水、排水、供电、供气、通讯等</w:t>
      </w:r>
      <w:r>
        <w:rPr>
          <w:rFonts w:hint="eastAsia" w:ascii="仿宋_GB2312" w:hAnsi="仿宋_GB2312" w:eastAsia="仿宋_GB2312" w:cs="仿宋_GB2312"/>
          <w:kern w:val="1"/>
          <w:sz w:val="32"/>
          <w:szCs w:val="32"/>
          <w:highlight w:val="none"/>
        </w:rPr>
        <w:t>相关专营单位</w:t>
      </w:r>
      <w:r>
        <w:rPr>
          <w:rFonts w:hint="eastAsia" w:ascii="仿宋_GB2312" w:hAnsi="仿宋_GB2312" w:eastAsia="仿宋_GB2312" w:cs="仿宋_GB2312"/>
          <w:sz w:val="32"/>
          <w:szCs w:val="32"/>
          <w:highlight w:val="none"/>
        </w:rPr>
        <w:t>因维护、修缮、改造或者设置管线等工作，需要进入本物业管理区域或者使用业主物业专有部分时，业主委员会、物业服务企业、业主、物业使用人等应当予以配合，提供便利，并不得擅自收取费用。</w:t>
      </w:r>
    </w:p>
    <w:p>
      <w:pPr>
        <w:pStyle w:val="2"/>
        <w:adjustRightInd w:val="0"/>
        <w:ind w:firstLine="640" w:firstLineChars="200"/>
        <w:rPr>
          <w:rFonts w:hint="eastAsia" w:eastAsia="仿宋_GB2312"/>
          <w:highlight w:val="none"/>
          <w:lang w:eastAsia="zh-CN"/>
        </w:rPr>
      </w:pPr>
      <w:r>
        <w:rPr>
          <w:rFonts w:hint="eastAsia" w:ascii="仿宋_GB2312" w:hAnsi="仿宋_GB2312" w:eastAsia="仿宋_GB2312" w:cs="仿宋_GB2312"/>
          <w:sz w:val="32"/>
          <w:szCs w:val="32"/>
          <w:highlight w:val="none"/>
          <w:lang w:eastAsia="zh-CN"/>
        </w:rPr>
        <w:t>业主委员会、物业服务企业或者其他管理人执行政府依法实施的应急处置措施和其他管理措施，业主应当依法予以配合。</w:t>
      </w:r>
    </w:p>
    <w:p>
      <w:pPr>
        <w:tabs>
          <w:tab w:val="left" w:pos="5812"/>
        </w:tabs>
        <w:spacing w:line="560" w:lineRule="exact"/>
        <w:ind w:firstLine="641"/>
        <w:rPr>
          <w:rFonts w:ascii="仿宋_GB2312" w:hAnsi="仿宋_GB2312" w:eastAsia="仿宋_GB2312" w:cs="仿宋_GB2312"/>
          <w:sz w:val="32"/>
          <w:szCs w:val="32"/>
          <w:highlight w:val="none"/>
        </w:rPr>
      </w:pPr>
      <w:r>
        <w:rPr>
          <w:rFonts w:hint="eastAsia" w:ascii="黑体" w:hAnsi="黑体" w:eastAsia="黑体"/>
          <w:sz w:val="32"/>
          <w:szCs w:val="32"/>
          <w:highlight w:val="none"/>
        </w:rPr>
        <w:t>第二十二条</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业主共有资金包括：</w:t>
      </w:r>
    </w:p>
    <w:p>
      <w:pPr>
        <w:tabs>
          <w:tab w:val="left" w:pos="5812"/>
        </w:tabs>
        <w:spacing w:line="560" w:lineRule="exact"/>
        <w:ind w:firstLine="641"/>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（一）共有物业收益； </w:t>
      </w:r>
    </w:p>
    <w:p>
      <w:pPr>
        <w:tabs>
          <w:tab w:val="left" w:pos="5812"/>
        </w:tabs>
        <w:spacing w:line="560" w:lineRule="exact"/>
        <w:ind w:firstLine="641"/>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（二）物业专项维修资金；</w:t>
      </w:r>
    </w:p>
    <w:p>
      <w:pPr>
        <w:tabs>
          <w:tab w:val="left" w:pos="5812"/>
        </w:tabs>
        <w:spacing w:line="560" w:lineRule="exact"/>
        <w:ind w:firstLine="641"/>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（三）物业管理费；</w:t>
      </w:r>
    </w:p>
    <w:p>
      <w:pPr>
        <w:tabs>
          <w:tab w:val="left" w:pos="5812"/>
        </w:tabs>
        <w:spacing w:line="560" w:lineRule="exact"/>
        <w:ind w:firstLine="641"/>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（四）业主依据本规约或者业主大会决定分摊的费用；</w:t>
      </w:r>
    </w:p>
    <w:p>
      <w:pPr>
        <w:tabs>
          <w:tab w:val="left" w:pos="5812"/>
        </w:tabs>
        <w:spacing w:line="560" w:lineRule="exact"/>
        <w:ind w:firstLine="641"/>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（五）其他合法收入。</w:t>
      </w:r>
    </w:p>
    <w:p>
      <w:pPr>
        <w:tabs>
          <w:tab w:val="left" w:pos="5812"/>
        </w:tabs>
        <w:spacing w:line="560" w:lineRule="exact"/>
        <w:ind w:firstLine="641"/>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未经业主大会决定或者授权，任何单位和个人不得使用业主共有资金。</w:t>
      </w:r>
      <w:r>
        <w:rPr>
          <w:rFonts w:hint="eastAsia" w:ascii="仿宋_GB2312" w:hAnsi="仿宋_GB2312" w:eastAsia="仿宋_GB2312" w:cs="仿宋_GB2312"/>
          <w:color w:val="FF0000"/>
          <w:sz w:val="32"/>
          <w:szCs w:val="32"/>
          <w:highlight w:val="none"/>
        </w:rPr>
        <w:t xml:space="preserve">                          </w:t>
      </w:r>
    </w:p>
    <w:p>
      <w:pPr>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黑体" w:hAnsi="黑体" w:eastAsia="黑体"/>
          <w:sz w:val="32"/>
          <w:szCs w:val="32"/>
          <w:highlight w:val="none"/>
        </w:rPr>
        <w:t>第二十三条</w:t>
      </w:r>
      <w:r>
        <w:rPr>
          <w:rFonts w:hint="eastAsia" w:ascii="仿宋_GB2312" w:hAnsi="仿宋_GB2312" w:eastAsia="仿宋_GB2312" w:cs="仿宋_GB2312"/>
          <w:sz w:val="32"/>
          <w:szCs w:val="32"/>
          <w:highlight w:val="none"/>
        </w:rPr>
        <w:t xml:space="preserve"> 业主应按法律法规的规定和本规约的约定支付物业管理费、日常收取的专项维修资金等费用。如经物业服务企业或业主委员会督促仍不支付的，物业服务企业或业主委员会可在物业管理区域内公示相关业主欠缴情况，并将该信息报送物业管理信息平台</w:t>
      </w:r>
      <w:r>
        <w:rPr>
          <w:rFonts w:hint="eastAsia" w:ascii="仿宋_GB2312" w:hAnsi="仿宋_GB2312" w:eastAsia="仿宋_GB2312" w:cs="仿宋_GB2312"/>
          <w:sz w:val="32"/>
          <w:szCs w:val="32"/>
          <w:highlight w:val="none"/>
          <w:lang w:eastAsia="zh-CN"/>
        </w:rPr>
        <w:t>。</w:t>
      </w:r>
    </w:p>
    <w:p>
      <w:pPr>
        <w:spacing w:line="560" w:lineRule="exact"/>
        <w:ind w:firstLine="640"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lang w:eastAsia="zh-CN"/>
        </w:rPr>
        <w:t>授权业主委员会向欠缴物业管理费、日常专项维修资金等费用的业主追究法律责任，包括但不限于公示欠缴费用业主名单、以业主委员会的名义提起诉讼等方式</w:t>
      </w:r>
      <w:r>
        <w:rPr>
          <w:rFonts w:hint="eastAsia" w:ascii="仿宋_GB2312" w:hAnsi="仿宋_GB2312" w:eastAsia="仿宋_GB2312" w:cs="仿宋_GB2312"/>
          <w:sz w:val="32"/>
          <w:szCs w:val="32"/>
          <w:highlight w:val="none"/>
        </w:rPr>
        <w:t>。</w:t>
      </w:r>
    </w:p>
    <w:p>
      <w:pPr>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 xml:space="preserve">第二十四条 </w:t>
      </w:r>
      <w:r>
        <w:rPr>
          <w:rFonts w:hint="eastAsia" w:ascii="仿宋_GB2312" w:hAnsi="仿宋_GB2312" w:eastAsia="仿宋_GB2312" w:cs="仿宋_GB2312"/>
          <w:sz w:val="32"/>
          <w:szCs w:val="32"/>
          <w:highlight w:val="none"/>
        </w:rPr>
        <w:t>业主可通过物业管理信息平台实时监督本物业管理区域业主共有资金账户信息。</w:t>
      </w:r>
    </w:p>
    <w:p>
      <w:pPr>
        <w:numPr>
          <w:ilvl w:val="0"/>
          <w:numId w:val="1"/>
        </w:numPr>
        <w:spacing w:beforeLines="50" w:afterLines="50" w:line="560" w:lineRule="exact"/>
        <w:jc w:val="center"/>
        <w:rPr>
          <w:rFonts w:ascii="黑体" w:hAnsi="黑体" w:eastAsia="黑体"/>
          <w:sz w:val="32"/>
          <w:szCs w:val="32"/>
          <w:highlight w:val="none"/>
        </w:rPr>
      </w:pPr>
      <w:r>
        <w:rPr>
          <w:rFonts w:hint="eastAsia" w:ascii="黑体" w:hAnsi="黑体" w:eastAsia="黑体"/>
          <w:sz w:val="32"/>
          <w:szCs w:val="32"/>
          <w:highlight w:val="none"/>
        </w:rPr>
        <w:t xml:space="preserve"> 监督管理</w:t>
      </w:r>
    </w:p>
    <w:p>
      <w:pPr>
        <w:adjustRightInd w:val="0"/>
        <w:snapToGrid w:val="0"/>
        <w:spacing w:line="560" w:lineRule="exact"/>
        <w:ind w:firstLine="640" w:firstLineChars="200"/>
        <w:rPr>
          <w:rFonts w:hint="eastAsia" w:ascii="仿宋_GB2312" w:hAnsi="仿宋_GB2312" w:eastAsia="仿宋_GB2312" w:cs="仿宋_GB2312"/>
          <w:b w:val="0"/>
          <w:bCs/>
          <w:sz w:val="32"/>
          <w:szCs w:val="32"/>
          <w:highlight w:val="none"/>
          <w:lang w:val="en-US" w:eastAsia="zh-CN"/>
        </w:rPr>
      </w:pPr>
      <w:r>
        <w:rPr>
          <w:rFonts w:hint="eastAsia" w:ascii="黑体" w:hAnsi="黑体" w:eastAsia="黑体"/>
          <w:sz w:val="32"/>
          <w:szCs w:val="32"/>
          <w:highlight w:val="none"/>
        </w:rPr>
        <w:t>第二十五条</w:t>
      </w: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b w:val="0"/>
          <w:bCs/>
          <w:sz w:val="32"/>
          <w:szCs w:val="32"/>
          <w:highlight w:val="none"/>
          <w:lang w:val="en-US" w:eastAsia="zh-CN"/>
        </w:rPr>
        <w:t>本物业管理区域业主、物业使用人如违反本管理规约的第十条、第十一条的约定，应当按照</w:t>
      </w:r>
      <w:r>
        <w:rPr>
          <w:rFonts w:hint="eastAsia" w:ascii="仿宋_GB2312" w:hAnsi="仿宋_GB2312" w:eastAsia="仿宋_GB2312" w:cs="仿宋_GB2312"/>
          <w:b w:val="0"/>
          <w:bCs/>
          <w:sz w:val="32"/>
          <w:szCs w:val="32"/>
          <w:highlight w:val="none"/>
          <w:u w:val="single"/>
          <w:lang w:val="en-US" w:eastAsia="zh-CN"/>
        </w:rPr>
        <w:t xml:space="preserve">      </w:t>
      </w:r>
      <w:r>
        <w:rPr>
          <w:rFonts w:hint="eastAsia" w:ascii="仿宋_GB2312" w:hAnsi="仿宋_GB2312" w:eastAsia="仿宋_GB2312" w:cs="仿宋_GB2312"/>
          <w:b w:val="0"/>
          <w:bCs/>
          <w:sz w:val="32"/>
          <w:szCs w:val="32"/>
          <w:highlight w:val="none"/>
          <w:lang w:val="en-US" w:eastAsia="zh-CN"/>
        </w:rPr>
        <w:t>的标准支付违约金。</w:t>
      </w:r>
    </w:p>
    <w:p>
      <w:pPr>
        <w:adjustRightInd w:val="0"/>
        <w:snapToGrid w:val="0"/>
        <w:spacing w:line="560" w:lineRule="exact"/>
        <w:ind w:firstLine="640" w:firstLineChars="200"/>
        <w:rPr>
          <w:rFonts w:hint="eastAsia" w:ascii="仿宋_GB2312" w:hAnsi="仿宋_GB2312" w:eastAsia="仿宋_GB2312" w:cs="仿宋_GB2312"/>
          <w:b w:val="0"/>
          <w:bCs/>
          <w:sz w:val="32"/>
          <w:szCs w:val="32"/>
          <w:highlight w:val="none"/>
          <w:lang w:val="en-US" w:eastAsia="zh-CN"/>
        </w:rPr>
      </w:pPr>
      <w:r>
        <w:rPr>
          <w:rFonts w:hint="eastAsia" w:ascii="黑体" w:hAnsi="黑体" w:eastAsia="黑体"/>
          <w:b w:val="0"/>
          <w:bCs w:val="0"/>
          <w:sz w:val="32"/>
          <w:szCs w:val="32"/>
          <w:highlight w:val="none"/>
          <w:lang w:val="en-US" w:eastAsia="zh-CN"/>
        </w:rPr>
        <w:t xml:space="preserve">第二十六条 </w:t>
      </w:r>
      <w:r>
        <w:rPr>
          <w:rFonts w:hint="eastAsia" w:ascii="仿宋_GB2312" w:hAnsi="仿宋_GB2312" w:eastAsia="仿宋_GB2312" w:cs="仿宋_GB2312"/>
          <w:b w:val="0"/>
          <w:bCs/>
          <w:sz w:val="32"/>
          <w:szCs w:val="32"/>
          <w:highlight w:val="none"/>
          <w:lang w:val="en-US" w:eastAsia="zh-CN"/>
        </w:rPr>
        <w:t xml:space="preserve">本物业管理区域内业主、物业使用人如违反本管 </w:t>
      </w:r>
    </w:p>
    <w:p>
      <w:pPr>
        <w:adjustRightInd w:val="0"/>
        <w:snapToGrid w:val="0"/>
        <w:spacing w:line="560" w:lineRule="exact"/>
        <w:rPr>
          <w:rFonts w:hint="eastAsia" w:ascii="黑体" w:hAnsi="黑体" w:eastAsia="黑体"/>
          <w:b w:val="0"/>
          <w:bCs w:val="0"/>
          <w:sz w:val="32"/>
          <w:szCs w:val="32"/>
          <w:highlight w:val="none"/>
        </w:rPr>
      </w:pPr>
      <w:r>
        <w:rPr>
          <w:rFonts w:hint="eastAsia" w:ascii="仿宋_GB2312" w:hAnsi="仿宋_GB2312" w:eastAsia="仿宋_GB2312" w:cs="仿宋_GB2312"/>
          <w:b w:val="0"/>
          <w:bCs/>
          <w:sz w:val="32"/>
          <w:szCs w:val="32"/>
          <w:highlight w:val="none"/>
          <w:lang w:val="en-US" w:eastAsia="zh-CN"/>
        </w:rPr>
        <w:t xml:space="preserve">理规约第十三条、第十四条、第十五条和第十九条的约定，则应 当按照 </w:t>
      </w:r>
      <w:r>
        <w:rPr>
          <w:rFonts w:hint="eastAsia" w:ascii="仿宋_GB2312" w:hAnsi="仿宋_GB2312" w:eastAsia="仿宋_GB2312" w:cs="仿宋_GB2312"/>
          <w:b w:val="0"/>
          <w:bCs/>
          <w:sz w:val="32"/>
          <w:szCs w:val="32"/>
          <w:highlight w:val="none"/>
          <w:u w:val="single"/>
          <w:lang w:val="en-US" w:eastAsia="zh-CN"/>
        </w:rPr>
        <w:t xml:space="preserve">      </w:t>
      </w:r>
      <w:r>
        <w:rPr>
          <w:rFonts w:hint="eastAsia" w:ascii="仿宋_GB2312" w:hAnsi="仿宋_GB2312" w:eastAsia="仿宋_GB2312" w:cs="仿宋_GB2312"/>
          <w:b w:val="0"/>
          <w:bCs/>
          <w:sz w:val="32"/>
          <w:szCs w:val="32"/>
          <w:highlight w:val="none"/>
          <w:lang w:val="en-US" w:eastAsia="zh-CN"/>
        </w:rPr>
        <w:t>标准支付违约金。</w:t>
      </w:r>
      <w:r>
        <w:rPr>
          <w:rFonts w:hint="eastAsia" w:ascii="黑体" w:hAnsi="黑体" w:eastAsia="黑体"/>
          <w:b w:val="0"/>
          <w:bCs w:val="0"/>
          <w:sz w:val="32"/>
          <w:szCs w:val="32"/>
          <w:highlight w:val="none"/>
          <w:lang w:val="en-US" w:eastAsia="zh-CN"/>
        </w:rPr>
        <w:t xml:space="preserve"> </w:t>
      </w:r>
    </w:p>
    <w:p>
      <w:pPr>
        <w:adjustRightInd w:val="0"/>
        <w:snapToGrid w:val="0"/>
        <w:spacing w:line="560" w:lineRule="exact"/>
        <w:ind w:firstLine="640" w:firstLineChars="200"/>
        <w:rPr>
          <w:rFonts w:hint="eastAsia" w:ascii="仿宋_GB2312" w:hAnsi="仿宋_GB2312" w:eastAsia="仿宋_GB2312" w:cs="仿宋_GB2312"/>
          <w:b w:val="0"/>
          <w:bCs/>
          <w:sz w:val="32"/>
          <w:szCs w:val="32"/>
          <w:highlight w:val="none"/>
          <w:lang w:val="en-US" w:eastAsia="zh-CN"/>
        </w:rPr>
      </w:pPr>
      <w:r>
        <w:rPr>
          <w:rFonts w:hint="eastAsia" w:ascii="黑体" w:hAnsi="黑体" w:eastAsia="黑体"/>
          <w:b w:val="0"/>
          <w:bCs w:val="0"/>
          <w:sz w:val="32"/>
          <w:szCs w:val="32"/>
          <w:highlight w:val="none"/>
          <w:lang w:val="en-US" w:eastAsia="zh-CN"/>
        </w:rPr>
        <w:t xml:space="preserve">第二十七条 </w:t>
      </w:r>
      <w:r>
        <w:rPr>
          <w:rFonts w:hint="eastAsia" w:ascii="仿宋_GB2312" w:hAnsi="仿宋_GB2312" w:eastAsia="仿宋_GB2312" w:cs="仿宋_GB2312"/>
          <w:b w:val="0"/>
          <w:bCs/>
          <w:sz w:val="32"/>
          <w:szCs w:val="32"/>
          <w:highlight w:val="none"/>
          <w:lang w:val="en-US" w:eastAsia="zh-CN"/>
        </w:rPr>
        <w:t xml:space="preserve">本物业管理区域内业主、物业使用人如违反本管 </w:t>
      </w:r>
    </w:p>
    <w:p>
      <w:pPr>
        <w:adjustRightInd w:val="0"/>
        <w:snapToGrid w:val="0"/>
        <w:spacing w:line="560" w:lineRule="exact"/>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理规约第十六条关于文明饲养动物的约定，则应当按照</w:t>
      </w:r>
      <w:r>
        <w:rPr>
          <w:rFonts w:hint="eastAsia" w:ascii="仿宋_GB2312" w:hAnsi="仿宋_GB2312" w:eastAsia="仿宋_GB2312" w:cs="仿宋_GB2312"/>
          <w:b w:val="0"/>
          <w:bCs/>
          <w:sz w:val="32"/>
          <w:szCs w:val="32"/>
          <w:highlight w:val="none"/>
          <w:u w:val="single"/>
          <w:lang w:val="en-US" w:eastAsia="zh-CN"/>
        </w:rPr>
        <w:t xml:space="preserve">      </w:t>
      </w:r>
      <w:r>
        <w:rPr>
          <w:rFonts w:hint="eastAsia" w:ascii="仿宋_GB2312" w:hAnsi="仿宋_GB2312" w:eastAsia="仿宋_GB2312" w:cs="仿宋_GB2312"/>
          <w:b w:val="0"/>
          <w:bCs/>
          <w:sz w:val="32"/>
          <w:szCs w:val="32"/>
          <w:highlight w:val="none"/>
          <w:lang w:val="en-US" w:eastAsia="zh-CN"/>
        </w:rPr>
        <w:t xml:space="preserve">标准支付违约金。 </w:t>
      </w:r>
    </w:p>
    <w:p>
      <w:pPr>
        <w:adjustRightInd w:val="0"/>
        <w:snapToGrid w:val="0"/>
        <w:spacing w:line="560" w:lineRule="exact"/>
        <w:ind w:firstLine="640" w:firstLineChars="200"/>
        <w:rPr>
          <w:rFonts w:hint="eastAsia" w:ascii="仿宋_GB2312" w:hAnsi="仿宋_GB2312" w:eastAsia="仿宋_GB2312" w:cs="仿宋_GB2312"/>
          <w:b w:val="0"/>
          <w:bCs/>
          <w:sz w:val="32"/>
          <w:szCs w:val="32"/>
          <w:highlight w:val="none"/>
          <w:lang w:val="en-US" w:eastAsia="zh-CN"/>
        </w:rPr>
      </w:pPr>
      <w:r>
        <w:rPr>
          <w:rFonts w:hint="eastAsia" w:ascii="黑体" w:hAnsi="黑体" w:eastAsia="黑体"/>
          <w:b w:val="0"/>
          <w:bCs w:val="0"/>
          <w:sz w:val="32"/>
          <w:szCs w:val="32"/>
          <w:highlight w:val="none"/>
          <w:lang w:val="en-US" w:eastAsia="zh-CN"/>
        </w:rPr>
        <w:t xml:space="preserve">第二十八条 </w:t>
      </w:r>
      <w:r>
        <w:rPr>
          <w:rFonts w:hint="eastAsia" w:ascii="仿宋_GB2312" w:hAnsi="仿宋_GB2312" w:eastAsia="仿宋_GB2312" w:cs="仿宋_GB2312"/>
          <w:b w:val="0"/>
          <w:bCs/>
          <w:sz w:val="32"/>
          <w:szCs w:val="32"/>
          <w:highlight w:val="none"/>
          <w:lang w:val="en-US" w:eastAsia="zh-CN"/>
        </w:rPr>
        <w:t xml:space="preserve">本物业管理区域内业主、物业使用人如违反本管 </w:t>
      </w:r>
    </w:p>
    <w:p>
      <w:pPr>
        <w:adjustRightInd w:val="0"/>
        <w:snapToGrid w:val="0"/>
        <w:spacing w:line="560" w:lineRule="exact"/>
        <w:rPr>
          <w:rFonts w:hint="eastAsia" w:ascii="黑体" w:hAnsi="黑体" w:eastAsia="黑体"/>
          <w:b w:val="0"/>
          <w:bCs/>
          <w:sz w:val="32"/>
          <w:szCs w:val="32"/>
          <w:highlight w:val="none"/>
        </w:rPr>
      </w:pPr>
      <w:r>
        <w:rPr>
          <w:rFonts w:hint="eastAsia" w:ascii="仿宋_GB2312" w:hAnsi="仿宋_GB2312" w:eastAsia="仿宋_GB2312" w:cs="仿宋_GB2312"/>
          <w:b w:val="0"/>
          <w:bCs/>
          <w:sz w:val="32"/>
          <w:szCs w:val="32"/>
          <w:highlight w:val="none"/>
          <w:lang w:val="en-US" w:eastAsia="zh-CN"/>
        </w:rPr>
        <w:t>理规约第十七条关于生活垃圾分类投放的约定，则应当按照</w:t>
      </w:r>
      <w:r>
        <w:rPr>
          <w:rFonts w:hint="eastAsia" w:ascii="仿宋_GB2312" w:hAnsi="仿宋_GB2312" w:eastAsia="仿宋_GB2312" w:cs="仿宋_GB2312"/>
          <w:b w:val="0"/>
          <w:bCs/>
          <w:sz w:val="32"/>
          <w:szCs w:val="32"/>
          <w:highlight w:val="none"/>
          <w:u w:val="single"/>
          <w:lang w:val="en-US" w:eastAsia="zh-CN"/>
        </w:rPr>
        <w:t xml:space="preserve">   </w:t>
      </w:r>
      <w:r>
        <w:rPr>
          <w:rFonts w:hint="eastAsia" w:ascii="仿宋_GB2312" w:hAnsi="仿宋_GB2312" w:eastAsia="仿宋_GB2312" w:cs="仿宋_GB2312"/>
          <w:b w:val="0"/>
          <w:bCs/>
          <w:sz w:val="32"/>
          <w:szCs w:val="32"/>
          <w:highlight w:val="none"/>
          <w:lang w:val="en-US" w:eastAsia="zh-CN"/>
        </w:rPr>
        <w:t xml:space="preserve">标准支付违约金。 </w:t>
      </w:r>
    </w:p>
    <w:p>
      <w:pPr>
        <w:adjustRightInd w:val="0"/>
        <w:snapToGrid w:val="0"/>
        <w:spacing w:line="560" w:lineRule="exact"/>
        <w:ind w:firstLine="640" w:firstLineChars="200"/>
        <w:rPr>
          <w:rFonts w:hint="eastAsia" w:ascii="仿宋_GB2312" w:hAnsi="仿宋_GB2312" w:eastAsia="仿宋_GB2312" w:cs="仿宋_GB2312"/>
          <w:b w:val="0"/>
          <w:bCs/>
          <w:sz w:val="32"/>
          <w:szCs w:val="32"/>
          <w:highlight w:val="none"/>
          <w:lang w:val="en-US" w:eastAsia="zh-CN"/>
        </w:rPr>
      </w:pPr>
      <w:r>
        <w:rPr>
          <w:rFonts w:hint="eastAsia" w:ascii="黑体" w:hAnsi="黑体" w:eastAsia="黑体"/>
          <w:b w:val="0"/>
          <w:bCs w:val="0"/>
          <w:sz w:val="32"/>
          <w:szCs w:val="32"/>
          <w:highlight w:val="none"/>
          <w:lang w:val="en-US" w:eastAsia="zh-CN"/>
        </w:rPr>
        <w:t xml:space="preserve">第二十九条 </w:t>
      </w:r>
      <w:r>
        <w:rPr>
          <w:rFonts w:hint="eastAsia" w:ascii="仿宋_GB2312" w:hAnsi="仿宋_GB2312" w:eastAsia="仿宋_GB2312" w:cs="仿宋_GB2312"/>
          <w:b w:val="0"/>
          <w:bCs/>
          <w:sz w:val="32"/>
          <w:szCs w:val="32"/>
          <w:highlight w:val="none"/>
          <w:lang w:val="en-US" w:eastAsia="zh-CN"/>
        </w:rPr>
        <w:t>本物业管理区域内业主、物业使用人如违反以下 事项，亦应按照</w:t>
      </w:r>
      <w:r>
        <w:rPr>
          <w:rFonts w:hint="eastAsia" w:ascii="仿宋_GB2312" w:hAnsi="仿宋_GB2312" w:eastAsia="仿宋_GB2312" w:cs="仿宋_GB2312"/>
          <w:b w:val="0"/>
          <w:bCs/>
          <w:sz w:val="32"/>
          <w:szCs w:val="32"/>
          <w:highlight w:val="none"/>
          <w:u w:val="single"/>
          <w:lang w:val="en-US" w:eastAsia="zh-CN"/>
        </w:rPr>
        <w:t xml:space="preserve">      </w:t>
      </w:r>
      <w:r>
        <w:rPr>
          <w:rFonts w:hint="eastAsia" w:ascii="仿宋_GB2312" w:hAnsi="仿宋_GB2312" w:eastAsia="仿宋_GB2312" w:cs="仿宋_GB2312"/>
          <w:b w:val="0"/>
          <w:bCs/>
          <w:sz w:val="32"/>
          <w:szCs w:val="32"/>
          <w:highlight w:val="none"/>
          <w:lang w:val="en-US" w:eastAsia="zh-CN"/>
        </w:rPr>
        <w:t xml:space="preserve">标准承担的违约责任： </w:t>
      </w:r>
    </w:p>
    <w:p>
      <w:pPr>
        <w:adjustRightInd w:val="0"/>
        <w:snapToGrid w:val="0"/>
        <w:spacing w:line="560" w:lineRule="exact"/>
        <w:ind w:firstLine="640" w:firstLineChars="200"/>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（一）</w:t>
      </w:r>
      <w:r>
        <w:rPr>
          <w:rFonts w:hint="eastAsia" w:ascii="仿宋_GB2312" w:hAnsi="仿宋_GB2312" w:eastAsia="仿宋_GB2312" w:cs="仿宋_GB2312"/>
          <w:b w:val="0"/>
          <w:bCs/>
          <w:sz w:val="32"/>
          <w:szCs w:val="32"/>
          <w:highlight w:val="none"/>
          <w:u w:val="single"/>
          <w:lang w:val="en-US" w:eastAsia="zh-CN"/>
        </w:rPr>
        <w:t xml:space="preserve">                             </w:t>
      </w:r>
      <w:r>
        <w:rPr>
          <w:rFonts w:hint="eastAsia" w:ascii="仿宋_GB2312" w:hAnsi="仿宋_GB2312" w:eastAsia="仿宋_GB2312" w:cs="仿宋_GB2312"/>
          <w:b w:val="0"/>
          <w:bCs/>
          <w:sz w:val="32"/>
          <w:szCs w:val="32"/>
          <w:highlight w:val="none"/>
          <w:lang w:val="en-US" w:eastAsia="zh-CN"/>
        </w:rPr>
        <w:t xml:space="preserve">。 </w:t>
      </w:r>
    </w:p>
    <w:p>
      <w:pPr>
        <w:adjustRightInd w:val="0"/>
        <w:snapToGrid w:val="0"/>
        <w:spacing w:line="560" w:lineRule="exact"/>
        <w:ind w:firstLine="640" w:firstLineChars="200"/>
        <w:rPr>
          <w:rFonts w:hint="eastAsia" w:ascii="黑体" w:hAnsi="黑体" w:eastAsia="黑体"/>
          <w:b w:val="0"/>
          <w:bCs/>
          <w:sz w:val="32"/>
          <w:szCs w:val="32"/>
          <w:highlight w:val="none"/>
        </w:rPr>
      </w:pPr>
      <w:r>
        <w:rPr>
          <w:rFonts w:hint="eastAsia" w:ascii="仿宋_GB2312" w:hAnsi="仿宋_GB2312" w:eastAsia="仿宋_GB2312" w:cs="仿宋_GB2312"/>
          <w:b w:val="0"/>
          <w:bCs/>
          <w:sz w:val="32"/>
          <w:szCs w:val="32"/>
          <w:highlight w:val="none"/>
          <w:lang w:val="en-US" w:eastAsia="zh-CN"/>
        </w:rPr>
        <w:t>（二）</w:t>
      </w:r>
      <w:r>
        <w:rPr>
          <w:rFonts w:hint="eastAsia" w:ascii="仿宋_GB2312" w:hAnsi="仿宋_GB2312" w:eastAsia="仿宋_GB2312" w:cs="仿宋_GB2312"/>
          <w:b w:val="0"/>
          <w:bCs/>
          <w:sz w:val="32"/>
          <w:szCs w:val="32"/>
          <w:highlight w:val="none"/>
          <w:u w:val="single"/>
          <w:lang w:val="en-US" w:eastAsia="zh-CN"/>
        </w:rPr>
        <w:t xml:space="preserve">                             </w:t>
      </w:r>
      <w:r>
        <w:rPr>
          <w:rFonts w:hint="eastAsia" w:ascii="黑体" w:hAnsi="黑体" w:eastAsia="黑体"/>
          <w:b w:val="0"/>
          <w:bCs/>
          <w:sz w:val="32"/>
          <w:szCs w:val="32"/>
          <w:highlight w:val="none"/>
          <w:lang w:val="en-US" w:eastAsia="zh-CN"/>
        </w:rPr>
        <w:t xml:space="preserve">。 </w:t>
      </w:r>
    </w:p>
    <w:p>
      <w:pPr>
        <w:adjustRightInd w:val="0"/>
        <w:snapToGrid w:val="0"/>
        <w:spacing w:line="560" w:lineRule="exact"/>
        <w:ind w:firstLine="640" w:firstLineChars="200"/>
        <w:rPr>
          <w:rFonts w:hint="eastAsia" w:ascii="仿宋_GB2312" w:hAnsi="仿宋_GB2312" w:eastAsia="仿宋_GB2312" w:cs="仿宋_GB2312"/>
          <w:b w:val="0"/>
          <w:bCs/>
          <w:sz w:val="32"/>
          <w:szCs w:val="32"/>
          <w:highlight w:val="none"/>
          <w:lang w:val="en-US" w:eastAsia="zh-CN"/>
        </w:rPr>
      </w:pPr>
      <w:r>
        <w:rPr>
          <w:rFonts w:hint="eastAsia" w:ascii="黑体" w:hAnsi="黑体" w:eastAsia="黑体"/>
          <w:b w:val="0"/>
          <w:bCs w:val="0"/>
          <w:sz w:val="32"/>
          <w:szCs w:val="32"/>
          <w:highlight w:val="none"/>
          <w:lang w:val="en-US" w:eastAsia="zh-CN"/>
        </w:rPr>
        <w:t xml:space="preserve">第三十条 </w:t>
      </w:r>
      <w:r>
        <w:rPr>
          <w:rFonts w:hint="eastAsia" w:ascii="仿宋_GB2312" w:hAnsi="仿宋_GB2312" w:eastAsia="仿宋_GB2312" w:cs="仿宋_GB2312"/>
          <w:b w:val="0"/>
          <w:bCs/>
          <w:sz w:val="32"/>
          <w:szCs w:val="32"/>
          <w:highlight w:val="none"/>
          <w:lang w:val="en-US" w:eastAsia="zh-CN"/>
        </w:rPr>
        <w:t xml:space="preserve">前述违约金归属本物业管理区域内全体业主共有， </w:t>
      </w:r>
    </w:p>
    <w:p>
      <w:pPr>
        <w:adjustRightInd w:val="0"/>
        <w:snapToGrid w:val="0"/>
        <w:spacing w:line="560" w:lineRule="exact"/>
        <w:ind w:firstLine="640" w:firstLineChars="200"/>
        <w:rPr>
          <w:rFonts w:hint="eastAsia" w:ascii="黑体" w:hAnsi="黑体" w:eastAsia="黑体"/>
          <w:b w:val="0"/>
          <w:bCs/>
          <w:sz w:val="32"/>
          <w:szCs w:val="32"/>
          <w:highlight w:val="none"/>
        </w:rPr>
      </w:pPr>
      <w:r>
        <w:rPr>
          <w:rFonts w:hint="eastAsia" w:ascii="仿宋_GB2312" w:hAnsi="仿宋_GB2312" w:eastAsia="仿宋_GB2312" w:cs="仿宋_GB2312"/>
          <w:b w:val="0"/>
          <w:bCs/>
          <w:sz w:val="32"/>
          <w:szCs w:val="32"/>
          <w:highlight w:val="none"/>
          <w:lang w:val="en-US" w:eastAsia="zh-CN"/>
        </w:rPr>
        <w:t>由违约业主或物业使用人将违约金缴纳至业主共有资金账户，纳 入业主共有资金进行统一管理。</w:t>
      </w:r>
      <w:r>
        <w:rPr>
          <w:rFonts w:hint="eastAsia" w:ascii="黑体" w:hAnsi="黑体" w:eastAsia="黑体"/>
          <w:b w:val="0"/>
          <w:bCs/>
          <w:sz w:val="32"/>
          <w:szCs w:val="32"/>
          <w:highlight w:val="none"/>
          <w:lang w:val="en-US" w:eastAsia="zh-CN"/>
        </w:rPr>
        <w:t xml:space="preserve"> </w:t>
      </w:r>
    </w:p>
    <w:p>
      <w:pPr>
        <w:adjustRightInd w:val="0"/>
        <w:snapToGrid w:val="0"/>
        <w:spacing w:line="560" w:lineRule="exact"/>
        <w:ind w:firstLine="640" w:firstLineChars="200"/>
        <w:rPr>
          <w:rFonts w:hint="eastAsia" w:ascii="仿宋_GB2312" w:hAnsi="仿宋_GB2312" w:eastAsia="仿宋_GB2312" w:cs="仿宋_GB2312"/>
          <w:b w:val="0"/>
          <w:bCs/>
          <w:sz w:val="32"/>
          <w:szCs w:val="32"/>
          <w:highlight w:val="none"/>
          <w:lang w:val="en-US" w:eastAsia="zh-CN"/>
        </w:rPr>
      </w:pPr>
      <w:r>
        <w:rPr>
          <w:rFonts w:hint="eastAsia" w:ascii="黑体" w:hAnsi="黑体" w:eastAsia="黑体"/>
          <w:b w:val="0"/>
          <w:bCs w:val="0"/>
          <w:sz w:val="32"/>
          <w:szCs w:val="32"/>
          <w:highlight w:val="none"/>
          <w:lang w:val="en-US" w:eastAsia="zh-CN"/>
        </w:rPr>
        <w:t xml:space="preserve">第三十一条 </w:t>
      </w:r>
      <w:r>
        <w:rPr>
          <w:rFonts w:hint="eastAsia" w:ascii="仿宋_GB2312" w:hAnsi="仿宋_GB2312" w:eastAsia="仿宋_GB2312" w:cs="仿宋_GB2312"/>
          <w:b w:val="0"/>
          <w:bCs/>
          <w:sz w:val="32"/>
          <w:szCs w:val="32"/>
          <w:highlight w:val="none"/>
          <w:lang w:val="en-US" w:eastAsia="zh-CN"/>
        </w:rPr>
        <w:t xml:space="preserve">业主大会和业主委员会对违反本规约等物业管 </w:t>
      </w:r>
    </w:p>
    <w:p>
      <w:pPr>
        <w:adjustRightInd w:val="0"/>
        <w:snapToGrid w:val="0"/>
        <w:spacing w:line="560" w:lineRule="exact"/>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 xml:space="preserve">理制度的行为，有权依照法律、法规的规定和本规约的约定，要求行为人停止侵害、消除危险、排除妨害、赔偿损失。业主亦可 </w:t>
      </w:r>
    </w:p>
    <w:p>
      <w:pPr>
        <w:adjustRightInd w:val="0"/>
        <w:snapToGrid w:val="0"/>
        <w:spacing w:line="560" w:lineRule="exact"/>
        <w:rPr>
          <w:rFonts w:hint="eastAsia" w:ascii="黑体" w:hAnsi="黑体" w:eastAsia="黑体"/>
          <w:b w:val="0"/>
          <w:bCs w:val="0"/>
          <w:sz w:val="32"/>
          <w:szCs w:val="32"/>
          <w:highlight w:val="none"/>
        </w:rPr>
      </w:pPr>
      <w:r>
        <w:rPr>
          <w:rFonts w:hint="eastAsia" w:ascii="仿宋_GB2312" w:hAnsi="仿宋_GB2312" w:eastAsia="仿宋_GB2312" w:cs="仿宋_GB2312"/>
          <w:b w:val="0"/>
          <w:bCs/>
          <w:sz w:val="32"/>
          <w:szCs w:val="32"/>
          <w:highlight w:val="none"/>
          <w:lang w:val="en-US" w:eastAsia="zh-CN"/>
        </w:rPr>
        <w:t>对侵害自身合法权益的行为，寻求行政、司法救济。</w:t>
      </w:r>
      <w:r>
        <w:rPr>
          <w:rFonts w:hint="eastAsia" w:ascii="黑体" w:hAnsi="黑体" w:eastAsia="黑体"/>
          <w:b w:val="0"/>
          <w:bCs w:val="0"/>
          <w:sz w:val="32"/>
          <w:szCs w:val="32"/>
          <w:highlight w:val="none"/>
          <w:lang w:val="en-US" w:eastAsia="zh-CN"/>
        </w:rPr>
        <w:t xml:space="preserve"> </w:t>
      </w:r>
    </w:p>
    <w:p>
      <w:pPr>
        <w:adjustRightInd w:val="0"/>
        <w:snapToGrid w:val="0"/>
        <w:spacing w:line="560" w:lineRule="exact"/>
        <w:ind w:firstLine="640" w:firstLineChars="200"/>
        <w:rPr>
          <w:rFonts w:hint="eastAsia" w:ascii="仿宋_GB2312" w:hAnsi="仿宋_GB2312" w:eastAsia="仿宋_GB2312" w:cs="仿宋_GB2312"/>
          <w:b w:val="0"/>
          <w:bCs/>
          <w:sz w:val="32"/>
          <w:szCs w:val="32"/>
          <w:highlight w:val="none"/>
          <w:lang w:val="en-US" w:eastAsia="zh-CN"/>
        </w:rPr>
      </w:pPr>
      <w:r>
        <w:rPr>
          <w:rFonts w:hint="eastAsia" w:ascii="黑体" w:hAnsi="黑体" w:eastAsia="黑体"/>
          <w:b w:val="0"/>
          <w:bCs w:val="0"/>
          <w:sz w:val="32"/>
          <w:szCs w:val="32"/>
          <w:highlight w:val="none"/>
          <w:lang w:val="en-US" w:eastAsia="zh-CN"/>
        </w:rPr>
        <w:t xml:space="preserve">第三十二条 </w:t>
      </w:r>
      <w:r>
        <w:rPr>
          <w:rFonts w:hint="eastAsia" w:ascii="仿宋_GB2312" w:hAnsi="仿宋_GB2312" w:eastAsia="仿宋_GB2312" w:cs="仿宋_GB2312"/>
          <w:b w:val="0"/>
          <w:bCs/>
          <w:sz w:val="32"/>
          <w:szCs w:val="32"/>
          <w:highlight w:val="none"/>
          <w:lang w:val="en-US" w:eastAsia="zh-CN"/>
        </w:rPr>
        <w:t xml:space="preserve">为维护业主的共同权益，本物业管理区域内全体 </w:t>
      </w:r>
    </w:p>
    <w:p>
      <w:pPr>
        <w:adjustRightInd w:val="0"/>
        <w:snapToGrid w:val="0"/>
        <w:spacing w:line="560" w:lineRule="exact"/>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 xml:space="preserve">业主同意在物业管理活动中授予物业服务企业及业主大会同意的其他管理人以下权利： </w:t>
      </w:r>
    </w:p>
    <w:p>
      <w:pPr>
        <w:adjustRightInd w:val="0"/>
        <w:snapToGrid w:val="0"/>
        <w:spacing w:line="560" w:lineRule="exact"/>
        <w:ind w:firstLine="640" w:firstLineChars="200"/>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 xml:space="preserve">（一）根据法律、法规的规定和本规约、物业服务合同的约 </w:t>
      </w:r>
    </w:p>
    <w:p>
      <w:pPr>
        <w:adjustRightInd w:val="0"/>
        <w:snapToGrid w:val="0"/>
        <w:spacing w:line="560" w:lineRule="exact"/>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 xml:space="preserve">定，制定必要的物业管理制度，并督促业主、物业使用人遵守、 </w:t>
      </w:r>
    </w:p>
    <w:p>
      <w:pPr>
        <w:adjustRightInd w:val="0"/>
        <w:snapToGrid w:val="0"/>
        <w:spacing w:line="560" w:lineRule="exact"/>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 xml:space="preserve">执行。 </w:t>
      </w:r>
    </w:p>
    <w:p>
      <w:pPr>
        <w:adjustRightInd w:val="0"/>
        <w:snapToGrid w:val="0"/>
        <w:spacing w:line="560" w:lineRule="exact"/>
        <w:ind w:firstLine="640" w:firstLineChars="200"/>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 xml:space="preserve">（二）以规劝等方式制止业主、物业使用人违反本规约等物 </w:t>
      </w:r>
    </w:p>
    <w:p>
      <w:pPr>
        <w:adjustRightInd w:val="0"/>
        <w:snapToGrid w:val="0"/>
        <w:spacing w:line="560" w:lineRule="exact"/>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 xml:space="preserve">业管理制度的行为； </w:t>
      </w:r>
    </w:p>
    <w:p>
      <w:pPr>
        <w:adjustRightInd w:val="0"/>
        <w:snapToGrid w:val="0"/>
        <w:spacing w:line="560" w:lineRule="exact"/>
        <w:ind w:firstLine="640" w:firstLineChars="200"/>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 xml:space="preserve">（三）在本物业管理区域内公示不遵守本规约等物业管理制 </w:t>
      </w:r>
    </w:p>
    <w:p>
      <w:pPr>
        <w:adjustRightInd w:val="0"/>
        <w:snapToGrid w:val="0"/>
        <w:spacing w:line="560" w:lineRule="exact"/>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 xml:space="preserve">度的业主、物业使用人的姓名及违约事实； </w:t>
      </w:r>
    </w:p>
    <w:p>
      <w:pPr>
        <w:adjustRightInd w:val="0"/>
        <w:snapToGrid w:val="0"/>
        <w:spacing w:line="560" w:lineRule="exact"/>
        <w:ind w:firstLine="640" w:firstLineChars="200"/>
        <w:rPr>
          <w:rFonts w:hint="default"/>
          <w:b w:val="0"/>
          <w:bCs/>
          <w:highlight w:val="none"/>
          <w:lang w:val="en-US" w:eastAsia="zh-CN"/>
        </w:rPr>
      </w:pPr>
      <w:r>
        <w:rPr>
          <w:rFonts w:hint="eastAsia" w:ascii="仿宋_GB2312" w:hAnsi="仿宋_GB2312" w:eastAsia="仿宋_GB2312" w:cs="仿宋_GB2312"/>
          <w:b w:val="0"/>
          <w:bCs/>
          <w:sz w:val="32"/>
          <w:szCs w:val="32"/>
          <w:highlight w:val="none"/>
          <w:lang w:val="en-US" w:eastAsia="zh-CN"/>
        </w:rPr>
        <w:t>（四）</w:t>
      </w:r>
      <w:r>
        <w:rPr>
          <w:rFonts w:hint="eastAsia" w:ascii="仿宋_GB2312" w:hAnsi="仿宋_GB2312" w:eastAsia="仿宋_GB2312" w:cs="仿宋_GB2312"/>
          <w:b w:val="0"/>
          <w:bCs/>
          <w:sz w:val="32"/>
          <w:szCs w:val="32"/>
          <w:highlight w:val="none"/>
          <w:u w:val="single"/>
          <w:lang w:val="en-US" w:eastAsia="zh-CN"/>
        </w:rPr>
        <w:t xml:space="preserve">                         </w:t>
      </w:r>
      <w:r>
        <w:rPr>
          <w:rFonts w:hint="eastAsia" w:ascii="黑体" w:hAnsi="黑体" w:eastAsia="黑体"/>
          <w:b w:val="0"/>
          <w:bCs/>
          <w:sz w:val="32"/>
          <w:szCs w:val="32"/>
          <w:highlight w:val="none"/>
          <w:lang w:val="en-US" w:eastAsia="zh-CN"/>
        </w:rPr>
        <w:t>。</w:t>
      </w:r>
    </w:p>
    <w:p>
      <w:pPr>
        <w:numPr>
          <w:ilvl w:val="0"/>
          <w:numId w:val="1"/>
        </w:numPr>
        <w:spacing w:beforeLines="50" w:afterLines="50" w:line="560" w:lineRule="exact"/>
        <w:jc w:val="center"/>
        <w:rPr>
          <w:rFonts w:ascii="黑体" w:hAnsi="黑体" w:eastAsia="黑体"/>
          <w:sz w:val="32"/>
          <w:szCs w:val="32"/>
          <w:highlight w:val="none"/>
        </w:rPr>
      </w:pPr>
      <w:r>
        <w:rPr>
          <w:rFonts w:hint="eastAsia" w:ascii="黑体" w:hAnsi="黑体" w:eastAsia="黑体"/>
          <w:sz w:val="32"/>
          <w:szCs w:val="32"/>
          <w:highlight w:val="none"/>
        </w:rPr>
        <w:t>附则</w:t>
      </w:r>
    </w:p>
    <w:p>
      <w:pPr>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第二十七条</w:t>
      </w:r>
      <w:bookmarkStart w:id="18" w:name="_Hlk26455518"/>
      <w:r>
        <w:rPr>
          <w:rFonts w:hint="eastAsia" w:ascii="仿宋_GB2312" w:hAnsi="仿宋_GB2312" w:eastAsia="仿宋_GB2312" w:cs="仿宋_GB2312"/>
          <w:sz w:val="32"/>
          <w:szCs w:val="32"/>
          <w:highlight w:val="none"/>
        </w:rPr>
        <w:t xml:space="preserve"> </w:t>
      </w:r>
      <w:bookmarkEnd w:id="18"/>
      <w:r>
        <w:rPr>
          <w:rFonts w:hint="eastAsia" w:ascii="仿宋_GB2312" w:hAnsi="仿宋_GB2312" w:eastAsia="仿宋_GB2312" w:cs="仿宋_GB2312"/>
          <w:sz w:val="32"/>
          <w:szCs w:val="32"/>
          <w:highlight w:val="none"/>
        </w:rPr>
        <w:t>业主应当向物业服务企业、业主委员会提供联系地址、通讯方式。发生变更的，应当及时向物业服务企业、业主委员会提供具体变更信息。如业主不提供或未及时提供变更信息，</w:t>
      </w:r>
    </w:p>
    <w:p>
      <w:pPr>
        <w:spacing w:line="56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则物业管理活动中的相关资料投入该户业主信报箱、房屋内或者按原预留联系地址、通讯方式送达的，仍视为有效送达。</w:t>
      </w:r>
    </w:p>
    <w:p>
      <w:pPr>
        <w:adjustRightInd w:val="0"/>
        <w:snapToGrid w:val="0"/>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第二十八条</w:t>
      </w: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sz w:val="32"/>
          <w:szCs w:val="32"/>
          <w:highlight w:val="none"/>
        </w:rPr>
        <w:t>业主、物业使用人在物业使用中产生矛盾时，本着互谅互让的原则处理矛盾纠纷，营造安全、舒适、文明、和谐、美好的工作和生活环境。</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黑体" w:hAnsi="黑体" w:eastAsia="黑体"/>
          <w:sz w:val="32"/>
          <w:szCs w:val="32"/>
          <w:highlight w:val="none"/>
        </w:rPr>
        <w:t xml:space="preserve">第二十九条 </w:t>
      </w:r>
      <w:r>
        <w:rPr>
          <w:rFonts w:hint="eastAsia" w:ascii="仿宋_GB2312" w:hAnsi="仿宋_GB2312" w:eastAsia="仿宋_GB2312" w:cs="仿宋_GB2312"/>
          <w:sz w:val="32"/>
          <w:szCs w:val="32"/>
          <w:highlight w:val="none"/>
        </w:rPr>
        <w:t>本规约通过后三日内，在本物业管理区域内进行公示，并由业主委员会保管。</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黑体" w:hAnsi="黑体" w:eastAsia="黑体"/>
          <w:sz w:val="32"/>
          <w:szCs w:val="32"/>
          <w:highlight w:val="none"/>
        </w:rPr>
        <w:t>第三十条</w:t>
      </w: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sz w:val="32"/>
          <w:szCs w:val="32"/>
          <w:highlight w:val="none"/>
        </w:rPr>
        <w:t>本规约经深圳市福田区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业主会大通过后生效。</w:t>
      </w:r>
    </w:p>
    <w:p>
      <w:pPr>
        <w:rPr>
          <w:rFonts w:ascii="仿宋" w:hAnsi="仿宋" w:eastAsia="仿宋" w:cs="仿宋"/>
          <w:b/>
          <w:bCs/>
          <w:sz w:val="32"/>
          <w:szCs w:val="32"/>
          <w:highlight w:val="none"/>
        </w:rPr>
      </w:pPr>
    </w:p>
    <w:p>
      <w:pPr>
        <w:rPr>
          <w:rFonts w:ascii="仿宋" w:hAnsi="仿宋" w:eastAsia="仿宋" w:cs="仿宋"/>
          <w:b/>
          <w:bCs/>
          <w:sz w:val="32"/>
          <w:szCs w:val="32"/>
          <w:highlight w:val="none"/>
        </w:rPr>
      </w:pPr>
    </w:p>
    <w:p>
      <w:pPr>
        <w:rPr>
          <w:rFonts w:ascii="仿宋" w:hAnsi="仿宋" w:eastAsia="仿宋" w:cs="仿宋"/>
          <w:b/>
          <w:bCs/>
          <w:sz w:val="32"/>
          <w:szCs w:val="32"/>
          <w:highlight w:val="none"/>
        </w:rPr>
      </w:pPr>
    </w:p>
    <w:p>
      <w:pPr>
        <w:rPr>
          <w:rFonts w:ascii="仿宋" w:hAnsi="仿宋" w:eastAsia="仿宋" w:cs="仿宋"/>
          <w:b/>
          <w:bCs/>
          <w:sz w:val="32"/>
          <w:szCs w:val="32"/>
          <w:highlight w:val="none"/>
        </w:rPr>
      </w:pPr>
    </w:p>
    <w:p>
      <w:pPr>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 xml:space="preserve">             </w:t>
      </w:r>
      <w:r>
        <w:rPr>
          <w:rFonts w:hint="eastAsia" w:ascii="仿宋" w:hAnsi="仿宋" w:eastAsia="仿宋" w:cs="仿宋"/>
          <w:b/>
          <w:bCs/>
          <w:sz w:val="32"/>
          <w:szCs w:val="32"/>
          <w:highlight w:val="none"/>
          <w:lang w:val="en-US" w:eastAsia="zh-CN"/>
        </w:rPr>
        <w:t xml:space="preserve">         </w:t>
      </w:r>
      <w:r>
        <w:rPr>
          <w:rFonts w:hint="eastAsia" w:ascii="仿宋" w:hAnsi="仿宋" w:eastAsia="仿宋" w:cs="仿宋"/>
          <w:b/>
          <w:bCs/>
          <w:sz w:val="32"/>
          <w:szCs w:val="32"/>
          <w:highlight w:val="none"/>
        </w:rPr>
        <w:t xml:space="preserve"> 深圳市福田区</w:t>
      </w:r>
      <w:r>
        <w:rPr>
          <w:rFonts w:hint="eastAsia" w:ascii="仿宋" w:hAnsi="仿宋" w:eastAsia="仿宋" w:cs="仿宋"/>
          <w:b/>
          <w:bCs/>
          <w:sz w:val="32"/>
          <w:szCs w:val="32"/>
          <w:highlight w:val="none"/>
          <w:lang w:val="en-US" w:eastAsia="zh-CN"/>
        </w:rPr>
        <w:t>xxxxxx</w:t>
      </w:r>
      <w:r>
        <w:rPr>
          <w:rFonts w:hint="eastAsia" w:ascii="仿宋" w:hAnsi="仿宋" w:eastAsia="仿宋" w:cs="仿宋"/>
          <w:b/>
          <w:bCs/>
          <w:sz w:val="32"/>
          <w:szCs w:val="32"/>
          <w:highlight w:val="none"/>
          <w:lang w:eastAsia="zh-CN"/>
        </w:rPr>
        <w:t>业主大会</w:t>
      </w:r>
    </w:p>
    <w:p>
      <w:pPr>
        <w:spacing w:line="560" w:lineRule="exact"/>
        <w:rPr>
          <w:rFonts w:ascii="仿宋_GB2312" w:hAnsi="仿宋_GB2312" w:eastAsia="仿宋_GB2312" w:cs="仿宋_GB2312"/>
          <w:sz w:val="32"/>
          <w:szCs w:val="32"/>
          <w:highlight w:val="none"/>
        </w:rPr>
      </w:pPr>
      <w:r>
        <w:rPr>
          <w:rFonts w:hint="eastAsia" w:ascii="仿宋" w:hAnsi="仿宋" w:eastAsia="仿宋" w:cs="仿宋"/>
          <w:b/>
          <w:bCs/>
          <w:sz w:val="32"/>
          <w:szCs w:val="32"/>
          <w:highlight w:val="none"/>
        </w:rPr>
        <w:t xml:space="preserve">                             </w:t>
      </w:r>
      <w:r>
        <w:rPr>
          <w:rFonts w:hint="eastAsia" w:ascii="仿宋" w:hAnsi="仿宋" w:eastAsia="仿宋" w:cs="仿宋"/>
          <w:b/>
          <w:bCs/>
          <w:sz w:val="32"/>
          <w:szCs w:val="32"/>
          <w:highlight w:val="none"/>
          <w:lang w:val="en-US" w:eastAsia="zh-CN"/>
        </w:rPr>
        <w:t>2023</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lang w:val="en-US" w:eastAsia="zh-CN"/>
        </w:rPr>
        <w:t>9</w:t>
      </w:r>
      <w:r>
        <w:rPr>
          <w:rFonts w:hint="eastAsia" w:ascii="仿宋" w:hAnsi="仿宋" w:eastAsia="仿宋" w:cs="仿宋"/>
          <w:b/>
          <w:bCs/>
          <w:sz w:val="32"/>
          <w:szCs w:val="32"/>
          <w:highlight w:val="none"/>
        </w:rPr>
        <w:t>月</w:t>
      </w:r>
      <w:r>
        <w:rPr>
          <w:rFonts w:ascii="仿宋" w:hAnsi="仿宋" w:eastAsia="仿宋" w:cs="仿宋"/>
          <w:b/>
          <w:bCs/>
          <w:sz w:val="32"/>
          <w:szCs w:val="32"/>
          <w:highlight w:val="none"/>
        </w:rPr>
        <w:t xml:space="preserve"> </w:t>
      </w:r>
      <w:r>
        <w:rPr>
          <w:rFonts w:hint="eastAsia" w:ascii="仿宋" w:hAnsi="仿宋" w:eastAsia="仿宋" w:cs="仿宋"/>
          <w:b/>
          <w:bCs/>
          <w:sz w:val="32"/>
          <w:szCs w:val="32"/>
          <w:highlight w:val="none"/>
        </w:rPr>
        <w:t>日</w:t>
      </w:r>
    </w:p>
    <w:p>
      <w:pPr>
        <w:spacing w:line="560" w:lineRule="exact"/>
        <w:rPr>
          <w:rFonts w:ascii="仿宋_GB2312" w:hAnsi="仿宋_GB2312" w:eastAsia="仿宋_GB2312" w:cs="仿宋_GB2312"/>
          <w:sz w:val="32"/>
          <w:szCs w:val="32"/>
          <w:highlight w:val="none"/>
        </w:rPr>
      </w:pPr>
    </w:p>
    <w:p>
      <w:pPr>
        <w:spacing w:line="560" w:lineRule="exact"/>
        <w:rPr>
          <w:rFonts w:ascii="仿宋_GB2312" w:hAnsi="仿宋_GB2312" w:eastAsia="仿宋_GB2312" w:cs="仿宋_GB2312"/>
          <w:sz w:val="32"/>
          <w:szCs w:val="32"/>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ascii="仿宋" w:hAnsi="仿宋" w:cs="仿宋"/>
          <w:sz w:val="28"/>
          <w:szCs w:val="28"/>
          <w:highlight w:val="none"/>
        </w:rPr>
      </w:pPr>
      <w:r>
        <w:rPr>
          <w:rFonts w:hint="eastAsia" w:ascii="宋体" w:hAnsi="宋体" w:cs="宋体"/>
          <w:sz w:val="28"/>
          <w:szCs w:val="28"/>
          <w:highlight w:val="none"/>
        </w:rPr>
        <w:t>附件1：</w:t>
      </w:r>
    </w:p>
    <w:p>
      <w:pPr>
        <w:jc w:val="center"/>
        <w:rPr>
          <w:rFonts w:ascii="黑体" w:hAnsi="黑体" w:eastAsia="黑体"/>
          <w:sz w:val="32"/>
          <w:szCs w:val="32"/>
          <w:highlight w:val="none"/>
        </w:rPr>
      </w:pPr>
      <w:r>
        <w:rPr>
          <w:rFonts w:hint="eastAsia" w:ascii="黑体" w:hAnsi="黑体" w:eastAsia="黑体"/>
          <w:sz w:val="32"/>
          <w:szCs w:val="32"/>
          <w:highlight w:val="none"/>
        </w:rPr>
        <w:t>规划平面图</w:t>
      </w:r>
    </w:p>
    <w:p>
      <w:pPr>
        <w:jc w:val="center"/>
        <w:rPr>
          <w:rFonts w:ascii="楷体" w:hAnsi="楷体" w:eastAsia="楷体" w:cs="楷体"/>
          <w:sz w:val="32"/>
          <w:szCs w:val="32"/>
          <w:highlight w:val="none"/>
        </w:rPr>
      </w:pPr>
      <w:r>
        <w:rPr>
          <w:rFonts w:hint="eastAsia" w:ascii="楷体" w:hAnsi="楷体" w:eastAsia="楷体" w:cs="楷体"/>
          <w:sz w:val="32"/>
          <w:szCs w:val="32"/>
          <w:highlight w:val="none"/>
        </w:rPr>
        <w:t>（粘贴在以下空白处）</w:t>
      </w:r>
    </w:p>
    <w:p>
      <w:pPr>
        <w:snapToGrid w:val="0"/>
        <w:rPr>
          <w:rFonts w:ascii="仿宋" w:hAnsi="仿宋" w:eastAsia="仿宋" w:cs="仿宋"/>
          <w:sz w:val="32"/>
          <w:szCs w:val="32"/>
          <w:highlight w:val="none"/>
        </w:rPr>
      </w:pPr>
    </w:p>
    <w:p>
      <w:pPr>
        <w:snapToGrid w:val="0"/>
        <w:rPr>
          <w:rFonts w:ascii="仿宋" w:hAnsi="仿宋" w:eastAsia="仿宋" w:cs="仿宋"/>
          <w:sz w:val="32"/>
          <w:szCs w:val="32"/>
          <w:highlight w:val="none"/>
        </w:rPr>
      </w:pPr>
    </w:p>
    <w:p>
      <w:pPr>
        <w:rPr>
          <w:rFonts w:ascii="宋体" w:hAnsi="宋体" w:cs="宋体"/>
          <w:sz w:val="28"/>
          <w:szCs w:val="28"/>
          <w:highlight w:val="none"/>
        </w:rPr>
      </w:pPr>
    </w:p>
    <w:p>
      <w:pPr>
        <w:pStyle w:val="2"/>
        <w:rPr>
          <w:rFonts w:ascii="宋体" w:hAnsi="宋体" w:cs="宋体"/>
          <w:sz w:val="28"/>
          <w:szCs w:val="28"/>
          <w:highlight w:val="none"/>
        </w:rPr>
      </w:pPr>
    </w:p>
    <w:p>
      <w:pPr>
        <w:pStyle w:val="2"/>
        <w:rPr>
          <w:rFonts w:ascii="宋体" w:hAnsi="宋体" w:cs="宋体"/>
          <w:sz w:val="28"/>
          <w:szCs w:val="28"/>
          <w:highlight w:val="none"/>
        </w:rPr>
      </w:pPr>
    </w:p>
    <w:p>
      <w:pPr>
        <w:pStyle w:val="2"/>
        <w:rPr>
          <w:rFonts w:ascii="宋体" w:hAnsi="宋体" w:cs="宋体"/>
          <w:sz w:val="28"/>
          <w:szCs w:val="28"/>
          <w:highlight w:val="none"/>
        </w:rPr>
      </w:pPr>
    </w:p>
    <w:p>
      <w:pPr>
        <w:pStyle w:val="2"/>
        <w:rPr>
          <w:rFonts w:ascii="宋体" w:hAnsi="宋体" w:cs="宋体"/>
          <w:sz w:val="28"/>
          <w:szCs w:val="28"/>
          <w:highlight w:val="none"/>
        </w:rPr>
      </w:pPr>
    </w:p>
    <w:p>
      <w:pPr>
        <w:pStyle w:val="2"/>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ascii="宋体" w:hAnsi="宋体" w:cs="宋体"/>
          <w:sz w:val="28"/>
          <w:szCs w:val="28"/>
          <w:highlight w:val="none"/>
        </w:rPr>
      </w:pPr>
      <w:r>
        <w:rPr>
          <w:rFonts w:hint="eastAsia" w:ascii="宋体" w:hAnsi="宋体" w:cs="宋体"/>
          <w:sz w:val="28"/>
          <w:szCs w:val="28"/>
          <w:highlight w:val="none"/>
        </w:rPr>
        <w:t>附件2：</w:t>
      </w:r>
    </w:p>
    <w:p>
      <w:pPr>
        <w:spacing w:afterLines="50"/>
        <w:jc w:val="center"/>
        <w:rPr>
          <w:rFonts w:ascii="仿宋" w:hAnsi="仿宋" w:eastAsia="仿宋" w:cs="仿宋"/>
          <w:b/>
          <w:bCs/>
          <w:sz w:val="32"/>
          <w:szCs w:val="32"/>
          <w:highlight w:val="none"/>
        </w:rPr>
      </w:pPr>
      <w:r>
        <w:rPr>
          <w:rFonts w:hint="eastAsia" w:ascii="黑体" w:hAnsi="黑体" w:eastAsia="黑体"/>
          <w:sz w:val="32"/>
          <w:szCs w:val="32"/>
          <w:highlight w:val="none"/>
        </w:rPr>
        <w:t>物业构成明细</w:t>
      </w:r>
    </w:p>
    <w:tbl>
      <w:tblPr>
        <w:tblStyle w:val="11"/>
        <w:tblW w:w="8204" w:type="dxa"/>
        <w:tblInd w:w="3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1234"/>
        <w:gridCol w:w="2963"/>
        <w:gridCol w:w="20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1941" w:type="dxa"/>
            <w:vAlign w:val="center"/>
          </w:tcPr>
          <w:p>
            <w:pPr>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类  型</w:t>
            </w:r>
          </w:p>
        </w:tc>
        <w:tc>
          <w:tcPr>
            <w:tcW w:w="1234" w:type="dxa"/>
            <w:vAlign w:val="center"/>
          </w:tcPr>
          <w:p>
            <w:pPr>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幢  数</w:t>
            </w:r>
          </w:p>
        </w:tc>
        <w:tc>
          <w:tcPr>
            <w:tcW w:w="2963" w:type="dxa"/>
            <w:vAlign w:val="center"/>
          </w:tcPr>
          <w:p>
            <w:pPr>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套（单元）数</w:t>
            </w:r>
          </w:p>
        </w:tc>
        <w:tc>
          <w:tcPr>
            <w:tcW w:w="2066" w:type="dxa"/>
            <w:vAlign w:val="center"/>
          </w:tcPr>
          <w:p>
            <w:pPr>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建筑面积（</w:t>
            </w:r>
            <w:r>
              <w:rPr>
                <w:rFonts w:hint="eastAsia" w:ascii="仿宋" w:hAnsi="仿宋" w:eastAsia="仿宋" w:cs="仿宋"/>
                <w:szCs w:val="21"/>
                <w:highlight w:val="none"/>
              </w:rPr>
              <w:t>㎡</w:t>
            </w:r>
            <w:r>
              <w:rPr>
                <w:rFonts w:hint="eastAsia" w:ascii="仿宋_GB2312" w:hAnsi="仿宋_GB2312" w:eastAsia="仿宋_GB2312" w:cs="仿宋_GB2312"/>
                <w:sz w:val="28"/>
                <w:szCs w:val="28"/>
                <w:highlight w:val="none"/>
              </w:rPr>
              <w:t>）</w:t>
            </w:r>
          </w:p>
          <w:p>
            <w:pPr>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（平方米）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高层住宅</w:t>
            </w:r>
          </w:p>
        </w:tc>
        <w:tc>
          <w:tcPr>
            <w:tcW w:w="1234" w:type="dxa"/>
            <w:vAlign w:val="center"/>
          </w:tcPr>
          <w:p>
            <w:pPr>
              <w:jc w:val="center"/>
              <w:rPr>
                <w:rFonts w:ascii="仿宋_GB2312" w:hAnsi="仿宋_GB2312" w:eastAsia="仿宋_GB2312" w:cs="仿宋_GB2312"/>
                <w:sz w:val="28"/>
                <w:szCs w:val="28"/>
                <w:highlight w:val="none"/>
              </w:rPr>
            </w:pPr>
          </w:p>
        </w:tc>
        <w:tc>
          <w:tcPr>
            <w:tcW w:w="2963" w:type="dxa"/>
            <w:vAlign w:val="center"/>
          </w:tcPr>
          <w:p>
            <w:pPr>
              <w:jc w:val="center"/>
              <w:rPr>
                <w:rFonts w:ascii="仿宋_GB2312" w:hAnsi="仿宋_GB2312" w:eastAsia="仿宋_GB2312" w:cs="仿宋_GB2312"/>
                <w:sz w:val="28"/>
                <w:szCs w:val="28"/>
                <w:highlight w:val="none"/>
              </w:rPr>
            </w:pPr>
          </w:p>
        </w:tc>
        <w:tc>
          <w:tcPr>
            <w:tcW w:w="2066" w:type="dxa"/>
            <w:vAlign w:val="center"/>
          </w:tcPr>
          <w:p>
            <w:pPr>
              <w:jc w:val="center"/>
              <w:rPr>
                <w:rFonts w:ascii="仿宋_GB2312" w:hAnsi="仿宋_GB2312" w:eastAsia="仿宋_GB2312" w:cs="仿宋_GB231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多层住宅</w:t>
            </w:r>
          </w:p>
        </w:tc>
        <w:tc>
          <w:tcPr>
            <w:tcW w:w="1234" w:type="dxa"/>
            <w:vAlign w:val="center"/>
          </w:tcPr>
          <w:p>
            <w:pPr>
              <w:jc w:val="center"/>
              <w:rPr>
                <w:rFonts w:ascii="仿宋_GB2312" w:hAnsi="仿宋_GB2312" w:eastAsia="仿宋_GB2312" w:cs="仿宋_GB2312"/>
                <w:sz w:val="28"/>
                <w:szCs w:val="28"/>
                <w:highlight w:val="none"/>
              </w:rPr>
            </w:pPr>
          </w:p>
        </w:tc>
        <w:tc>
          <w:tcPr>
            <w:tcW w:w="2963" w:type="dxa"/>
            <w:vAlign w:val="center"/>
          </w:tcPr>
          <w:p>
            <w:pPr>
              <w:jc w:val="center"/>
              <w:rPr>
                <w:rFonts w:ascii="仿宋_GB2312" w:hAnsi="仿宋_GB2312" w:eastAsia="仿宋_GB2312" w:cs="仿宋_GB2312"/>
                <w:sz w:val="28"/>
                <w:szCs w:val="28"/>
                <w:highlight w:val="none"/>
              </w:rPr>
            </w:pPr>
          </w:p>
        </w:tc>
        <w:tc>
          <w:tcPr>
            <w:tcW w:w="2066" w:type="dxa"/>
            <w:vAlign w:val="center"/>
          </w:tcPr>
          <w:p>
            <w:pPr>
              <w:jc w:val="center"/>
              <w:rPr>
                <w:rFonts w:ascii="仿宋_GB2312" w:hAnsi="仿宋_GB2312" w:eastAsia="仿宋_GB2312" w:cs="仿宋_GB231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别  墅</w:t>
            </w:r>
          </w:p>
        </w:tc>
        <w:tc>
          <w:tcPr>
            <w:tcW w:w="1234" w:type="dxa"/>
            <w:vAlign w:val="center"/>
          </w:tcPr>
          <w:p>
            <w:pPr>
              <w:jc w:val="center"/>
              <w:rPr>
                <w:rFonts w:ascii="仿宋_GB2312" w:hAnsi="仿宋_GB2312" w:eastAsia="仿宋_GB2312" w:cs="仿宋_GB2312"/>
                <w:sz w:val="28"/>
                <w:szCs w:val="28"/>
                <w:highlight w:val="none"/>
              </w:rPr>
            </w:pPr>
          </w:p>
        </w:tc>
        <w:tc>
          <w:tcPr>
            <w:tcW w:w="2963" w:type="dxa"/>
            <w:vAlign w:val="center"/>
          </w:tcPr>
          <w:p>
            <w:pPr>
              <w:jc w:val="center"/>
              <w:rPr>
                <w:rFonts w:ascii="仿宋_GB2312" w:hAnsi="仿宋_GB2312" w:eastAsia="仿宋_GB2312" w:cs="仿宋_GB2312"/>
                <w:sz w:val="28"/>
                <w:szCs w:val="28"/>
                <w:highlight w:val="none"/>
              </w:rPr>
            </w:pPr>
          </w:p>
        </w:tc>
        <w:tc>
          <w:tcPr>
            <w:tcW w:w="2066" w:type="dxa"/>
            <w:vAlign w:val="center"/>
          </w:tcPr>
          <w:p>
            <w:pPr>
              <w:jc w:val="center"/>
              <w:rPr>
                <w:rFonts w:ascii="仿宋_GB2312" w:hAnsi="仿宋_GB2312" w:eastAsia="仿宋_GB2312" w:cs="仿宋_GB231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商业用房</w:t>
            </w:r>
          </w:p>
        </w:tc>
        <w:tc>
          <w:tcPr>
            <w:tcW w:w="1234" w:type="dxa"/>
            <w:vAlign w:val="center"/>
          </w:tcPr>
          <w:p>
            <w:pPr>
              <w:jc w:val="center"/>
              <w:rPr>
                <w:rFonts w:ascii="仿宋_GB2312" w:hAnsi="仿宋_GB2312" w:eastAsia="仿宋_GB2312" w:cs="仿宋_GB2312"/>
                <w:sz w:val="28"/>
                <w:szCs w:val="28"/>
                <w:highlight w:val="none"/>
              </w:rPr>
            </w:pPr>
          </w:p>
        </w:tc>
        <w:tc>
          <w:tcPr>
            <w:tcW w:w="2963" w:type="dxa"/>
            <w:vAlign w:val="center"/>
          </w:tcPr>
          <w:p>
            <w:pPr>
              <w:jc w:val="center"/>
              <w:rPr>
                <w:rFonts w:ascii="仿宋_GB2312" w:hAnsi="仿宋_GB2312" w:eastAsia="仿宋_GB2312" w:cs="仿宋_GB2312"/>
                <w:sz w:val="28"/>
                <w:szCs w:val="28"/>
                <w:highlight w:val="none"/>
              </w:rPr>
            </w:pPr>
          </w:p>
        </w:tc>
        <w:tc>
          <w:tcPr>
            <w:tcW w:w="2066" w:type="dxa"/>
            <w:vAlign w:val="center"/>
          </w:tcPr>
          <w:p>
            <w:pPr>
              <w:jc w:val="center"/>
              <w:rPr>
                <w:rFonts w:ascii="仿宋_GB2312" w:hAnsi="仿宋_GB2312" w:eastAsia="仿宋_GB2312" w:cs="仿宋_GB231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工业用房</w:t>
            </w:r>
          </w:p>
        </w:tc>
        <w:tc>
          <w:tcPr>
            <w:tcW w:w="1234" w:type="dxa"/>
            <w:vAlign w:val="center"/>
          </w:tcPr>
          <w:p>
            <w:pPr>
              <w:jc w:val="center"/>
              <w:rPr>
                <w:rFonts w:ascii="仿宋_GB2312" w:hAnsi="仿宋_GB2312" w:eastAsia="仿宋_GB2312" w:cs="仿宋_GB2312"/>
                <w:sz w:val="28"/>
                <w:szCs w:val="28"/>
                <w:highlight w:val="none"/>
              </w:rPr>
            </w:pPr>
          </w:p>
        </w:tc>
        <w:tc>
          <w:tcPr>
            <w:tcW w:w="2963" w:type="dxa"/>
            <w:vAlign w:val="center"/>
          </w:tcPr>
          <w:p>
            <w:pPr>
              <w:jc w:val="center"/>
              <w:rPr>
                <w:rFonts w:ascii="仿宋_GB2312" w:hAnsi="仿宋_GB2312" w:eastAsia="仿宋_GB2312" w:cs="仿宋_GB2312"/>
                <w:sz w:val="28"/>
                <w:szCs w:val="28"/>
                <w:highlight w:val="none"/>
              </w:rPr>
            </w:pPr>
          </w:p>
        </w:tc>
        <w:tc>
          <w:tcPr>
            <w:tcW w:w="2066" w:type="dxa"/>
            <w:vAlign w:val="center"/>
          </w:tcPr>
          <w:p>
            <w:pPr>
              <w:jc w:val="center"/>
              <w:rPr>
                <w:rFonts w:ascii="仿宋_GB2312" w:hAnsi="仿宋_GB2312" w:eastAsia="仿宋_GB2312" w:cs="仿宋_GB231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办公楼</w:t>
            </w:r>
          </w:p>
        </w:tc>
        <w:tc>
          <w:tcPr>
            <w:tcW w:w="1234" w:type="dxa"/>
            <w:vAlign w:val="center"/>
          </w:tcPr>
          <w:p>
            <w:pPr>
              <w:jc w:val="center"/>
              <w:rPr>
                <w:rFonts w:ascii="仿宋_GB2312" w:hAnsi="仿宋_GB2312" w:eastAsia="仿宋_GB2312" w:cs="仿宋_GB2312"/>
                <w:sz w:val="28"/>
                <w:szCs w:val="28"/>
                <w:highlight w:val="none"/>
              </w:rPr>
            </w:pPr>
          </w:p>
        </w:tc>
        <w:tc>
          <w:tcPr>
            <w:tcW w:w="2963" w:type="dxa"/>
            <w:vAlign w:val="center"/>
          </w:tcPr>
          <w:p>
            <w:pPr>
              <w:jc w:val="center"/>
              <w:rPr>
                <w:rFonts w:ascii="仿宋_GB2312" w:hAnsi="仿宋_GB2312" w:eastAsia="仿宋_GB2312" w:cs="仿宋_GB2312"/>
                <w:sz w:val="28"/>
                <w:szCs w:val="28"/>
                <w:highlight w:val="none"/>
              </w:rPr>
            </w:pPr>
          </w:p>
        </w:tc>
        <w:tc>
          <w:tcPr>
            <w:tcW w:w="2066" w:type="dxa"/>
            <w:vAlign w:val="center"/>
          </w:tcPr>
          <w:p>
            <w:pPr>
              <w:jc w:val="center"/>
              <w:rPr>
                <w:rFonts w:ascii="仿宋_GB2312" w:hAnsi="仿宋_GB2312" w:eastAsia="仿宋_GB2312" w:cs="仿宋_GB231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车  库</w:t>
            </w:r>
          </w:p>
        </w:tc>
        <w:tc>
          <w:tcPr>
            <w:tcW w:w="1234" w:type="dxa"/>
            <w:vAlign w:val="center"/>
          </w:tcPr>
          <w:p>
            <w:pPr>
              <w:jc w:val="center"/>
              <w:rPr>
                <w:rFonts w:ascii="仿宋_GB2312" w:hAnsi="仿宋_GB2312" w:eastAsia="仿宋_GB2312" w:cs="仿宋_GB2312"/>
                <w:sz w:val="28"/>
                <w:szCs w:val="28"/>
                <w:highlight w:val="none"/>
              </w:rPr>
            </w:pPr>
          </w:p>
        </w:tc>
        <w:tc>
          <w:tcPr>
            <w:tcW w:w="2963" w:type="dxa"/>
            <w:vAlign w:val="center"/>
          </w:tcPr>
          <w:p>
            <w:pPr>
              <w:jc w:val="center"/>
              <w:rPr>
                <w:rFonts w:ascii="仿宋_GB2312" w:hAnsi="仿宋_GB2312" w:eastAsia="仿宋_GB2312" w:cs="仿宋_GB2312"/>
                <w:sz w:val="28"/>
                <w:szCs w:val="28"/>
                <w:highlight w:val="none"/>
              </w:rPr>
            </w:pPr>
          </w:p>
        </w:tc>
        <w:tc>
          <w:tcPr>
            <w:tcW w:w="2066" w:type="dxa"/>
            <w:vAlign w:val="center"/>
          </w:tcPr>
          <w:p>
            <w:pPr>
              <w:jc w:val="center"/>
              <w:rPr>
                <w:rFonts w:ascii="仿宋_GB2312" w:hAnsi="仿宋_GB2312" w:eastAsia="仿宋_GB2312" w:cs="仿宋_GB231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会  所</w:t>
            </w:r>
          </w:p>
        </w:tc>
        <w:tc>
          <w:tcPr>
            <w:tcW w:w="1234" w:type="dxa"/>
            <w:vAlign w:val="center"/>
          </w:tcPr>
          <w:p>
            <w:pPr>
              <w:jc w:val="center"/>
              <w:rPr>
                <w:rFonts w:ascii="仿宋_GB2312" w:hAnsi="仿宋_GB2312" w:eastAsia="仿宋_GB2312" w:cs="仿宋_GB2312"/>
                <w:sz w:val="28"/>
                <w:szCs w:val="28"/>
                <w:highlight w:val="none"/>
              </w:rPr>
            </w:pPr>
          </w:p>
        </w:tc>
        <w:tc>
          <w:tcPr>
            <w:tcW w:w="2963" w:type="dxa"/>
            <w:vAlign w:val="center"/>
          </w:tcPr>
          <w:p>
            <w:pPr>
              <w:jc w:val="center"/>
              <w:rPr>
                <w:rFonts w:ascii="仿宋_GB2312" w:hAnsi="仿宋_GB2312" w:eastAsia="仿宋_GB2312" w:cs="仿宋_GB2312"/>
                <w:sz w:val="28"/>
                <w:szCs w:val="28"/>
                <w:highlight w:val="none"/>
              </w:rPr>
            </w:pPr>
          </w:p>
        </w:tc>
        <w:tc>
          <w:tcPr>
            <w:tcW w:w="2066" w:type="dxa"/>
            <w:vAlign w:val="center"/>
          </w:tcPr>
          <w:p>
            <w:pPr>
              <w:jc w:val="center"/>
              <w:rPr>
                <w:rFonts w:ascii="仿宋_GB2312" w:hAnsi="仿宋_GB2312" w:eastAsia="仿宋_GB2312" w:cs="仿宋_GB231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学  校</w:t>
            </w:r>
          </w:p>
        </w:tc>
        <w:tc>
          <w:tcPr>
            <w:tcW w:w="1234" w:type="dxa"/>
            <w:vAlign w:val="center"/>
          </w:tcPr>
          <w:p>
            <w:pPr>
              <w:jc w:val="center"/>
              <w:rPr>
                <w:rFonts w:ascii="仿宋_GB2312" w:hAnsi="仿宋_GB2312" w:eastAsia="仿宋_GB2312" w:cs="仿宋_GB2312"/>
                <w:sz w:val="28"/>
                <w:szCs w:val="28"/>
                <w:highlight w:val="none"/>
              </w:rPr>
            </w:pPr>
          </w:p>
        </w:tc>
        <w:tc>
          <w:tcPr>
            <w:tcW w:w="2963" w:type="dxa"/>
            <w:vAlign w:val="center"/>
          </w:tcPr>
          <w:p>
            <w:pPr>
              <w:jc w:val="center"/>
              <w:rPr>
                <w:rFonts w:ascii="仿宋_GB2312" w:hAnsi="仿宋_GB2312" w:eastAsia="仿宋_GB2312" w:cs="仿宋_GB2312"/>
                <w:sz w:val="28"/>
                <w:szCs w:val="28"/>
                <w:highlight w:val="none"/>
              </w:rPr>
            </w:pPr>
          </w:p>
        </w:tc>
        <w:tc>
          <w:tcPr>
            <w:tcW w:w="2066" w:type="dxa"/>
            <w:vAlign w:val="center"/>
          </w:tcPr>
          <w:p>
            <w:pPr>
              <w:jc w:val="center"/>
              <w:rPr>
                <w:rFonts w:ascii="仿宋_GB2312" w:hAnsi="仿宋_GB2312" w:eastAsia="仿宋_GB2312" w:cs="仿宋_GB231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幼儿园</w:t>
            </w:r>
          </w:p>
        </w:tc>
        <w:tc>
          <w:tcPr>
            <w:tcW w:w="1234" w:type="dxa"/>
            <w:vAlign w:val="center"/>
          </w:tcPr>
          <w:p>
            <w:pPr>
              <w:jc w:val="center"/>
              <w:rPr>
                <w:rFonts w:ascii="仿宋_GB2312" w:hAnsi="仿宋_GB2312" w:eastAsia="仿宋_GB2312" w:cs="仿宋_GB2312"/>
                <w:sz w:val="28"/>
                <w:szCs w:val="28"/>
                <w:highlight w:val="none"/>
              </w:rPr>
            </w:pPr>
          </w:p>
        </w:tc>
        <w:tc>
          <w:tcPr>
            <w:tcW w:w="2963" w:type="dxa"/>
            <w:vAlign w:val="center"/>
          </w:tcPr>
          <w:p>
            <w:pPr>
              <w:jc w:val="center"/>
              <w:rPr>
                <w:rFonts w:ascii="仿宋_GB2312" w:hAnsi="仿宋_GB2312" w:eastAsia="仿宋_GB2312" w:cs="仿宋_GB2312"/>
                <w:sz w:val="28"/>
                <w:szCs w:val="28"/>
                <w:highlight w:val="none"/>
              </w:rPr>
            </w:pPr>
          </w:p>
        </w:tc>
        <w:tc>
          <w:tcPr>
            <w:tcW w:w="2066" w:type="dxa"/>
            <w:vAlign w:val="center"/>
          </w:tcPr>
          <w:p>
            <w:pPr>
              <w:tabs>
                <w:tab w:val="center" w:pos="985"/>
                <w:tab w:val="right" w:pos="1850"/>
              </w:tabs>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ab/>
            </w:r>
            <w:r>
              <w:rPr>
                <w:rFonts w:hint="eastAsia" w:ascii="仿宋_GB2312" w:hAnsi="仿宋_GB2312" w:eastAsia="仿宋_GB2312" w:cs="仿宋_GB2312"/>
                <w:sz w:val="28"/>
                <w:szCs w:val="28"/>
                <w:highlight w:val="none"/>
                <w:lang w:eastAsia="zh-CN"/>
              </w:rPr>
              <w:tab/>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4"/>
                <w:szCs w:val="24"/>
                <w:highlight w:val="none"/>
              </w:rPr>
              <w:t>社康中心</w:t>
            </w:r>
          </w:p>
        </w:tc>
        <w:tc>
          <w:tcPr>
            <w:tcW w:w="1234" w:type="dxa"/>
            <w:vAlign w:val="center"/>
          </w:tcPr>
          <w:p>
            <w:pPr>
              <w:jc w:val="center"/>
              <w:rPr>
                <w:rFonts w:ascii="仿宋_GB2312" w:hAnsi="仿宋_GB2312" w:eastAsia="仿宋_GB2312" w:cs="仿宋_GB2312"/>
                <w:sz w:val="28"/>
                <w:szCs w:val="28"/>
                <w:highlight w:val="none"/>
              </w:rPr>
            </w:pPr>
          </w:p>
        </w:tc>
        <w:tc>
          <w:tcPr>
            <w:tcW w:w="2963" w:type="dxa"/>
            <w:vAlign w:val="center"/>
          </w:tcPr>
          <w:p>
            <w:pPr>
              <w:jc w:val="center"/>
              <w:rPr>
                <w:rFonts w:ascii="仿宋_GB2312" w:hAnsi="仿宋_GB2312" w:eastAsia="仿宋_GB2312" w:cs="仿宋_GB2312"/>
                <w:sz w:val="28"/>
                <w:szCs w:val="28"/>
                <w:highlight w:val="none"/>
              </w:rPr>
            </w:pPr>
          </w:p>
        </w:tc>
        <w:tc>
          <w:tcPr>
            <w:tcW w:w="2066" w:type="dxa"/>
            <w:vAlign w:val="center"/>
          </w:tcPr>
          <w:p>
            <w:pPr>
              <w:jc w:val="center"/>
              <w:rPr>
                <w:rFonts w:ascii="仿宋_GB2312" w:hAnsi="仿宋_GB2312" w:eastAsia="仿宋_GB2312" w:cs="仿宋_GB231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警务室</w:t>
            </w:r>
          </w:p>
        </w:tc>
        <w:tc>
          <w:tcPr>
            <w:tcW w:w="1234" w:type="dxa"/>
            <w:vAlign w:val="center"/>
          </w:tcPr>
          <w:p>
            <w:pPr>
              <w:jc w:val="center"/>
              <w:rPr>
                <w:rFonts w:ascii="仿宋_GB2312" w:hAnsi="仿宋_GB2312" w:eastAsia="仿宋_GB2312" w:cs="仿宋_GB2312"/>
                <w:sz w:val="28"/>
                <w:szCs w:val="28"/>
                <w:highlight w:val="none"/>
              </w:rPr>
            </w:pPr>
          </w:p>
        </w:tc>
        <w:tc>
          <w:tcPr>
            <w:tcW w:w="2963" w:type="dxa"/>
            <w:vAlign w:val="center"/>
          </w:tcPr>
          <w:p>
            <w:pPr>
              <w:jc w:val="center"/>
              <w:rPr>
                <w:rFonts w:ascii="仿宋_GB2312" w:hAnsi="仿宋_GB2312" w:eastAsia="仿宋_GB2312" w:cs="仿宋_GB2312"/>
                <w:sz w:val="28"/>
                <w:szCs w:val="28"/>
                <w:highlight w:val="none"/>
              </w:rPr>
            </w:pPr>
          </w:p>
        </w:tc>
        <w:tc>
          <w:tcPr>
            <w:tcW w:w="2066" w:type="dxa"/>
            <w:vAlign w:val="center"/>
          </w:tcPr>
          <w:p>
            <w:pPr>
              <w:jc w:val="center"/>
              <w:rPr>
                <w:rFonts w:ascii="仿宋_GB2312" w:hAnsi="仿宋_GB2312" w:eastAsia="仿宋_GB2312" w:cs="仿宋_GB231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文体服务中心</w:t>
            </w:r>
          </w:p>
        </w:tc>
        <w:tc>
          <w:tcPr>
            <w:tcW w:w="1234" w:type="dxa"/>
            <w:vAlign w:val="center"/>
          </w:tcPr>
          <w:p>
            <w:pPr>
              <w:jc w:val="center"/>
              <w:rPr>
                <w:rFonts w:ascii="仿宋_GB2312" w:hAnsi="仿宋_GB2312" w:eastAsia="仿宋_GB2312" w:cs="仿宋_GB2312"/>
                <w:sz w:val="28"/>
                <w:szCs w:val="28"/>
                <w:highlight w:val="none"/>
              </w:rPr>
            </w:pPr>
          </w:p>
        </w:tc>
        <w:tc>
          <w:tcPr>
            <w:tcW w:w="2963" w:type="dxa"/>
            <w:vAlign w:val="center"/>
          </w:tcPr>
          <w:p>
            <w:pPr>
              <w:jc w:val="center"/>
              <w:rPr>
                <w:rFonts w:ascii="仿宋_GB2312" w:hAnsi="仿宋_GB2312" w:eastAsia="仿宋_GB2312" w:cs="仿宋_GB2312"/>
                <w:sz w:val="28"/>
                <w:szCs w:val="28"/>
                <w:highlight w:val="none"/>
              </w:rPr>
            </w:pPr>
          </w:p>
        </w:tc>
        <w:tc>
          <w:tcPr>
            <w:tcW w:w="2066" w:type="dxa"/>
            <w:vAlign w:val="center"/>
          </w:tcPr>
          <w:p>
            <w:pPr>
              <w:jc w:val="center"/>
              <w:rPr>
                <w:rFonts w:ascii="仿宋_GB2312" w:hAnsi="仿宋_GB2312" w:eastAsia="仿宋_GB2312" w:cs="仿宋_GB231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物业管理用房</w:t>
            </w:r>
          </w:p>
        </w:tc>
        <w:tc>
          <w:tcPr>
            <w:tcW w:w="1234" w:type="dxa"/>
            <w:vAlign w:val="center"/>
          </w:tcPr>
          <w:p>
            <w:pPr>
              <w:jc w:val="center"/>
              <w:rPr>
                <w:rFonts w:ascii="仿宋_GB2312" w:hAnsi="仿宋_GB2312" w:eastAsia="仿宋_GB2312" w:cs="仿宋_GB2312"/>
                <w:sz w:val="28"/>
                <w:szCs w:val="28"/>
                <w:highlight w:val="none"/>
              </w:rPr>
            </w:pPr>
          </w:p>
        </w:tc>
        <w:tc>
          <w:tcPr>
            <w:tcW w:w="2963" w:type="dxa"/>
            <w:vAlign w:val="center"/>
          </w:tcPr>
          <w:p>
            <w:pPr>
              <w:jc w:val="center"/>
              <w:rPr>
                <w:rFonts w:ascii="仿宋_GB2312" w:hAnsi="仿宋_GB2312" w:eastAsia="仿宋_GB2312" w:cs="仿宋_GB2312"/>
                <w:sz w:val="28"/>
                <w:szCs w:val="28"/>
                <w:highlight w:val="none"/>
              </w:rPr>
            </w:pPr>
          </w:p>
        </w:tc>
        <w:tc>
          <w:tcPr>
            <w:tcW w:w="2066" w:type="dxa"/>
            <w:vAlign w:val="center"/>
          </w:tcPr>
          <w:p>
            <w:pPr>
              <w:jc w:val="center"/>
              <w:rPr>
                <w:rFonts w:ascii="仿宋_GB2312" w:hAnsi="仿宋_GB2312" w:eastAsia="仿宋_GB2312" w:cs="仿宋_GB231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合  计</w:t>
            </w:r>
          </w:p>
        </w:tc>
        <w:tc>
          <w:tcPr>
            <w:tcW w:w="1234" w:type="dxa"/>
            <w:vAlign w:val="center"/>
          </w:tcPr>
          <w:p>
            <w:pPr>
              <w:jc w:val="center"/>
              <w:rPr>
                <w:rFonts w:ascii="仿宋_GB2312" w:hAnsi="仿宋_GB2312" w:eastAsia="仿宋_GB2312" w:cs="仿宋_GB2312"/>
                <w:sz w:val="28"/>
                <w:szCs w:val="28"/>
                <w:highlight w:val="none"/>
              </w:rPr>
            </w:pPr>
          </w:p>
        </w:tc>
        <w:tc>
          <w:tcPr>
            <w:tcW w:w="2963" w:type="dxa"/>
            <w:vAlign w:val="center"/>
          </w:tcPr>
          <w:p>
            <w:pPr>
              <w:jc w:val="center"/>
              <w:rPr>
                <w:rFonts w:ascii="仿宋_GB2312" w:hAnsi="仿宋_GB2312" w:eastAsia="仿宋_GB2312" w:cs="仿宋_GB2312"/>
                <w:sz w:val="28"/>
                <w:szCs w:val="28"/>
                <w:highlight w:val="none"/>
              </w:rPr>
            </w:pPr>
          </w:p>
        </w:tc>
        <w:tc>
          <w:tcPr>
            <w:tcW w:w="2066" w:type="dxa"/>
            <w:vAlign w:val="center"/>
          </w:tcPr>
          <w:p>
            <w:pPr>
              <w:jc w:val="center"/>
              <w:rPr>
                <w:rFonts w:ascii="仿宋_GB2312" w:hAnsi="仿宋_GB2312" w:eastAsia="仿宋_GB2312" w:cs="仿宋_GB231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备  注</w:t>
            </w:r>
          </w:p>
        </w:tc>
        <w:tc>
          <w:tcPr>
            <w:tcW w:w="1234" w:type="dxa"/>
            <w:vAlign w:val="center"/>
          </w:tcPr>
          <w:p>
            <w:pPr>
              <w:jc w:val="center"/>
              <w:rPr>
                <w:rFonts w:ascii="仿宋_GB2312" w:hAnsi="仿宋_GB2312" w:eastAsia="仿宋_GB2312" w:cs="仿宋_GB2312"/>
                <w:sz w:val="28"/>
                <w:szCs w:val="28"/>
                <w:highlight w:val="none"/>
              </w:rPr>
            </w:pPr>
          </w:p>
        </w:tc>
        <w:tc>
          <w:tcPr>
            <w:tcW w:w="2963" w:type="dxa"/>
            <w:vAlign w:val="center"/>
          </w:tcPr>
          <w:p>
            <w:pPr>
              <w:jc w:val="center"/>
              <w:rPr>
                <w:rFonts w:ascii="仿宋_GB2312" w:hAnsi="仿宋_GB2312" w:eastAsia="仿宋_GB2312" w:cs="仿宋_GB2312"/>
                <w:sz w:val="28"/>
                <w:szCs w:val="28"/>
                <w:highlight w:val="none"/>
              </w:rPr>
            </w:pPr>
          </w:p>
        </w:tc>
        <w:tc>
          <w:tcPr>
            <w:tcW w:w="2066" w:type="dxa"/>
            <w:vAlign w:val="center"/>
          </w:tcPr>
          <w:p>
            <w:pPr>
              <w:jc w:val="center"/>
              <w:rPr>
                <w:rFonts w:ascii="仿宋_GB2312" w:hAnsi="仿宋_GB2312" w:eastAsia="仿宋_GB2312" w:cs="仿宋_GB2312"/>
                <w:sz w:val="28"/>
                <w:szCs w:val="28"/>
                <w:highlight w:val="none"/>
              </w:rPr>
            </w:pPr>
          </w:p>
        </w:tc>
      </w:tr>
    </w:tbl>
    <w:p>
      <w:pPr>
        <w:rPr>
          <w:rFonts w:ascii="仿宋" w:hAnsi="仿宋" w:eastAsia="仿宋" w:cs="仿宋"/>
          <w:sz w:val="32"/>
          <w:szCs w:val="32"/>
          <w:highlight w:val="none"/>
        </w:rPr>
      </w:pPr>
    </w:p>
    <w:p>
      <w:pPr>
        <w:rPr>
          <w:rFonts w:ascii="仿宋" w:hAnsi="仿宋" w:eastAsia="仿宋" w:cs="仿宋"/>
          <w:sz w:val="32"/>
          <w:szCs w:val="32"/>
          <w:highlight w:val="none"/>
        </w:rPr>
      </w:pPr>
      <w:r>
        <w:rPr>
          <w:rFonts w:hint="eastAsia" w:ascii="仿宋" w:hAnsi="仿宋" w:eastAsia="仿宋" w:cs="仿宋"/>
          <w:sz w:val="32"/>
          <w:szCs w:val="32"/>
          <w:highlight w:val="none"/>
        </w:rPr>
        <w:t>附件3：</w:t>
      </w:r>
    </w:p>
    <w:p>
      <w:pPr>
        <w:spacing w:afterLines="50"/>
        <w:jc w:val="center"/>
        <w:rPr>
          <w:rFonts w:ascii="黑体" w:hAnsi="黑体" w:eastAsia="黑体"/>
          <w:bCs/>
          <w:sz w:val="32"/>
          <w:szCs w:val="32"/>
          <w:highlight w:val="none"/>
        </w:rPr>
      </w:pPr>
      <w:r>
        <w:rPr>
          <w:rFonts w:hint="eastAsia" w:ascii="黑体" w:hAnsi="黑体" w:eastAsia="黑体"/>
          <w:bCs/>
          <w:sz w:val="32"/>
          <w:szCs w:val="32"/>
          <w:highlight w:val="none"/>
        </w:rPr>
        <w:t>共有物业、共用设施设备明细</w:t>
      </w:r>
    </w:p>
    <w:tbl>
      <w:tblPr>
        <w:tblStyle w:val="11"/>
        <w:tblW w:w="9429" w:type="dxa"/>
        <w:jc w:val="center"/>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
      <w:tblGrid>
        <w:gridCol w:w="1552"/>
        <w:gridCol w:w="1016"/>
        <w:gridCol w:w="7"/>
        <w:gridCol w:w="1061"/>
        <w:gridCol w:w="1461"/>
        <w:gridCol w:w="576"/>
        <w:gridCol w:w="898"/>
        <w:gridCol w:w="938"/>
        <w:gridCol w:w="376"/>
        <w:gridCol w:w="82"/>
        <w:gridCol w:w="1462"/>
      </w:tblGrid>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bookmarkStart w:id="19" w:name="_Hlk23424088"/>
            <w:r>
              <w:rPr>
                <w:rFonts w:hint="eastAsia" w:ascii="仿宋" w:hAnsi="仿宋" w:eastAsia="仿宋" w:cs="仿宋"/>
                <w:szCs w:val="21"/>
                <w:highlight w:val="none"/>
              </w:rPr>
              <w:t xml:space="preserve">物业管理区域内房屋建筑本体之外的共用设施设备情况  </w:t>
            </w: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本物业管理区域车辆出入口</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 xml:space="preserve">    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人行出入口</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 xml:space="preserve">  个</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道路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车行道</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绿化面积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园林建筑小品</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污水管长</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m</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污水检查井</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雨水管长</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m</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雨水检查井</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雨水进水井</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m</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化粪池</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路灯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地灯</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个</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草坪灯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其他照明设施</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个</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垃圾箱</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垃圾房建筑面积</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体育设施</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处</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儿童娱乐设施</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处</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休闲设施</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处</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90" w:hRule="atLeast"/>
          <w:jc w:val="center"/>
        </w:trPr>
        <w:tc>
          <w:tcPr>
            <w:tcW w:w="1552" w:type="dxa"/>
            <w:vMerge w:val="restart"/>
            <w:tcBorders>
              <w:top w:val="single" w:color="auto" w:sz="4" w:space="0"/>
              <w:left w:val="single" w:color="auto" w:sz="4" w:space="0"/>
              <w:bottom w:val="single" w:color="auto" w:sz="4" w:space="0"/>
              <w:right w:val="single" w:color="auto" w:sz="4" w:space="0"/>
            </w:tcBorders>
            <w:vAlign w:val="center"/>
          </w:tcPr>
          <w:p>
            <w:pPr>
              <w:ind w:left="113" w:right="113"/>
              <w:jc w:val="center"/>
              <w:rPr>
                <w:rFonts w:ascii="仿宋" w:hAnsi="仿宋" w:eastAsia="仿宋" w:cs="仿宋"/>
                <w:szCs w:val="21"/>
                <w:highlight w:val="none"/>
              </w:rPr>
            </w:pPr>
            <w:r>
              <w:rPr>
                <w:rFonts w:hint="eastAsia" w:ascii="仿宋" w:hAnsi="仿宋" w:eastAsia="仿宋" w:cs="仿宋"/>
                <w:szCs w:val="21"/>
                <w:highlight w:val="none"/>
              </w:rPr>
              <w:t>房屋建筑本体共有部分及本体共用设施设备</w:t>
            </w:r>
          </w:p>
        </w:tc>
        <w:tc>
          <w:tcPr>
            <w:tcW w:w="102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电梯</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数量</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台</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功率</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千瓦</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0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品牌型号</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启用时间</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配电房变压器</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数量</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台</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容量</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千瓦</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0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品牌型号</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启用时间</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发电机组</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功率</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KW</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品牌型号</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0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启用时间</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生活蓄水池</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highlight w:val="none"/>
              </w:rPr>
            </w:pPr>
            <w:r>
              <w:rPr>
                <w:rFonts w:hint="eastAsia" w:ascii="仿宋" w:hAnsi="仿宋" w:eastAsia="仿宋" w:cs="仿宋"/>
                <w:szCs w:val="21"/>
                <w:highlight w:val="none"/>
              </w:rPr>
              <w:t>立方</w:t>
            </w:r>
          </w:p>
        </w:tc>
        <w:tc>
          <w:tcPr>
            <w:tcW w:w="14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消防水池</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立方</w:t>
            </w:r>
          </w:p>
        </w:tc>
        <w:tc>
          <w:tcPr>
            <w:tcW w:w="13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消防水箱</w:t>
            </w: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立方</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生活水泵</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台</w:t>
            </w:r>
          </w:p>
        </w:tc>
        <w:tc>
          <w:tcPr>
            <w:tcW w:w="14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功率</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KW</w:t>
            </w:r>
          </w:p>
        </w:tc>
        <w:tc>
          <w:tcPr>
            <w:tcW w:w="13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启用时间</w:t>
            </w: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消防水泵</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台</w:t>
            </w:r>
          </w:p>
        </w:tc>
        <w:tc>
          <w:tcPr>
            <w:tcW w:w="14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功率</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KW</w:t>
            </w:r>
          </w:p>
        </w:tc>
        <w:tc>
          <w:tcPr>
            <w:tcW w:w="13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启用时间</w:t>
            </w: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排污水泵</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台</w:t>
            </w:r>
          </w:p>
        </w:tc>
        <w:tc>
          <w:tcPr>
            <w:tcW w:w="14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功率</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KW</w:t>
            </w:r>
          </w:p>
        </w:tc>
        <w:tc>
          <w:tcPr>
            <w:tcW w:w="13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启用时间</w:t>
            </w: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消防系统情况</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智能化系统情况</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其他设施设备情况</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669"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业主委员会活动用房</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ind w:right="420"/>
              <w:rPr>
                <w:rFonts w:ascii="仿宋" w:hAnsi="仿宋" w:eastAsia="仿宋" w:cs="仿宋"/>
                <w:szCs w:val="21"/>
                <w:highlight w:val="none"/>
                <w:u w:val="single"/>
              </w:rPr>
            </w:pPr>
            <w:r>
              <w:rPr>
                <w:rFonts w:hint="eastAsia" w:ascii="仿宋" w:hAnsi="仿宋" w:eastAsia="仿宋" w:cs="仿宋"/>
                <w:szCs w:val="21"/>
                <w:highlight w:val="none"/>
              </w:rPr>
              <w:t>坐落位置</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物业服务办公用房</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ind w:right="420"/>
              <w:rPr>
                <w:rFonts w:ascii="仿宋" w:hAnsi="仿宋" w:eastAsia="仿宋" w:cs="仿宋"/>
                <w:szCs w:val="21"/>
                <w:highlight w:val="none"/>
              </w:rPr>
            </w:pPr>
            <w:r>
              <w:rPr>
                <w:rFonts w:hint="eastAsia" w:ascii="仿宋" w:hAnsi="仿宋" w:eastAsia="仿宋" w:cs="仿宋"/>
                <w:szCs w:val="21"/>
                <w:highlight w:val="none"/>
              </w:rPr>
              <w:t>坐落位置</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物业管理设施设备用房</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ind w:right="420"/>
              <w:rPr>
                <w:rFonts w:ascii="仿宋" w:hAnsi="仿宋" w:eastAsia="仿宋" w:cs="仿宋"/>
                <w:szCs w:val="21"/>
                <w:highlight w:val="none"/>
                <w:u w:val="single"/>
              </w:rPr>
            </w:pPr>
            <w:r>
              <w:rPr>
                <w:rFonts w:hint="eastAsia" w:ascii="仿宋" w:hAnsi="仿宋" w:eastAsia="仿宋" w:cs="仿宋"/>
                <w:szCs w:val="21"/>
                <w:highlight w:val="none"/>
              </w:rPr>
              <w:t>坐落位置</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tc>
      </w:tr>
      <w:bookmarkEnd w:id="19"/>
    </w:tbl>
    <w:p>
      <w:pPr>
        <w:rPr>
          <w:rFonts w:ascii="仿宋" w:hAnsi="仿宋" w:eastAsia="仿宋"/>
          <w:b/>
          <w:bCs/>
          <w:sz w:val="24"/>
          <w:highlight w:val="none"/>
        </w:rPr>
      </w:pPr>
      <w:r>
        <w:rPr>
          <w:rFonts w:ascii="仿宋" w:hAnsi="仿宋" w:eastAsia="仿宋"/>
          <w:b/>
          <w:bCs/>
          <w:sz w:val="24"/>
          <w:highlight w:val="none"/>
        </w:rPr>
        <w:br w:type="page"/>
      </w:r>
    </w:p>
    <w:p>
      <w:pPr>
        <w:pStyle w:val="2"/>
        <w:rPr>
          <w:rFonts w:ascii="仿宋" w:hAnsi="仿宋" w:eastAsia="仿宋"/>
          <w:b/>
          <w:bCs/>
          <w:sz w:val="24"/>
          <w:highlight w:val="none"/>
        </w:rPr>
      </w:pPr>
    </w:p>
    <w:p>
      <w:pPr>
        <w:keepNext w:val="0"/>
        <w:keepLines w:val="0"/>
        <w:widowControl/>
        <w:suppressLineNumbers w:val="0"/>
        <w:jc w:val="center"/>
        <w:rPr>
          <w:highlight w:val="none"/>
        </w:rPr>
      </w:pPr>
      <w:r>
        <w:rPr>
          <w:rFonts w:hint="eastAsia" w:ascii="宋体" w:hAnsi="宋体" w:eastAsia="宋体" w:cs="宋体"/>
          <w:b/>
          <w:bCs/>
          <w:color w:val="000000"/>
          <w:kern w:val="0"/>
          <w:sz w:val="43"/>
          <w:szCs w:val="43"/>
          <w:highlight w:val="none"/>
          <w:lang w:val="en-US" w:eastAsia="zh-CN" w:bidi="ar"/>
        </w:rPr>
        <w:t>深圳市</w:t>
      </w:r>
      <w:r>
        <w:rPr>
          <w:rFonts w:hint="eastAsia" w:ascii="宋体" w:hAnsi="宋体" w:cs="宋体"/>
          <w:b/>
          <w:bCs/>
          <w:color w:val="000000"/>
          <w:kern w:val="0"/>
          <w:sz w:val="43"/>
          <w:szCs w:val="43"/>
          <w:highlight w:val="none"/>
          <w:lang w:val="en-US" w:eastAsia="zh-CN" w:bidi="ar"/>
        </w:rPr>
        <w:t>福田区香蜜湖街道</w:t>
      </w:r>
      <w:r>
        <w:rPr>
          <w:rFonts w:hint="eastAsia" w:ascii="宋体" w:hAnsi="宋体" w:cs="宋体"/>
          <w:b/>
          <w:bCs/>
          <w:color w:val="000000"/>
          <w:kern w:val="0"/>
          <w:sz w:val="43"/>
          <w:szCs w:val="43"/>
          <w:highlight w:val="none"/>
          <w:u w:val="thick"/>
          <w:lang w:val="en-US" w:eastAsia="zh-CN" w:bidi="ar"/>
        </w:rPr>
        <w:t xml:space="preserve">      </w:t>
      </w:r>
      <w:r>
        <w:rPr>
          <w:rFonts w:hint="eastAsia" w:ascii="宋体" w:hAnsi="宋体" w:eastAsia="宋体" w:cs="宋体"/>
          <w:b/>
          <w:bCs/>
          <w:color w:val="000000"/>
          <w:kern w:val="0"/>
          <w:sz w:val="43"/>
          <w:szCs w:val="43"/>
          <w:highlight w:val="none"/>
          <w:lang w:val="en-US" w:eastAsia="zh-CN" w:bidi="ar"/>
        </w:rPr>
        <w:t>（小区）车位分配和管理办法</w:t>
      </w:r>
    </w:p>
    <w:p>
      <w:pPr>
        <w:keepNext w:val="0"/>
        <w:keepLines w:val="0"/>
        <w:widowControl/>
        <w:suppressLineNumbers w:val="0"/>
        <w:jc w:val="center"/>
        <w:rPr>
          <w:highlight w:val="none"/>
        </w:rPr>
      </w:pPr>
      <w:r>
        <w:rPr>
          <w:rFonts w:hint="eastAsia" w:ascii="宋体" w:hAnsi="宋体" w:eastAsia="宋体" w:cs="宋体"/>
          <w:color w:val="000000"/>
          <w:kern w:val="0"/>
          <w:sz w:val="43"/>
          <w:szCs w:val="43"/>
          <w:highlight w:val="none"/>
          <w:lang w:val="en-US" w:eastAsia="zh-CN" w:bidi="ar"/>
        </w:rPr>
        <w:t>（示范文本）</w:t>
      </w:r>
    </w:p>
    <w:p>
      <w:pPr>
        <w:keepNext w:val="0"/>
        <w:keepLines w:val="0"/>
        <w:widowControl/>
        <w:suppressLineNumbers w:val="0"/>
        <w:jc w:val="center"/>
        <w:rPr>
          <w:highlight w:val="none"/>
        </w:rPr>
      </w:pPr>
      <w:r>
        <w:rPr>
          <w:rFonts w:ascii="黑体" w:hAnsi="宋体" w:eastAsia="黑体" w:cs="黑体"/>
          <w:color w:val="000000"/>
          <w:kern w:val="0"/>
          <w:sz w:val="31"/>
          <w:szCs w:val="31"/>
          <w:highlight w:val="none"/>
          <w:lang w:val="en-US" w:eastAsia="zh-CN" w:bidi="ar"/>
        </w:rPr>
        <w:t>第一章 总则</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rPr>
          <w:highlight w:val="none"/>
        </w:rPr>
      </w:pPr>
      <w:r>
        <w:rPr>
          <w:rFonts w:ascii="仿宋" w:hAnsi="仿宋" w:eastAsia="仿宋" w:cs="仿宋"/>
          <w:b/>
          <w:bCs/>
          <w:color w:val="000000"/>
          <w:kern w:val="0"/>
          <w:sz w:val="31"/>
          <w:szCs w:val="31"/>
          <w:highlight w:val="none"/>
          <w:lang w:val="en-US" w:eastAsia="zh-CN" w:bidi="ar"/>
        </w:rPr>
        <w:t xml:space="preserve">第一条 </w:t>
      </w:r>
      <w:r>
        <w:rPr>
          <w:rFonts w:hint="eastAsia" w:ascii="仿宋" w:hAnsi="仿宋" w:eastAsia="仿宋" w:cs="仿宋"/>
          <w:color w:val="000000"/>
          <w:kern w:val="0"/>
          <w:sz w:val="31"/>
          <w:szCs w:val="31"/>
          <w:highlight w:val="none"/>
          <w:lang w:val="en-US" w:eastAsia="zh-CN" w:bidi="ar"/>
        </w:rPr>
        <w:t xml:space="preserve">为规范本物业管理区域车位、车库的分配和管理，营造文明、有序的居住环境，根据《深圳经济特区物业管理条例》（以下简称《条例》）等法律法规，结合实际，制定本办法。 </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rPr>
          <w:highlight w:val="none"/>
        </w:rPr>
      </w:pPr>
      <w:r>
        <w:rPr>
          <w:rFonts w:hint="eastAsia" w:ascii="仿宋" w:hAnsi="仿宋" w:eastAsia="仿宋" w:cs="仿宋"/>
          <w:b/>
          <w:bCs/>
          <w:color w:val="000000"/>
          <w:kern w:val="0"/>
          <w:sz w:val="31"/>
          <w:szCs w:val="31"/>
          <w:highlight w:val="none"/>
          <w:lang w:val="en-US" w:eastAsia="zh-CN" w:bidi="ar"/>
        </w:rPr>
        <w:t xml:space="preserve">第二条 </w:t>
      </w:r>
      <w:r>
        <w:rPr>
          <w:rFonts w:hint="eastAsia" w:ascii="仿宋" w:hAnsi="仿宋" w:eastAsia="仿宋" w:cs="仿宋"/>
          <w:color w:val="000000"/>
          <w:kern w:val="0"/>
          <w:sz w:val="31"/>
          <w:szCs w:val="31"/>
          <w:highlight w:val="none"/>
          <w:lang w:val="en-US" w:eastAsia="zh-CN" w:bidi="ar"/>
        </w:rPr>
        <w:t xml:space="preserve">本物业管理区域用于停放汽车的车位、车库，应当首先满足本区域内业主的停车需要。本物业管理区域车位、车库的分配和管理遵循公平、公正、公开的原则。 </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rPr>
          <w:highlight w:val="none"/>
        </w:rPr>
      </w:pPr>
      <w:r>
        <w:rPr>
          <w:rFonts w:hint="eastAsia" w:ascii="仿宋" w:hAnsi="仿宋" w:eastAsia="仿宋" w:cs="仿宋"/>
          <w:b/>
          <w:bCs/>
          <w:color w:val="000000"/>
          <w:kern w:val="0"/>
          <w:sz w:val="31"/>
          <w:szCs w:val="31"/>
          <w:highlight w:val="none"/>
          <w:lang w:val="en-US" w:eastAsia="zh-CN" w:bidi="ar"/>
        </w:rPr>
        <w:t xml:space="preserve">第三条 </w:t>
      </w:r>
      <w:r>
        <w:rPr>
          <w:rFonts w:hint="eastAsia" w:ascii="仿宋" w:hAnsi="仿宋" w:eastAsia="仿宋" w:cs="仿宋"/>
          <w:color w:val="000000"/>
          <w:kern w:val="0"/>
          <w:sz w:val="31"/>
          <w:szCs w:val="31"/>
          <w:highlight w:val="none"/>
          <w:lang w:val="en-US" w:eastAsia="zh-CN" w:bidi="ar"/>
        </w:rPr>
        <w:t>本物业管理区域车位、车库共</w:t>
      </w:r>
      <w:r>
        <w:rPr>
          <w:rFonts w:hint="eastAsia" w:ascii="仿宋" w:hAnsi="仿宋" w:eastAsia="仿宋" w:cs="仿宋"/>
          <w:color w:val="000000"/>
          <w:kern w:val="0"/>
          <w:sz w:val="31"/>
          <w:szCs w:val="31"/>
          <w:highlight w:val="none"/>
          <w:u w:val="single"/>
          <w:lang w:val="en-US" w:eastAsia="zh-CN" w:bidi="ar"/>
        </w:rPr>
        <w:t xml:space="preserve">    </w:t>
      </w:r>
      <w:r>
        <w:rPr>
          <w:rFonts w:hint="eastAsia" w:ascii="仿宋" w:hAnsi="仿宋" w:eastAsia="仿宋" w:cs="仿宋"/>
          <w:color w:val="000000"/>
          <w:kern w:val="0"/>
          <w:sz w:val="31"/>
          <w:szCs w:val="31"/>
          <w:highlight w:val="none"/>
          <w:lang w:val="en-US" w:eastAsia="zh-CN" w:bidi="ar"/>
        </w:rPr>
        <w:t>个，房屋</w:t>
      </w:r>
      <w:r>
        <w:rPr>
          <w:rFonts w:hint="eastAsia" w:ascii="仿宋" w:hAnsi="仿宋" w:eastAsia="仿宋" w:cs="仿宋"/>
          <w:color w:val="000000"/>
          <w:kern w:val="0"/>
          <w:sz w:val="31"/>
          <w:szCs w:val="31"/>
          <w:highlight w:val="none"/>
          <w:u w:val="single"/>
          <w:lang w:val="en-US" w:eastAsia="zh-CN" w:bidi="ar"/>
        </w:rPr>
        <w:t xml:space="preserve">    </w:t>
      </w:r>
      <w:r>
        <w:rPr>
          <w:rFonts w:hint="eastAsia" w:ascii="仿宋" w:hAnsi="仿宋" w:eastAsia="仿宋" w:cs="仿宋"/>
          <w:color w:val="000000"/>
          <w:kern w:val="0"/>
          <w:sz w:val="31"/>
          <w:szCs w:val="31"/>
          <w:highlight w:val="none"/>
          <w:lang w:val="en-US" w:eastAsia="zh-CN" w:bidi="ar"/>
        </w:rPr>
        <w:t>套，平均每套房屋</w:t>
      </w:r>
      <w:r>
        <w:rPr>
          <w:rFonts w:hint="eastAsia" w:ascii="仿宋" w:hAnsi="仿宋" w:eastAsia="仿宋" w:cs="仿宋"/>
          <w:color w:val="000000"/>
          <w:kern w:val="0"/>
          <w:sz w:val="31"/>
          <w:szCs w:val="31"/>
          <w:highlight w:val="none"/>
          <w:u w:val="single"/>
          <w:lang w:val="en-US" w:eastAsia="zh-CN" w:bidi="ar"/>
        </w:rPr>
        <w:t xml:space="preserve">   </w:t>
      </w:r>
      <w:r>
        <w:rPr>
          <w:rFonts w:hint="eastAsia" w:ascii="仿宋" w:hAnsi="仿宋" w:eastAsia="仿宋" w:cs="仿宋"/>
          <w:color w:val="000000"/>
          <w:kern w:val="0"/>
          <w:sz w:val="31"/>
          <w:szCs w:val="31"/>
          <w:highlight w:val="none"/>
          <w:lang w:val="en-US" w:eastAsia="zh-CN" w:bidi="ar"/>
        </w:rPr>
        <w:t>个车位、车库（即配置比例）。其中规划车位、车库</w:t>
      </w:r>
      <w:r>
        <w:rPr>
          <w:rFonts w:hint="eastAsia" w:ascii="仿宋" w:hAnsi="仿宋" w:eastAsia="仿宋" w:cs="仿宋"/>
          <w:color w:val="000000"/>
          <w:kern w:val="0"/>
          <w:sz w:val="31"/>
          <w:szCs w:val="31"/>
          <w:highlight w:val="none"/>
          <w:u w:val="single"/>
          <w:lang w:val="en-US" w:eastAsia="zh-CN" w:bidi="ar"/>
        </w:rPr>
        <w:t xml:space="preserve">  </w:t>
      </w:r>
      <w:r>
        <w:rPr>
          <w:rFonts w:hint="eastAsia" w:ascii="仿宋" w:hAnsi="仿宋" w:eastAsia="仿宋" w:cs="仿宋"/>
          <w:color w:val="000000"/>
          <w:kern w:val="0"/>
          <w:sz w:val="31"/>
          <w:szCs w:val="31"/>
          <w:highlight w:val="none"/>
          <w:lang w:val="en-US" w:eastAsia="zh-CN" w:bidi="ar"/>
        </w:rPr>
        <w:t>个（地上</w:t>
      </w:r>
      <w:r>
        <w:rPr>
          <w:rFonts w:hint="eastAsia" w:ascii="仿宋" w:hAnsi="仿宋" w:eastAsia="仿宋" w:cs="仿宋"/>
          <w:color w:val="000000"/>
          <w:kern w:val="0"/>
          <w:sz w:val="31"/>
          <w:szCs w:val="31"/>
          <w:highlight w:val="none"/>
          <w:u w:val="single"/>
          <w:lang w:val="en-US" w:eastAsia="zh-CN" w:bidi="ar"/>
        </w:rPr>
        <w:t xml:space="preserve">  </w:t>
      </w:r>
      <w:r>
        <w:rPr>
          <w:rFonts w:hint="eastAsia" w:ascii="仿宋" w:hAnsi="仿宋" w:eastAsia="仿宋" w:cs="仿宋"/>
          <w:color w:val="000000"/>
          <w:kern w:val="0"/>
          <w:sz w:val="31"/>
          <w:szCs w:val="31"/>
          <w:highlight w:val="none"/>
          <w:lang w:val="en-US" w:eastAsia="zh-CN" w:bidi="ar"/>
        </w:rPr>
        <w:t>个，地下</w:t>
      </w:r>
      <w:r>
        <w:rPr>
          <w:rFonts w:hint="eastAsia" w:ascii="仿宋" w:hAnsi="仿宋" w:eastAsia="仿宋" w:cs="仿宋"/>
          <w:color w:val="000000"/>
          <w:kern w:val="0"/>
          <w:sz w:val="31"/>
          <w:szCs w:val="31"/>
          <w:highlight w:val="none"/>
          <w:u w:val="single"/>
          <w:lang w:val="en-US" w:eastAsia="zh-CN" w:bidi="ar"/>
        </w:rPr>
        <w:t xml:space="preserve">  </w:t>
      </w:r>
      <w:r>
        <w:rPr>
          <w:rFonts w:hint="eastAsia" w:ascii="仿宋" w:hAnsi="仿宋" w:eastAsia="仿宋" w:cs="仿宋"/>
          <w:color w:val="000000"/>
          <w:kern w:val="0"/>
          <w:sz w:val="31"/>
          <w:szCs w:val="31"/>
          <w:highlight w:val="none"/>
          <w:lang w:val="en-US" w:eastAsia="zh-CN" w:bidi="ar"/>
        </w:rPr>
        <w:t>个）；经业主大会决定，合法利用本物业管理区域内道路、绿地等业主共用部位增设车位、车库</w:t>
      </w:r>
      <w:r>
        <w:rPr>
          <w:rFonts w:hint="eastAsia" w:ascii="仿宋" w:hAnsi="仿宋" w:eastAsia="仿宋" w:cs="仿宋"/>
          <w:color w:val="000000"/>
          <w:kern w:val="0"/>
          <w:sz w:val="31"/>
          <w:szCs w:val="31"/>
          <w:highlight w:val="none"/>
          <w:u w:val="single"/>
          <w:lang w:val="en-US" w:eastAsia="zh-CN" w:bidi="ar"/>
        </w:rPr>
        <w:t xml:space="preserve">   </w:t>
      </w:r>
      <w:r>
        <w:rPr>
          <w:rFonts w:hint="eastAsia" w:ascii="仿宋" w:hAnsi="仿宋" w:eastAsia="仿宋" w:cs="仿宋"/>
          <w:color w:val="000000"/>
          <w:kern w:val="0"/>
          <w:sz w:val="31"/>
          <w:szCs w:val="31"/>
          <w:highlight w:val="none"/>
          <w:lang w:val="en-US" w:eastAsia="zh-CN" w:bidi="ar"/>
        </w:rPr>
        <w:t xml:space="preserve">个。 </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rPr>
          <w:highlight w:val="none"/>
        </w:rPr>
      </w:pPr>
      <w:r>
        <w:rPr>
          <w:rFonts w:hint="eastAsia" w:ascii="仿宋" w:hAnsi="仿宋" w:eastAsia="仿宋" w:cs="仿宋"/>
          <w:b/>
          <w:bCs/>
          <w:color w:val="000000"/>
          <w:kern w:val="0"/>
          <w:sz w:val="31"/>
          <w:szCs w:val="31"/>
          <w:highlight w:val="none"/>
          <w:lang w:val="en-US" w:eastAsia="zh-CN" w:bidi="ar"/>
        </w:rPr>
        <w:t xml:space="preserve">第四条 </w:t>
      </w:r>
      <w:r>
        <w:rPr>
          <w:rFonts w:hint="eastAsia" w:ascii="仿宋" w:hAnsi="仿宋" w:eastAsia="仿宋" w:cs="仿宋"/>
          <w:color w:val="000000"/>
          <w:kern w:val="0"/>
          <w:sz w:val="31"/>
          <w:szCs w:val="31"/>
          <w:highlight w:val="none"/>
          <w:lang w:val="en-US" w:eastAsia="zh-CN" w:bidi="ar"/>
        </w:rPr>
        <w:t>本物业管理区域停车场管理单位是</w:t>
      </w:r>
      <w:r>
        <w:rPr>
          <w:rFonts w:hint="eastAsia" w:ascii="仿宋" w:hAnsi="仿宋" w:eastAsia="仿宋" w:cs="仿宋"/>
          <w:color w:val="000000"/>
          <w:kern w:val="0"/>
          <w:sz w:val="31"/>
          <w:szCs w:val="31"/>
          <w:highlight w:val="none"/>
          <w:u w:val="single"/>
          <w:lang w:val="en-US" w:eastAsia="zh-CN" w:bidi="ar"/>
        </w:rPr>
        <w:t xml:space="preserve">          </w:t>
      </w:r>
      <w:r>
        <w:rPr>
          <w:rFonts w:hint="eastAsia" w:ascii="仿宋" w:hAnsi="仿宋" w:eastAsia="仿宋" w:cs="仿宋"/>
          <w:color w:val="000000"/>
          <w:kern w:val="0"/>
          <w:sz w:val="31"/>
          <w:szCs w:val="31"/>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rPr>
          <w:highlight w:val="none"/>
        </w:rPr>
      </w:pPr>
      <w:r>
        <w:rPr>
          <w:rFonts w:hint="eastAsia" w:ascii="仿宋" w:hAnsi="仿宋" w:eastAsia="仿宋" w:cs="仿宋"/>
          <w:b/>
          <w:bCs/>
          <w:color w:val="000000"/>
          <w:kern w:val="0"/>
          <w:sz w:val="31"/>
          <w:szCs w:val="31"/>
          <w:highlight w:val="none"/>
          <w:lang w:val="en-US" w:eastAsia="zh-CN" w:bidi="ar"/>
        </w:rPr>
        <w:t xml:space="preserve">第五条 </w:t>
      </w:r>
      <w:r>
        <w:rPr>
          <w:rFonts w:hint="eastAsia" w:ascii="仿宋" w:hAnsi="仿宋" w:eastAsia="仿宋" w:cs="仿宋"/>
          <w:color w:val="000000"/>
          <w:kern w:val="0"/>
          <w:sz w:val="31"/>
          <w:szCs w:val="31"/>
          <w:highlight w:val="none"/>
          <w:lang w:val="en-US" w:eastAsia="zh-CN" w:bidi="ar"/>
        </w:rPr>
        <w:t xml:space="preserve">车位、车库的产权归属、收益归属，按照法律法规的规定、生效法律文书的确认执行。 </w:t>
      </w:r>
    </w:p>
    <w:p>
      <w:pPr>
        <w:keepNext w:val="0"/>
        <w:keepLines w:val="0"/>
        <w:widowControl/>
        <w:suppressLineNumbers w:val="0"/>
        <w:jc w:val="center"/>
        <w:rPr>
          <w:highlight w:val="none"/>
        </w:rPr>
      </w:pPr>
      <w:r>
        <w:rPr>
          <w:rFonts w:hint="eastAsia" w:ascii="黑体" w:hAnsi="宋体" w:eastAsia="黑体" w:cs="黑体"/>
          <w:color w:val="000000"/>
          <w:kern w:val="0"/>
          <w:sz w:val="31"/>
          <w:szCs w:val="31"/>
          <w:highlight w:val="none"/>
          <w:lang w:val="en-US" w:eastAsia="zh-CN" w:bidi="ar"/>
        </w:rPr>
        <w:t>第二章 车位、车库的分配</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rPr>
          <w:rFonts w:hint="eastAsia" w:ascii="仿宋" w:hAnsi="仿宋" w:eastAsia="仿宋" w:cs="仿宋"/>
          <w:color w:val="000000"/>
          <w:kern w:val="0"/>
          <w:sz w:val="31"/>
          <w:szCs w:val="31"/>
          <w:highlight w:val="none"/>
          <w:lang w:val="en-US" w:eastAsia="zh-CN" w:bidi="ar"/>
        </w:rPr>
      </w:pPr>
      <w:r>
        <w:rPr>
          <w:rFonts w:hint="eastAsia" w:ascii="仿宋" w:hAnsi="仿宋" w:eastAsia="仿宋" w:cs="仿宋"/>
          <w:b/>
          <w:bCs/>
          <w:color w:val="000000"/>
          <w:kern w:val="0"/>
          <w:sz w:val="31"/>
          <w:szCs w:val="31"/>
          <w:highlight w:val="none"/>
          <w:lang w:val="en-US" w:eastAsia="zh-CN" w:bidi="ar"/>
        </w:rPr>
        <w:t xml:space="preserve">第六条 </w:t>
      </w:r>
      <w:r>
        <w:rPr>
          <w:rFonts w:hint="eastAsia" w:ascii="仿宋" w:hAnsi="仿宋" w:eastAsia="仿宋" w:cs="仿宋"/>
          <w:color w:val="000000"/>
          <w:kern w:val="0"/>
          <w:sz w:val="31"/>
          <w:szCs w:val="31"/>
          <w:highlight w:val="none"/>
          <w:lang w:val="en-US" w:eastAsia="zh-CN" w:bidi="ar"/>
        </w:rPr>
        <w:t>本物业管理区域内停车用户类型包括：</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highlight w:val="none"/>
        </w:rPr>
      </w:pPr>
      <w:r>
        <w:rPr>
          <w:rFonts w:ascii="仿宋" w:hAnsi="仿宋" w:eastAsia="仿宋" w:cs="仿宋"/>
          <w:color w:val="000000"/>
          <w:kern w:val="0"/>
          <w:sz w:val="31"/>
          <w:szCs w:val="31"/>
          <w:highlight w:val="none"/>
          <w:lang w:val="en-US" w:eastAsia="zh-CN" w:bidi="ar"/>
        </w:rPr>
        <w:t xml:space="preserve">□固定车位月卡用户；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highlight w:val="none"/>
        </w:rPr>
      </w:pPr>
      <w:r>
        <w:rPr>
          <w:rFonts w:hint="eastAsia" w:ascii="仿宋" w:hAnsi="仿宋" w:eastAsia="仿宋" w:cs="仿宋"/>
          <w:color w:val="000000"/>
          <w:kern w:val="0"/>
          <w:sz w:val="31"/>
          <w:szCs w:val="31"/>
          <w:highlight w:val="none"/>
          <w:lang w:val="en-US" w:eastAsia="zh-CN" w:bidi="ar"/>
        </w:rPr>
        <w:t xml:space="preserve">□非固定车位月卡用户；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highlight w:val="none"/>
        </w:rPr>
      </w:pPr>
      <w:r>
        <w:rPr>
          <w:rFonts w:hint="eastAsia" w:ascii="仿宋" w:hAnsi="仿宋" w:eastAsia="仿宋" w:cs="仿宋"/>
          <w:color w:val="000000"/>
          <w:kern w:val="0"/>
          <w:sz w:val="31"/>
          <w:szCs w:val="31"/>
          <w:highlight w:val="none"/>
          <w:lang w:val="en-US" w:eastAsia="zh-CN" w:bidi="ar"/>
        </w:rPr>
        <w:t xml:space="preserve">□经登记的内部临时车用户；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highlight w:val="none"/>
        </w:rPr>
      </w:pPr>
      <w:r>
        <w:rPr>
          <w:rFonts w:hint="eastAsia" w:ascii="仿宋" w:hAnsi="仿宋" w:eastAsia="仿宋" w:cs="仿宋"/>
          <w:color w:val="000000"/>
          <w:kern w:val="0"/>
          <w:sz w:val="31"/>
          <w:szCs w:val="31"/>
          <w:highlight w:val="none"/>
          <w:lang w:val="en-US" w:eastAsia="zh-CN" w:bidi="ar"/>
        </w:rPr>
        <w:t xml:space="preserve">□外部临时车用户。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 w:hAnsi="仿宋" w:eastAsia="仿宋" w:cs="仿宋"/>
          <w:color w:val="000000"/>
          <w:kern w:val="0"/>
          <w:sz w:val="31"/>
          <w:szCs w:val="31"/>
          <w:highlight w:val="none"/>
          <w:lang w:val="en-US" w:eastAsia="zh-CN" w:bidi="ar"/>
        </w:rPr>
      </w:pPr>
      <w:r>
        <w:rPr>
          <w:rFonts w:hint="eastAsia" w:ascii="仿宋" w:hAnsi="仿宋" w:eastAsia="仿宋" w:cs="仿宋"/>
          <w:color w:val="000000"/>
          <w:kern w:val="0"/>
          <w:sz w:val="31"/>
          <w:szCs w:val="31"/>
          <w:highlight w:val="none"/>
          <w:lang w:val="en-US" w:eastAsia="zh-CN" w:bidi="ar"/>
        </w:rPr>
        <w:t>固定车位与非固定车位月卡用户统称月卡用户。</w:t>
      </w:r>
    </w:p>
    <w:p>
      <w:pPr>
        <w:keepNext w:val="0"/>
        <w:keepLines w:val="0"/>
        <w:pageBreakBefore w:val="0"/>
        <w:widowControl/>
        <w:suppressLineNumbers w:val="0"/>
        <w:kinsoku/>
        <w:wordWrap/>
        <w:overflowPunct/>
        <w:topLinePunct w:val="0"/>
        <w:autoSpaceDE/>
        <w:autoSpaceDN/>
        <w:bidi w:val="0"/>
        <w:adjustRightInd/>
        <w:snapToGrid/>
        <w:ind w:firstLine="640" w:firstLineChars="0"/>
        <w:jc w:val="left"/>
        <w:textAlignment w:val="auto"/>
        <w:rPr>
          <w:highlight w:val="none"/>
        </w:rPr>
      </w:pPr>
      <w:r>
        <w:rPr>
          <w:rFonts w:hint="eastAsia" w:ascii="仿宋" w:hAnsi="仿宋" w:eastAsia="仿宋" w:cs="仿宋"/>
          <w:color w:val="auto"/>
          <w:sz w:val="32"/>
          <w:szCs w:val="32"/>
          <w:highlight w:val="none"/>
          <w:lang w:val="en-US"/>
        </w:rPr>
        <w:t>业委会、物业服务企业应将</w:t>
      </w:r>
      <w:r>
        <w:rPr>
          <w:rFonts w:hint="eastAsia" w:ascii="仿宋" w:hAnsi="仿宋" w:eastAsia="仿宋" w:cs="仿宋"/>
          <w:color w:val="auto"/>
          <w:sz w:val="32"/>
          <w:szCs w:val="32"/>
          <w:highlight w:val="none"/>
          <w:lang w:val="en-US" w:eastAsia="zh-CN"/>
        </w:rPr>
        <w:t>月卡用户</w:t>
      </w:r>
      <w:r>
        <w:rPr>
          <w:rFonts w:hint="eastAsia" w:ascii="仿宋" w:hAnsi="仿宋" w:eastAsia="仿宋" w:cs="仿宋"/>
          <w:color w:val="auto"/>
          <w:sz w:val="32"/>
          <w:szCs w:val="32"/>
          <w:highlight w:val="none"/>
          <w:lang w:val="en-US"/>
        </w:rPr>
        <w:t>的房号、</w:t>
      </w:r>
      <w:bookmarkStart w:id="20" w:name="_GoBack"/>
      <w:bookmarkEnd w:id="20"/>
      <w:r>
        <w:rPr>
          <w:rFonts w:hint="eastAsia" w:ascii="仿宋" w:hAnsi="仿宋" w:eastAsia="仿宋" w:cs="仿宋"/>
          <w:color w:val="auto"/>
          <w:sz w:val="32"/>
          <w:szCs w:val="32"/>
          <w:highlight w:val="none"/>
          <w:lang w:val="en-US" w:eastAsia="zh-CN"/>
        </w:rPr>
        <w:t>固定车位用户的</w:t>
      </w:r>
      <w:r>
        <w:rPr>
          <w:rFonts w:hint="eastAsia" w:ascii="仿宋" w:hAnsi="仿宋" w:eastAsia="仿宋" w:cs="仿宋"/>
          <w:color w:val="auto"/>
          <w:sz w:val="32"/>
          <w:szCs w:val="32"/>
          <w:highlight w:val="none"/>
          <w:lang w:val="en-US"/>
        </w:rPr>
        <w:t xml:space="preserve">固定车位位置等信息予以公示。 </w:t>
      </w:r>
      <w:r>
        <w:rPr>
          <w:rFonts w:hint="eastAsia" w:ascii="仿宋" w:hAnsi="仿宋" w:eastAsia="仿宋" w:cs="仿宋"/>
          <w:color w:val="000000"/>
          <w:kern w:val="0"/>
          <w:sz w:val="31"/>
          <w:szCs w:val="31"/>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rPr>
          <w:highlight w:val="none"/>
        </w:rPr>
      </w:pPr>
      <w:r>
        <w:rPr>
          <w:rFonts w:hint="eastAsia" w:ascii="仿宋" w:hAnsi="仿宋" w:eastAsia="仿宋" w:cs="仿宋"/>
          <w:b/>
          <w:bCs/>
          <w:color w:val="000000"/>
          <w:kern w:val="0"/>
          <w:sz w:val="31"/>
          <w:szCs w:val="31"/>
          <w:highlight w:val="none"/>
          <w:lang w:val="en-US" w:eastAsia="zh-CN" w:bidi="ar"/>
        </w:rPr>
        <w:t xml:space="preserve">第七条 </w:t>
      </w:r>
      <w:r>
        <w:rPr>
          <w:rFonts w:hint="eastAsia" w:ascii="仿宋" w:hAnsi="仿宋" w:eastAsia="仿宋" w:cs="仿宋"/>
          <w:color w:val="000000"/>
          <w:kern w:val="0"/>
          <w:sz w:val="31"/>
          <w:szCs w:val="31"/>
          <w:highlight w:val="none"/>
          <w:lang w:val="en-US" w:eastAsia="zh-CN" w:bidi="ar"/>
        </w:rPr>
        <w:t xml:space="preserve">本物业管理区域车位、车库分配执行方案为：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highlight w:val="none"/>
        </w:rPr>
      </w:pPr>
      <w:r>
        <w:rPr>
          <w:rFonts w:hint="eastAsia" w:ascii="仿宋" w:hAnsi="仿宋" w:eastAsia="仿宋" w:cs="仿宋"/>
          <w:color w:val="000000"/>
          <w:kern w:val="0"/>
          <w:sz w:val="31"/>
          <w:szCs w:val="31"/>
          <w:highlight w:val="none"/>
          <w:lang w:val="en-US" w:eastAsia="zh-CN" w:bidi="ar"/>
        </w:rPr>
        <w:t xml:space="preserve">□车位、车库富余。车位、车库配置比例大于等于 2，每套房屋可办理 张月卡、登记 辆内部临时车。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highlight w:val="none"/>
        </w:rPr>
      </w:pPr>
      <w:r>
        <w:rPr>
          <w:rFonts w:hint="eastAsia" w:ascii="仿宋" w:hAnsi="仿宋" w:eastAsia="仿宋" w:cs="仿宋"/>
          <w:color w:val="000000"/>
          <w:kern w:val="0"/>
          <w:sz w:val="31"/>
          <w:szCs w:val="31"/>
          <w:highlight w:val="none"/>
          <w:lang w:val="en-US" w:eastAsia="zh-CN" w:bidi="ar"/>
        </w:rPr>
        <w:t xml:space="preserve">□车位、车库相对宽裕。车位、车库配置比例大于等于1且小于 2；车位、车库满足现有停车需求。每套房屋办理（预留）一张月卡，剩余车位、车库的使用按申请顺序办理月卡，每套房屋最多办理 张月卡、登记 辆内部临时车。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highlight w:val="none"/>
        </w:rPr>
      </w:pPr>
      <w:r>
        <w:rPr>
          <w:rFonts w:hint="eastAsia" w:ascii="仿宋" w:hAnsi="仿宋" w:eastAsia="仿宋" w:cs="仿宋"/>
          <w:color w:val="000000"/>
          <w:kern w:val="0"/>
          <w:sz w:val="31"/>
          <w:szCs w:val="31"/>
          <w:highlight w:val="none"/>
          <w:lang w:val="en-US" w:eastAsia="zh-CN" w:bidi="ar"/>
        </w:rPr>
        <w:t xml:space="preserve">□车位、车库相对平衡。车位、车库配置比例大于等于0.85且小于 1；车位、车库基本满足现有停车需求。每套房屋只能办理一张月卡，尚未办理第一张月卡的房屋预留一张月卡办理资格。有第二辆车停车需求的，暂时登记为内部临时车，每套房屋可登记  部临时车。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highlight w:val="none"/>
        </w:rPr>
      </w:pPr>
      <w:r>
        <w:rPr>
          <w:rFonts w:hint="eastAsia" w:ascii="仿宋" w:hAnsi="仿宋" w:eastAsia="仿宋" w:cs="仿宋"/>
          <w:color w:val="000000"/>
          <w:kern w:val="0"/>
          <w:sz w:val="31"/>
          <w:szCs w:val="31"/>
          <w:highlight w:val="none"/>
          <w:lang w:val="en-US" w:eastAsia="zh-CN" w:bidi="ar"/>
        </w:rPr>
        <w:t xml:space="preserve">□车位、车库紧缺。车位、车库配置比例小于 0.85；车位不能满足业主、物业使用人现有停车需求。每套房屋只能办理一张月卡。在办理的月卡数量达到车位、车库数量时，尚未办理第一张月卡的可暂时登记为内部临时车，本物业管理区域共登记为内部临时车的数量限定为 辆。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 w:hAnsi="仿宋" w:eastAsia="仿宋" w:cs="仿宋"/>
          <w:color w:val="000000"/>
          <w:kern w:val="0"/>
          <w:sz w:val="31"/>
          <w:szCs w:val="31"/>
          <w:highlight w:val="none"/>
          <w:lang w:val="en-US" w:eastAsia="zh-CN" w:bidi="ar"/>
        </w:rPr>
      </w:pPr>
      <w:r>
        <w:rPr>
          <w:rFonts w:hint="eastAsia" w:ascii="仿宋" w:hAnsi="仿宋" w:eastAsia="仿宋" w:cs="仿宋"/>
          <w:color w:val="000000"/>
          <w:kern w:val="0"/>
          <w:sz w:val="31"/>
          <w:szCs w:val="31"/>
          <w:highlight w:val="none"/>
          <w:lang w:val="en-US" w:eastAsia="zh-CN" w:bidi="ar"/>
        </w:rPr>
        <w:t>□特定类型房屋车位、车库。依据主管部门（含规划、城市更新和土地整备、保障性住房主管部门）对该类车位、车库的数量及配置比例的规定，分配情况如下：</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 w:hAnsi="仿宋" w:eastAsia="仿宋" w:cs="仿宋"/>
          <w:color w:val="000000"/>
          <w:kern w:val="0"/>
          <w:sz w:val="31"/>
          <w:szCs w:val="31"/>
          <w:highlight w:val="none"/>
          <w:lang w:val="en-US" w:eastAsia="zh-CN" w:bidi="ar"/>
        </w:rPr>
      </w:pPr>
      <w:r>
        <w:rPr>
          <w:rFonts w:hint="eastAsia" w:ascii="仿宋" w:hAnsi="仿宋" w:eastAsia="仿宋" w:cs="仿宋"/>
          <w:color w:val="000000"/>
          <w:kern w:val="0"/>
          <w:sz w:val="31"/>
          <w:szCs w:val="31"/>
          <w:highlight w:val="none"/>
          <w:lang w:val="en-US" w:eastAsia="zh-CN" w:bidi="ar"/>
        </w:rPr>
        <w:t>○人才住房；○安居型商品房；○公共租赁住房；○其他保障性住房，分配 张月卡、 个内部临时车资格。</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rPr>
          <w:rFonts w:hint="eastAsia" w:ascii="仿宋" w:hAnsi="仿宋" w:eastAsia="仿宋" w:cs="仿宋"/>
          <w:color w:val="000000"/>
          <w:kern w:val="0"/>
          <w:sz w:val="31"/>
          <w:szCs w:val="31"/>
          <w:highlight w:val="none"/>
          <w:lang w:val="en-US" w:eastAsia="zh-CN" w:bidi="ar"/>
        </w:rPr>
      </w:pPr>
      <w:r>
        <w:rPr>
          <w:rFonts w:hint="eastAsia" w:ascii="仿宋" w:hAnsi="仿宋" w:eastAsia="仿宋" w:cs="仿宋"/>
          <w:b/>
          <w:bCs/>
          <w:color w:val="000000"/>
          <w:kern w:val="0"/>
          <w:sz w:val="31"/>
          <w:szCs w:val="31"/>
          <w:highlight w:val="none"/>
          <w:lang w:val="en-US" w:eastAsia="zh-CN" w:bidi="ar"/>
        </w:rPr>
        <w:t xml:space="preserve">第八条 </w:t>
      </w:r>
      <w:r>
        <w:rPr>
          <w:rFonts w:hint="eastAsia" w:ascii="仿宋" w:hAnsi="仿宋" w:eastAsia="仿宋" w:cs="仿宋"/>
          <w:color w:val="000000"/>
          <w:kern w:val="0"/>
          <w:sz w:val="31"/>
          <w:szCs w:val="31"/>
          <w:highlight w:val="none"/>
          <w:lang w:val="en-US" w:eastAsia="zh-CN" w:bidi="ar"/>
        </w:rPr>
        <w:t>本物业管理区域内固定车位情况为：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 w:hAnsi="仿宋" w:eastAsia="仿宋" w:cs="仿宋"/>
          <w:color w:val="000000"/>
          <w:kern w:val="0"/>
          <w:sz w:val="31"/>
          <w:szCs w:val="31"/>
          <w:highlight w:val="none"/>
          <w:lang w:val="en-US" w:eastAsia="zh-CN" w:bidi="ar"/>
        </w:rPr>
      </w:pPr>
      <w:r>
        <w:rPr>
          <w:rFonts w:hint="eastAsia" w:ascii="仿宋" w:hAnsi="仿宋" w:eastAsia="仿宋" w:cs="仿宋"/>
          <w:color w:val="000000"/>
          <w:kern w:val="0"/>
          <w:sz w:val="31"/>
          <w:szCs w:val="31"/>
          <w:highlight w:val="none"/>
          <w:lang w:val="en-US" w:eastAsia="zh-CN" w:bidi="ar"/>
        </w:rPr>
        <w:t>□无固定车位；</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 w:hAnsi="仿宋" w:eastAsia="仿宋" w:cs="仿宋"/>
          <w:color w:val="000000"/>
          <w:kern w:val="0"/>
          <w:sz w:val="31"/>
          <w:szCs w:val="31"/>
          <w:highlight w:val="none"/>
          <w:lang w:val="en-US" w:eastAsia="zh-CN" w:bidi="ar"/>
        </w:rPr>
      </w:pPr>
      <w:r>
        <w:rPr>
          <w:rFonts w:hint="eastAsia" w:ascii="仿宋" w:hAnsi="仿宋" w:eastAsia="仿宋" w:cs="仿宋"/>
          <w:color w:val="000000"/>
          <w:kern w:val="0"/>
          <w:sz w:val="31"/>
          <w:szCs w:val="31"/>
          <w:highlight w:val="none"/>
          <w:lang w:val="en-US" w:eastAsia="zh-CN" w:bidi="ar"/>
        </w:rPr>
        <w:t>□有固定车位。对于本办法表决前原已分配的固定车位的情形处理如下：</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 w:hAnsi="仿宋" w:eastAsia="仿宋" w:cs="仿宋"/>
          <w:color w:val="000000"/>
          <w:kern w:val="0"/>
          <w:sz w:val="31"/>
          <w:szCs w:val="31"/>
          <w:highlight w:val="none"/>
          <w:lang w:val="en-US" w:eastAsia="zh-CN" w:bidi="ar"/>
        </w:rPr>
      </w:pPr>
      <w:r>
        <w:rPr>
          <w:rFonts w:hint="eastAsia" w:ascii="仿宋" w:hAnsi="仿宋" w:eastAsia="仿宋" w:cs="仿宋"/>
          <w:color w:val="000000"/>
          <w:kern w:val="0"/>
          <w:sz w:val="31"/>
          <w:szCs w:val="31"/>
          <w:highlight w:val="none"/>
          <w:lang w:val="en-US" w:eastAsia="zh-CN" w:bidi="ar"/>
        </w:rPr>
        <w:t>○尊重历史，维持固定车位原有状态；</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 w:hAnsi="仿宋" w:eastAsia="仿宋" w:cs="仿宋"/>
          <w:color w:val="000000"/>
          <w:kern w:val="0"/>
          <w:sz w:val="31"/>
          <w:szCs w:val="31"/>
          <w:highlight w:val="none"/>
          <w:lang w:val="en-US" w:eastAsia="zh-CN" w:bidi="ar"/>
        </w:rPr>
      </w:pPr>
      <w:r>
        <w:rPr>
          <w:rFonts w:hint="eastAsia" w:ascii="仿宋" w:hAnsi="仿宋" w:eastAsia="仿宋" w:cs="仿宋"/>
          <w:color w:val="000000"/>
          <w:kern w:val="0"/>
          <w:sz w:val="31"/>
          <w:szCs w:val="31"/>
          <w:highlight w:val="none"/>
          <w:lang w:val="en-US" w:eastAsia="zh-CN" w:bidi="ar"/>
        </w:rPr>
        <w:t>○与开发商、停车场管理单位有合同协议约定，且通过公开途径告知全体业主的固定车位，维持原有状态；对没有任何合同协议约定，且在分配时未通过公开途径告知全体业主的，取消该种固定车位使用资格，供无月卡房屋作为非固定车位使用；</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 w:hAnsi="仿宋" w:eastAsia="仿宋" w:cs="仿宋"/>
          <w:color w:val="000000"/>
          <w:kern w:val="0"/>
          <w:sz w:val="31"/>
          <w:szCs w:val="31"/>
          <w:highlight w:val="none"/>
          <w:lang w:val="en-US" w:eastAsia="zh-CN" w:bidi="ar"/>
        </w:rPr>
      </w:pPr>
      <w:r>
        <w:rPr>
          <w:rFonts w:hint="eastAsia" w:ascii="仿宋" w:hAnsi="仿宋" w:eastAsia="仿宋" w:cs="仿宋"/>
          <w:color w:val="000000"/>
          <w:kern w:val="0"/>
          <w:sz w:val="31"/>
          <w:szCs w:val="31"/>
          <w:highlight w:val="none"/>
          <w:lang w:val="en-US" w:eastAsia="zh-CN" w:bidi="ar"/>
        </w:rPr>
        <w:t xml:space="preserve">○另行制定方案： </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rPr>
          <w:rFonts w:hint="eastAsia" w:ascii="仿宋" w:hAnsi="仿宋" w:eastAsia="仿宋" w:cs="仿宋"/>
          <w:color w:val="000000"/>
          <w:kern w:val="0"/>
          <w:sz w:val="31"/>
          <w:szCs w:val="31"/>
          <w:highlight w:val="none"/>
          <w:lang w:val="en-US" w:eastAsia="zh-CN" w:bidi="ar"/>
        </w:rPr>
      </w:pPr>
      <w:r>
        <w:rPr>
          <w:rFonts w:hint="eastAsia" w:ascii="仿宋" w:hAnsi="仿宋" w:eastAsia="仿宋" w:cs="仿宋"/>
          <w:b/>
          <w:bCs/>
          <w:color w:val="000000"/>
          <w:kern w:val="0"/>
          <w:sz w:val="31"/>
          <w:szCs w:val="31"/>
          <w:highlight w:val="none"/>
          <w:lang w:val="en-US" w:eastAsia="zh-CN" w:bidi="ar"/>
        </w:rPr>
        <w:t>第九条</w:t>
      </w:r>
      <w:r>
        <w:rPr>
          <w:rFonts w:hint="eastAsia" w:ascii="仿宋" w:hAnsi="仿宋" w:eastAsia="仿宋" w:cs="仿宋"/>
          <w:color w:val="000000"/>
          <w:kern w:val="0"/>
          <w:sz w:val="31"/>
          <w:szCs w:val="31"/>
          <w:highlight w:val="none"/>
          <w:lang w:val="en-US" w:eastAsia="zh-CN" w:bidi="ar"/>
        </w:rPr>
        <w:t xml:space="preserve"> 物业管理区域内已经办理的停车月卡数量等于车位、车库数量，且无法满足本物业管理区域内车辆停放需求时，停止办理停车月卡，业主委员会与停车场管理单位一同建立、管理月卡轮候库。本物业管理区域月卡轮候库的建立、管理方案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 w:hAnsi="仿宋" w:eastAsia="仿宋" w:cs="仿宋"/>
          <w:color w:val="000000"/>
          <w:kern w:val="0"/>
          <w:sz w:val="31"/>
          <w:szCs w:val="31"/>
          <w:highlight w:val="none"/>
          <w:lang w:val="en-US" w:eastAsia="zh-CN" w:bidi="ar"/>
        </w:rPr>
      </w:pPr>
      <w:r>
        <w:rPr>
          <w:rFonts w:hint="eastAsia" w:ascii="仿宋" w:hAnsi="仿宋" w:eastAsia="仿宋" w:cs="仿宋"/>
          <w:color w:val="000000"/>
          <w:kern w:val="0"/>
          <w:sz w:val="31"/>
          <w:szCs w:val="31"/>
          <w:highlight w:val="none"/>
          <w:lang w:val="en-US" w:eastAsia="zh-CN" w:bidi="ar"/>
        </w:rPr>
        <w:t>□继续使用停车场管理单位已经建立的月卡轮候库，停车场管理单位与业主委员会共同管理；</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 w:hAnsi="仿宋" w:eastAsia="仿宋" w:cs="仿宋"/>
          <w:color w:val="000000"/>
          <w:kern w:val="0"/>
          <w:sz w:val="31"/>
          <w:szCs w:val="31"/>
          <w:highlight w:val="none"/>
          <w:lang w:val="en-US" w:eastAsia="zh-CN" w:bidi="ar"/>
        </w:rPr>
      </w:pPr>
      <w:r>
        <w:rPr>
          <w:rFonts w:hint="eastAsia" w:ascii="仿宋" w:hAnsi="仿宋" w:eastAsia="仿宋" w:cs="仿宋"/>
          <w:color w:val="000000"/>
          <w:kern w:val="0"/>
          <w:sz w:val="31"/>
          <w:szCs w:val="31"/>
          <w:highlight w:val="none"/>
          <w:lang w:val="en-US" w:eastAsia="zh-CN" w:bidi="ar"/>
        </w:rPr>
        <w:t>□本办法表决通过后立即建立新的月卡轮候库；</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 w:hAnsi="仿宋" w:eastAsia="仿宋" w:cs="仿宋"/>
          <w:color w:val="000000"/>
          <w:kern w:val="0"/>
          <w:sz w:val="31"/>
          <w:szCs w:val="31"/>
          <w:highlight w:val="none"/>
          <w:lang w:val="en-US" w:eastAsia="zh-CN" w:bidi="ar"/>
        </w:rPr>
      </w:pPr>
      <w:r>
        <w:rPr>
          <w:rFonts w:hint="eastAsia" w:ascii="仿宋" w:hAnsi="仿宋" w:eastAsia="仿宋" w:cs="仿宋"/>
          <w:color w:val="000000"/>
          <w:kern w:val="0"/>
          <w:sz w:val="31"/>
          <w:szCs w:val="31"/>
          <w:highlight w:val="none"/>
          <w:lang w:val="en-US" w:eastAsia="zh-CN" w:bidi="ar"/>
        </w:rPr>
        <w:t>□暂不需要建立月卡轮候库，授权业主委员会在后期需要时与停车场管理单位一同建立月卡轮候库；</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 w:hAnsi="仿宋" w:eastAsia="仿宋" w:cs="仿宋"/>
          <w:color w:val="000000"/>
          <w:kern w:val="0"/>
          <w:sz w:val="31"/>
          <w:szCs w:val="31"/>
          <w:highlight w:val="none"/>
          <w:lang w:val="en-US" w:eastAsia="zh-CN" w:bidi="ar"/>
        </w:rPr>
      </w:pPr>
      <w:r>
        <w:rPr>
          <w:rFonts w:hint="eastAsia" w:ascii="仿宋" w:hAnsi="仿宋" w:eastAsia="仿宋" w:cs="仿宋"/>
          <w:color w:val="000000"/>
          <w:kern w:val="0"/>
          <w:sz w:val="31"/>
          <w:szCs w:val="31"/>
          <w:highlight w:val="none"/>
          <w:lang w:val="en-US" w:eastAsia="zh-CN" w:bidi="ar"/>
        </w:rPr>
        <w:t>□特定类型房屋的月卡轮候库处理采用：</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 w:hAnsi="仿宋" w:eastAsia="仿宋" w:cs="仿宋"/>
          <w:color w:val="000000"/>
          <w:kern w:val="0"/>
          <w:sz w:val="31"/>
          <w:szCs w:val="31"/>
          <w:highlight w:val="none"/>
          <w:lang w:val="en-US" w:eastAsia="zh-CN" w:bidi="ar"/>
        </w:rPr>
      </w:pPr>
      <w:r>
        <w:rPr>
          <w:rFonts w:hint="eastAsia" w:ascii="仿宋" w:hAnsi="仿宋" w:eastAsia="仿宋" w:cs="仿宋"/>
          <w:color w:val="000000"/>
          <w:kern w:val="0"/>
          <w:sz w:val="31"/>
          <w:szCs w:val="31"/>
          <w:highlight w:val="none"/>
          <w:lang w:val="en-US" w:eastAsia="zh-CN" w:bidi="ar"/>
        </w:rPr>
        <w:t>○单独建立该类型房屋的月卡轮候库，按第七条规定分配的</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 w:hAnsi="仿宋" w:eastAsia="仿宋" w:cs="仿宋"/>
          <w:color w:val="000000"/>
          <w:kern w:val="0"/>
          <w:sz w:val="31"/>
          <w:szCs w:val="31"/>
          <w:highlight w:val="none"/>
          <w:lang w:val="en-US" w:eastAsia="zh-CN" w:bidi="ar"/>
        </w:rPr>
      </w:pPr>
      <w:r>
        <w:rPr>
          <w:rFonts w:hint="eastAsia" w:ascii="仿宋" w:hAnsi="仿宋" w:eastAsia="仿宋" w:cs="仿宋"/>
          <w:color w:val="000000"/>
          <w:kern w:val="0"/>
          <w:sz w:val="31"/>
          <w:szCs w:val="31"/>
          <w:highlight w:val="none"/>
          <w:lang w:val="en-US" w:eastAsia="zh-CN" w:bidi="ar"/>
        </w:rPr>
        <w:t>月卡数量在该类型房屋内部使用；</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 w:hAnsi="仿宋" w:eastAsia="仿宋" w:cs="仿宋"/>
          <w:color w:val="000000"/>
          <w:kern w:val="0"/>
          <w:sz w:val="31"/>
          <w:szCs w:val="31"/>
          <w:highlight w:val="none"/>
          <w:lang w:val="en-US" w:eastAsia="zh-CN" w:bidi="ar"/>
        </w:rPr>
      </w:pPr>
      <w:r>
        <w:rPr>
          <w:rFonts w:hint="eastAsia" w:ascii="仿宋" w:hAnsi="仿宋" w:eastAsia="仿宋" w:cs="仿宋"/>
          <w:color w:val="000000"/>
          <w:kern w:val="0"/>
          <w:sz w:val="31"/>
          <w:szCs w:val="31"/>
          <w:highlight w:val="none"/>
          <w:lang w:val="en-US" w:eastAsia="zh-CN" w:bidi="ar"/>
        </w:rPr>
        <w:t>○与普通商品房使用同一个月卡轮候库。</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rPr>
          <w:rFonts w:hint="eastAsia" w:ascii="仿宋" w:hAnsi="仿宋" w:eastAsia="仿宋" w:cs="仿宋"/>
          <w:color w:val="000000"/>
          <w:kern w:val="0"/>
          <w:sz w:val="31"/>
          <w:szCs w:val="31"/>
          <w:highlight w:val="none"/>
          <w:lang w:val="en-US" w:eastAsia="zh-CN" w:bidi="ar"/>
        </w:rPr>
      </w:pPr>
      <w:r>
        <w:rPr>
          <w:rFonts w:hint="eastAsia" w:ascii="仿宋" w:hAnsi="仿宋" w:eastAsia="仿宋" w:cs="仿宋"/>
          <w:b/>
          <w:bCs/>
          <w:color w:val="000000"/>
          <w:kern w:val="0"/>
          <w:sz w:val="31"/>
          <w:szCs w:val="31"/>
          <w:highlight w:val="none"/>
          <w:lang w:val="en-US" w:eastAsia="zh-CN" w:bidi="ar"/>
        </w:rPr>
        <w:t>第十条</w:t>
      </w:r>
      <w:r>
        <w:rPr>
          <w:rFonts w:hint="eastAsia" w:ascii="仿宋" w:hAnsi="仿宋" w:eastAsia="仿宋" w:cs="仿宋"/>
          <w:color w:val="000000"/>
          <w:kern w:val="0"/>
          <w:sz w:val="31"/>
          <w:szCs w:val="31"/>
          <w:highlight w:val="none"/>
          <w:lang w:val="en-US" w:eastAsia="zh-CN" w:bidi="ar"/>
        </w:rPr>
        <w:t xml:space="preserve"> 本物业管理区域配套的教育机构（如幼儿园、小学、中学等）的车位、车库分配方式为：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 w:hAnsi="仿宋" w:eastAsia="仿宋" w:cs="仿宋"/>
          <w:color w:val="000000"/>
          <w:kern w:val="0"/>
          <w:sz w:val="31"/>
          <w:szCs w:val="31"/>
          <w:highlight w:val="none"/>
          <w:lang w:val="en-US" w:eastAsia="zh-CN" w:bidi="ar"/>
        </w:rPr>
      </w:pPr>
      <w:r>
        <w:rPr>
          <w:rFonts w:hint="eastAsia" w:ascii="仿宋" w:hAnsi="仿宋" w:eastAsia="仿宋" w:cs="仿宋"/>
          <w:color w:val="000000"/>
          <w:kern w:val="0"/>
          <w:sz w:val="31"/>
          <w:szCs w:val="31"/>
          <w:highlight w:val="none"/>
          <w:lang w:val="en-US" w:eastAsia="zh-CN" w:bidi="ar"/>
        </w:rPr>
        <w:t>□分配固定车位</w:t>
      </w:r>
      <w:r>
        <w:rPr>
          <w:rFonts w:hint="eastAsia" w:ascii="仿宋" w:hAnsi="仿宋" w:eastAsia="仿宋" w:cs="仿宋"/>
          <w:b/>
          <w:bCs/>
          <w:color w:val="000000"/>
          <w:kern w:val="0"/>
          <w:sz w:val="31"/>
          <w:szCs w:val="31"/>
          <w:highlight w:val="none"/>
          <w:u w:val="single"/>
          <w:lang w:val="en-US" w:eastAsia="zh-CN" w:bidi="ar"/>
        </w:rPr>
        <w:t xml:space="preserve">    </w:t>
      </w:r>
      <w:r>
        <w:rPr>
          <w:rFonts w:hint="eastAsia" w:ascii="仿宋" w:hAnsi="仿宋" w:eastAsia="仿宋" w:cs="仿宋"/>
          <w:color w:val="000000"/>
          <w:kern w:val="0"/>
          <w:sz w:val="31"/>
          <w:szCs w:val="31"/>
          <w:highlight w:val="none"/>
          <w:lang w:val="en-US" w:eastAsia="zh-CN" w:bidi="ar"/>
        </w:rPr>
        <w:t>个；</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 w:hAnsi="仿宋" w:eastAsia="仿宋" w:cs="仿宋"/>
          <w:color w:val="000000"/>
          <w:kern w:val="0"/>
          <w:sz w:val="31"/>
          <w:szCs w:val="31"/>
          <w:highlight w:val="none"/>
          <w:lang w:val="en-US" w:eastAsia="zh-CN" w:bidi="ar"/>
        </w:rPr>
      </w:pPr>
      <w:r>
        <w:rPr>
          <w:rFonts w:hint="eastAsia" w:ascii="仿宋" w:hAnsi="仿宋" w:eastAsia="仿宋" w:cs="仿宋"/>
          <w:color w:val="000000"/>
          <w:kern w:val="0"/>
          <w:sz w:val="31"/>
          <w:szCs w:val="31"/>
          <w:highlight w:val="none"/>
          <w:lang w:val="en-US" w:eastAsia="zh-CN" w:bidi="ar"/>
        </w:rPr>
        <w:t>□无法分配固定车位，分配</w:t>
      </w:r>
      <w:r>
        <w:rPr>
          <w:rFonts w:hint="eastAsia" w:ascii="仿宋" w:hAnsi="仿宋" w:eastAsia="仿宋" w:cs="仿宋"/>
          <w:color w:val="000000"/>
          <w:kern w:val="0"/>
          <w:sz w:val="31"/>
          <w:szCs w:val="31"/>
          <w:highlight w:val="none"/>
          <w:u w:val="single"/>
          <w:lang w:val="en-US" w:eastAsia="zh-CN" w:bidi="ar"/>
        </w:rPr>
        <w:t xml:space="preserve">     </w:t>
      </w:r>
      <w:r>
        <w:rPr>
          <w:rFonts w:hint="eastAsia" w:ascii="仿宋" w:hAnsi="仿宋" w:eastAsia="仿宋" w:cs="仿宋"/>
          <w:color w:val="000000"/>
          <w:kern w:val="0"/>
          <w:sz w:val="31"/>
          <w:szCs w:val="31"/>
          <w:highlight w:val="none"/>
          <w:lang w:val="en-US" w:eastAsia="zh-CN" w:bidi="ar"/>
        </w:rPr>
        <w:t>张月卡；</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 w:hAnsi="仿宋" w:eastAsia="仿宋" w:cs="仿宋"/>
          <w:color w:val="000000"/>
          <w:kern w:val="0"/>
          <w:sz w:val="31"/>
          <w:szCs w:val="31"/>
          <w:highlight w:val="none"/>
          <w:lang w:val="en-US" w:eastAsia="zh-CN" w:bidi="ar"/>
        </w:rPr>
      </w:pPr>
      <w:r>
        <w:rPr>
          <w:rFonts w:hint="eastAsia" w:ascii="仿宋" w:hAnsi="仿宋" w:eastAsia="仿宋" w:cs="仿宋"/>
          <w:color w:val="000000"/>
          <w:kern w:val="0"/>
          <w:sz w:val="31"/>
          <w:szCs w:val="31"/>
          <w:highlight w:val="none"/>
          <w:lang w:val="en-US" w:eastAsia="zh-CN" w:bidi="ar"/>
        </w:rPr>
        <w:t>□不共用物业管理区域内道路、车位、车库，无需分配。</w:t>
      </w:r>
    </w:p>
    <w:p>
      <w:pPr>
        <w:widowControl/>
        <w:ind w:firstLine="622" w:firstLineChars="200"/>
        <w:jc w:val="left"/>
        <w:rPr>
          <w:rFonts w:hint="eastAsia" w:ascii="仿宋" w:hAnsi="仿宋" w:eastAsia="仿宋" w:cs="仿宋"/>
          <w:b w:val="0"/>
          <w:bCs w:val="0"/>
          <w:color w:val="auto"/>
          <w:kern w:val="0"/>
          <w:sz w:val="31"/>
          <w:szCs w:val="31"/>
          <w:highlight w:val="none"/>
          <w:lang w:val="en-US" w:eastAsia="zh-CN" w:bidi="ar"/>
        </w:rPr>
      </w:pPr>
      <w:r>
        <w:rPr>
          <w:rFonts w:hint="eastAsia" w:ascii="仿宋" w:hAnsi="仿宋" w:eastAsia="仿宋" w:cs="仿宋"/>
          <w:b/>
          <w:bCs/>
          <w:color w:val="auto"/>
          <w:kern w:val="0"/>
          <w:sz w:val="31"/>
          <w:szCs w:val="31"/>
          <w:highlight w:val="none"/>
          <w:lang w:val="en-US" w:eastAsia="zh-CN" w:bidi="ar"/>
        </w:rPr>
        <w:t xml:space="preserve">第十一条 </w:t>
      </w:r>
      <w:r>
        <w:rPr>
          <w:rFonts w:hint="eastAsia" w:ascii="仿宋" w:hAnsi="仿宋" w:eastAsia="仿宋" w:cs="仿宋"/>
          <w:b w:val="0"/>
          <w:bCs w:val="0"/>
          <w:color w:val="auto"/>
          <w:kern w:val="0"/>
          <w:sz w:val="31"/>
          <w:szCs w:val="31"/>
          <w:highlight w:val="none"/>
          <w:lang w:val="en-US" w:eastAsia="zh-CN" w:bidi="ar"/>
        </w:rPr>
        <w:t>在满足业主月卡、内部临时车办理需求且小区停车场未饱和的情况下，方可允许租户按物业服务企业的要求提交相关资料办理内部临时车用户，需要办理的租户应提供房屋租赁合同（出租人名字与房产证业主的名字相匹配），业主本人的身份证和房产证，租户本人身份证和车辆行驶证等。租户办理内部临时车后，需暂停业主原月卡，直到租户取消内部临时车资格后，业主方能再排队办理月卡。</w:t>
      </w:r>
    </w:p>
    <w:p>
      <w:pPr>
        <w:keepNext w:val="0"/>
        <w:keepLines w:val="0"/>
        <w:pageBreakBefore w:val="0"/>
        <w:widowControl/>
        <w:numPr>
          <w:ilvl w:val="0"/>
          <w:numId w:val="4"/>
        </w:numPr>
        <w:suppressLineNumbers w:val="0"/>
        <w:kinsoku/>
        <w:wordWrap/>
        <w:overflowPunct/>
        <w:topLinePunct w:val="0"/>
        <w:autoSpaceDE/>
        <w:autoSpaceDN/>
        <w:bidi w:val="0"/>
        <w:adjustRightInd/>
        <w:snapToGrid/>
        <w:ind w:firstLine="620" w:firstLineChars="200"/>
        <w:jc w:val="left"/>
        <w:textAlignment w:val="auto"/>
        <w:rPr>
          <w:rFonts w:hint="eastAsia" w:ascii="仿宋" w:hAnsi="仿宋" w:eastAsia="仿宋" w:cs="仿宋"/>
          <w:color w:val="000000"/>
          <w:kern w:val="0"/>
          <w:sz w:val="31"/>
          <w:szCs w:val="31"/>
          <w:highlight w:val="none"/>
          <w:lang w:val="en-US" w:eastAsia="zh-CN" w:bidi="ar"/>
        </w:rPr>
      </w:pPr>
      <w:r>
        <w:rPr>
          <w:rFonts w:hint="eastAsia" w:ascii="仿宋" w:hAnsi="仿宋" w:eastAsia="仿宋" w:cs="仿宋"/>
          <w:color w:val="000000"/>
          <w:kern w:val="0"/>
          <w:sz w:val="31"/>
          <w:szCs w:val="31"/>
          <w:highlight w:val="none"/>
          <w:lang w:val="en-US" w:eastAsia="zh-CN" w:bidi="ar"/>
        </w:rPr>
        <w:t>本物业管理区域内，设置有新能源汽车公共充电桩的车位、车库</w:t>
      </w:r>
      <w:r>
        <w:rPr>
          <w:rFonts w:hint="eastAsia" w:ascii="仿宋" w:hAnsi="仿宋" w:eastAsia="仿宋" w:cs="仿宋"/>
          <w:color w:val="000000"/>
          <w:kern w:val="0"/>
          <w:sz w:val="31"/>
          <w:szCs w:val="31"/>
          <w:highlight w:val="none"/>
          <w:u w:val="single"/>
          <w:lang w:val="en-US" w:eastAsia="zh-CN" w:bidi="ar"/>
        </w:rPr>
        <w:t xml:space="preserve">    </w:t>
      </w:r>
      <w:r>
        <w:rPr>
          <w:rFonts w:hint="eastAsia" w:ascii="仿宋" w:hAnsi="仿宋" w:eastAsia="仿宋" w:cs="仿宋"/>
          <w:color w:val="000000"/>
          <w:kern w:val="0"/>
          <w:sz w:val="31"/>
          <w:szCs w:val="31"/>
          <w:highlight w:val="none"/>
          <w:lang w:val="en-US" w:eastAsia="zh-CN" w:bidi="ar"/>
        </w:rPr>
        <w:t>个。</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20" w:firstLineChars="200"/>
        <w:jc w:val="left"/>
        <w:textAlignment w:val="auto"/>
        <w:rPr>
          <w:rFonts w:hint="eastAsia" w:ascii="仿宋" w:hAnsi="仿宋" w:eastAsia="仿宋" w:cs="仿宋"/>
          <w:color w:val="000000"/>
          <w:kern w:val="0"/>
          <w:sz w:val="31"/>
          <w:szCs w:val="31"/>
          <w:highlight w:val="none"/>
          <w:lang w:val="en-US" w:eastAsia="zh-CN" w:bidi="ar"/>
        </w:rPr>
      </w:pPr>
      <w:r>
        <w:rPr>
          <w:rFonts w:hint="eastAsia" w:ascii="仿宋" w:hAnsi="仿宋" w:eastAsia="仿宋" w:cs="仿宋"/>
          <w:color w:val="000000"/>
          <w:kern w:val="0"/>
          <w:sz w:val="31"/>
          <w:szCs w:val="31"/>
          <w:highlight w:val="none"/>
          <w:lang w:val="en-US" w:eastAsia="zh-CN" w:bidi="ar"/>
        </w:rPr>
        <w:t>已安装新能源汽车公共充电桩的车位、车库优先供新能源汽车充电使用。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641"/>
        <w:jc w:val="left"/>
        <w:textAlignment w:val="auto"/>
        <w:outlineLvl w:val="9"/>
        <w:rPr>
          <w:rFonts w:hint="eastAsia" w:ascii="仿宋" w:hAnsi="仿宋" w:eastAsia="仿宋" w:cs="仿宋"/>
          <w:color w:val="000000"/>
          <w:kern w:val="0"/>
          <w:sz w:val="31"/>
          <w:szCs w:val="31"/>
          <w:highlight w:val="none"/>
          <w:lang w:val="en-US" w:eastAsia="zh-CN" w:bidi="ar"/>
        </w:rPr>
      </w:pPr>
      <w:r>
        <w:rPr>
          <w:rFonts w:hint="eastAsia" w:ascii="仿宋" w:hAnsi="仿宋" w:eastAsia="仿宋" w:cs="仿宋"/>
          <w:color w:val="000000"/>
          <w:kern w:val="0"/>
          <w:sz w:val="31"/>
          <w:szCs w:val="31"/>
          <w:highlight w:val="none"/>
          <w:lang w:val="en-US" w:eastAsia="zh-CN" w:bidi="ar"/>
        </w:rPr>
        <w:t>非新能源汽车确需停放在该类车位的，在车辆显眼位置留下联系电话，在新能源汽车有充电需求，且有其他车位、车库空余情况下，予以让位停放。</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641"/>
        <w:jc w:val="center"/>
        <w:textAlignment w:val="auto"/>
        <w:outlineLvl w:val="9"/>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第三章  车位、车库的管理</w:t>
      </w:r>
    </w:p>
    <w:p>
      <w:pPr>
        <w:ind w:firstLine="640"/>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第十</w:t>
      </w:r>
      <w:r>
        <w:rPr>
          <w:rFonts w:hint="eastAsia" w:ascii="仿宋" w:hAnsi="仿宋" w:eastAsia="仿宋" w:cs="仿宋"/>
          <w:b/>
          <w:bCs/>
          <w:color w:val="auto"/>
          <w:sz w:val="32"/>
          <w:szCs w:val="32"/>
          <w:highlight w:val="none"/>
          <w:lang w:eastAsia="zh-CN"/>
        </w:rPr>
        <w:t>二</w:t>
      </w:r>
      <w:r>
        <w:rPr>
          <w:rFonts w:hint="eastAsia" w:ascii="仿宋" w:hAnsi="仿宋" w:eastAsia="仿宋" w:cs="仿宋"/>
          <w:b/>
          <w:bCs/>
          <w:color w:val="auto"/>
          <w:sz w:val="32"/>
          <w:szCs w:val="32"/>
          <w:highlight w:val="none"/>
        </w:rPr>
        <w:t xml:space="preserve">条 </w:t>
      </w:r>
      <w:r>
        <w:rPr>
          <w:rFonts w:hint="eastAsia" w:ascii="仿宋" w:hAnsi="仿宋" w:eastAsia="仿宋" w:cs="仿宋"/>
          <w:color w:val="auto"/>
          <w:sz w:val="32"/>
          <w:szCs w:val="32"/>
          <w:highlight w:val="none"/>
        </w:rPr>
        <w:t xml:space="preserve"> 办理月卡、登记为内部临时车的</w:t>
      </w:r>
      <w:r>
        <w:rPr>
          <w:rFonts w:hint="eastAsia" w:ascii="仿宋" w:hAnsi="仿宋" w:eastAsia="仿宋" w:cs="仿宋"/>
          <w:color w:val="auto"/>
          <w:sz w:val="32"/>
          <w:szCs w:val="32"/>
          <w:highlight w:val="none"/>
          <w:lang w:eastAsia="zh-CN"/>
        </w:rPr>
        <w:t>车主</w:t>
      </w:r>
      <w:r>
        <w:rPr>
          <w:rFonts w:hint="eastAsia" w:ascii="仿宋" w:hAnsi="仿宋" w:eastAsia="仿宋" w:cs="仿宋"/>
          <w:color w:val="auto"/>
          <w:sz w:val="32"/>
          <w:szCs w:val="32"/>
          <w:highlight w:val="none"/>
        </w:rPr>
        <w:t>，应当按停车场管理单位</w:t>
      </w:r>
      <w:r>
        <w:rPr>
          <w:rFonts w:hint="eastAsia" w:ascii="仿宋" w:hAnsi="仿宋" w:eastAsia="仿宋" w:cs="仿宋"/>
          <w:color w:val="auto"/>
          <w:sz w:val="32"/>
          <w:szCs w:val="32"/>
          <w:highlight w:val="none"/>
          <w:lang w:eastAsia="zh-CN"/>
        </w:rPr>
        <w:t>的</w:t>
      </w:r>
      <w:r>
        <w:rPr>
          <w:rFonts w:hint="eastAsia" w:ascii="仿宋" w:hAnsi="仿宋" w:eastAsia="仿宋" w:cs="仿宋"/>
          <w:color w:val="auto"/>
          <w:sz w:val="32"/>
          <w:szCs w:val="32"/>
          <w:highlight w:val="none"/>
        </w:rPr>
        <w:t>要求提交相关资料进行登记。未经登记均视为外部临时车。</w:t>
      </w:r>
    </w:p>
    <w:p>
      <w:pPr>
        <w:ind w:firstLine="6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在本套房屋业主</w:t>
      </w:r>
      <w:r>
        <w:rPr>
          <w:rFonts w:hint="eastAsia" w:ascii="仿宋" w:hAnsi="仿宋" w:eastAsia="仿宋" w:cs="仿宋"/>
          <w:color w:val="auto"/>
          <w:sz w:val="32"/>
          <w:szCs w:val="32"/>
          <w:highlight w:val="none"/>
          <w:lang w:eastAsia="zh-CN"/>
        </w:rPr>
        <w:t>陪同且提交相关证明材料（如户口本、结婚证、房屋租赁合同等复印件）情况下，</w:t>
      </w:r>
      <w:r>
        <w:rPr>
          <w:rFonts w:hint="eastAsia" w:ascii="仿宋" w:hAnsi="仿宋" w:eastAsia="仿宋" w:cs="仿宋"/>
          <w:color w:val="auto"/>
          <w:sz w:val="32"/>
          <w:szCs w:val="32"/>
          <w:highlight w:val="none"/>
        </w:rPr>
        <w:t>以下人员名下车辆可办理</w:t>
      </w:r>
      <w:r>
        <w:rPr>
          <w:rFonts w:hint="eastAsia" w:ascii="仿宋" w:hAnsi="仿宋" w:eastAsia="仿宋" w:cs="仿宋"/>
          <w:color w:val="auto"/>
          <w:sz w:val="32"/>
          <w:szCs w:val="32"/>
          <w:highlight w:val="none"/>
          <w:lang w:eastAsia="zh-CN"/>
        </w:rPr>
        <w:t>月</w:t>
      </w:r>
      <w:r>
        <w:rPr>
          <w:rFonts w:hint="eastAsia" w:ascii="仿宋" w:hAnsi="仿宋" w:eastAsia="仿宋" w:cs="仿宋"/>
          <w:color w:val="auto"/>
          <w:sz w:val="32"/>
          <w:szCs w:val="32"/>
          <w:highlight w:val="none"/>
        </w:rPr>
        <w:t>卡、登记为内部临时车：</w:t>
      </w:r>
    </w:p>
    <w:p>
      <w:pPr>
        <w:ind w:firstLine="640"/>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配偶</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父母</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子女</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eastAsia="zh-CN"/>
        </w:rPr>
        <w:t>□租户</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eastAsia="zh-CN"/>
        </w:rPr>
        <w:t>□其他：</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none"/>
          <w:lang w:val="en-US" w:eastAsia="zh-CN"/>
        </w:rPr>
        <w:t>。</w:t>
      </w:r>
    </w:p>
    <w:p>
      <w:pPr>
        <w:ind w:firstLine="640"/>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rPr>
        <w:t>第十</w:t>
      </w:r>
      <w:r>
        <w:rPr>
          <w:rFonts w:hint="eastAsia" w:ascii="仿宋" w:hAnsi="仿宋" w:eastAsia="仿宋" w:cs="仿宋"/>
          <w:b/>
          <w:bCs/>
          <w:color w:val="auto"/>
          <w:sz w:val="32"/>
          <w:szCs w:val="32"/>
          <w:highlight w:val="none"/>
          <w:lang w:eastAsia="zh-CN"/>
        </w:rPr>
        <w:t>三</w:t>
      </w:r>
      <w:r>
        <w:rPr>
          <w:rFonts w:hint="eastAsia" w:ascii="仿宋" w:hAnsi="仿宋" w:eastAsia="仿宋" w:cs="仿宋"/>
          <w:b/>
          <w:bCs/>
          <w:color w:val="auto"/>
          <w:sz w:val="32"/>
          <w:szCs w:val="32"/>
          <w:highlight w:val="none"/>
        </w:rPr>
        <w:t>条</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eastAsia="zh-CN"/>
        </w:rPr>
        <w:t>如因新增第一张月卡需要取消内部临时车登记的，按照内部临时车登记的先后顺序，从最先登记的开始取消登记。</w:t>
      </w:r>
    </w:p>
    <w:p>
      <w:pPr>
        <w:ind w:firstLine="640"/>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第十</w:t>
      </w:r>
      <w:r>
        <w:rPr>
          <w:rFonts w:hint="eastAsia" w:ascii="仿宋" w:hAnsi="仿宋" w:eastAsia="仿宋" w:cs="仿宋"/>
          <w:b/>
          <w:bCs/>
          <w:color w:val="auto"/>
          <w:sz w:val="32"/>
          <w:szCs w:val="32"/>
          <w:highlight w:val="none"/>
          <w:lang w:eastAsia="zh-CN"/>
        </w:rPr>
        <w:t>四</w:t>
      </w:r>
      <w:r>
        <w:rPr>
          <w:rFonts w:hint="eastAsia" w:ascii="仿宋" w:hAnsi="仿宋" w:eastAsia="仿宋" w:cs="仿宋"/>
          <w:b/>
          <w:bCs/>
          <w:color w:val="auto"/>
          <w:sz w:val="32"/>
          <w:szCs w:val="32"/>
          <w:highlight w:val="none"/>
        </w:rPr>
        <w:t xml:space="preserve">条 </w:t>
      </w:r>
      <w:r>
        <w:rPr>
          <w:rFonts w:hint="eastAsia" w:ascii="仿宋" w:hAnsi="仿宋" w:eastAsia="仿宋" w:cs="仿宋"/>
          <w:color w:val="auto"/>
          <w:sz w:val="32"/>
          <w:szCs w:val="32"/>
          <w:highlight w:val="none"/>
        </w:rPr>
        <w:t xml:space="preserve"> 外部临时车用户进入停车场时，放行</w:t>
      </w:r>
      <w:r>
        <w:rPr>
          <w:rFonts w:hint="eastAsia" w:ascii="仿宋" w:hAnsi="仿宋" w:eastAsia="仿宋" w:cs="仿宋"/>
          <w:color w:val="auto"/>
          <w:sz w:val="32"/>
          <w:szCs w:val="32"/>
          <w:highlight w:val="none"/>
          <w:lang w:eastAsia="zh-CN"/>
        </w:rPr>
        <w:t>前的操作程序为</w:t>
      </w:r>
      <w:r>
        <w:rPr>
          <w:rFonts w:hint="eastAsia" w:ascii="仿宋" w:hAnsi="仿宋" w:eastAsia="仿宋" w:cs="仿宋"/>
          <w:color w:val="auto"/>
          <w:sz w:val="32"/>
          <w:szCs w:val="32"/>
          <w:highlight w:val="none"/>
        </w:rPr>
        <w:t>：</w:t>
      </w:r>
    </w:p>
    <w:p>
      <w:pPr>
        <w:ind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询问来访事由；</w:t>
      </w:r>
    </w:p>
    <w:p>
      <w:pPr>
        <w:ind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与受访人员确认；</w:t>
      </w:r>
    </w:p>
    <w:p>
      <w:pPr>
        <w:ind w:firstLine="64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登记联系方式</w:t>
      </w:r>
      <w:r>
        <w:rPr>
          <w:rFonts w:hint="eastAsia" w:ascii="仿宋" w:hAnsi="仿宋" w:eastAsia="仿宋" w:cs="仿宋"/>
          <w:color w:val="auto"/>
          <w:sz w:val="32"/>
          <w:szCs w:val="32"/>
          <w:highlight w:val="none"/>
          <w:lang w:eastAsia="zh-CN"/>
        </w:rPr>
        <w:t>；</w:t>
      </w:r>
    </w:p>
    <w:p>
      <w:pPr>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□其他：</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none"/>
          <w:lang w:val="en-US" w:eastAsia="zh-CN"/>
        </w:rPr>
        <w:t>。</w:t>
      </w:r>
    </w:p>
    <w:p>
      <w:pPr>
        <w:ind w:firstLine="642" w:firstLineChars="200"/>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第十</w:t>
      </w:r>
      <w:r>
        <w:rPr>
          <w:rFonts w:hint="eastAsia" w:ascii="仿宋" w:hAnsi="仿宋" w:eastAsia="仿宋" w:cs="仿宋"/>
          <w:b/>
          <w:bCs/>
          <w:color w:val="auto"/>
          <w:sz w:val="32"/>
          <w:szCs w:val="32"/>
          <w:highlight w:val="none"/>
          <w:lang w:eastAsia="zh-CN"/>
        </w:rPr>
        <w:t>五</w:t>
      </w:r>
      <w:r>
        <w:rPr>
          <w:rFonts w:hint="eastAsia" w:ascii="仿宋" w:hAnsi="仿宋" w:eastAsia="仿宋" w:cs="仿宋"/>
          <w:b/>
          <w:bCs/>
          <w:color w:val="auto"/>
          <w:sz w:val="32"/>
          <w:szCs w:val="32"/>
          <w:highlight w:val="none"/>
        </w:rPr>
        <w:t>条</w:t>
      </w:r>
      <w:r>
        <w:rPr>
          <w:rFonts w:hint="eastAsia" w:ascii="仿宋" w:hAnsi="仿宋" w:eastAsia="仿宋" w:cs="仿宋"/>
          <w:color w:val="auto"/>
          <w:sz w:val="32"/>
          <w:szCs w:val="32"/>
          <w:highlight w:val="none"/>
        </w:rPr>
        <w:t xml:space="preserve">  本物业管理区域停车高峰期是指每日的下午</w:t>
      </w:r>
      <w:r>
        <w:rPr>
          <w:rFonts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点起至次日上午</w:t>
      </w:r>
      <w:r>
        <w:rPr>
          <w:rFonts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点前，停车平峰期是指每日的上午</w:t>
      </w:r>
      <w:r>
        <w:rPr>
          <w:rFonts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点起至下午</w:t>
      </w:r>
      <w:r>
        <w:rPr>
          <w:rFonts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点前。</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各类型停车用户的停车费标准</w:t>
      </w:r>
      <w:r>
        <w:rPr>
          <w:rFonts w:hint="eastAsia" w:ascii="仿宋" w:hAnsi="仿宋" w:eastAsia="仿宋" w:cs="仿宋"/>
          <w:color w:val="auto"/>
          <w:sz w:val="32"/>
          <w:szCs w:val="32"/>
          <w:highlight w:val="none"/>
          <w:lang w:eastAsia="zh-CN"/>
        </w:rPr>
        <w:t>如下</w:t>
      </w:r>
      <w:r>
        <w:rPr>
          <w:rFonts w:hint="eastAsia" w:ascii="仿宋" w:hAnsi="仿宋" w:eastAsia="仿宋" w:cs="仿宋"/>
          <w:color w:val="auto"/>
          <w:sz w:val="32"/>
          <w:szCs w:val="32"/>
          <w:highlight w:val="none"/>
        </w:rPr>
        <w:t>：</w:t>
      </w:r>
    </w:p>
    <w:p>
      <w:pPr>
        <w:ind w:firstLine="6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固定车位月卡用户，人民币</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元/每月；</w:t>
      </w:r>
    </w:p>
    <w:p>
      <w:pPr>
        <w:ind w:firstLine="6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非固定车位月卡用户，人民币</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元/每月；</w:t>
      </w:r>
    </w:p>
    <w:p>
      <w:pPr>
        <w:ind w:firstLine="64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经登记的内部临时车用户</w:t>
      </w:r>
      <w:r>
        <w:rPr>
          <w:rFonts w:hint="eastAsia" w:ascii="仿宋" w:hAnsi="仿宋" w:eastAsia="仿宋" w:cs="仿宋"/>
          <w:color w:val="auto"/>
          <w:sz w:val="32"/>
          <w:szCs w:val="32"/>
          <w:highlight w:val="none"/>
          <w:lang w:eastAsia="zh-CN"/>
        </w:rPr>
        <w:t>采用：</w:t>
      </w:r>
    </w:p>
    <w:p>
      <w:pPr>
        <w:ind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○按月收费，</w:t>
      </w:r>
      <w:r>
        <w:rPr>
          <w:rFonts w:hint="eastAsia" w:ascii="仿宋" w:hAnsi="仿宋" w:eastAsia="仿宋" w:cs="仿宋"/>
          <w:color w:val="auto"/>
          <w:sz w:val="32"/>
          <w:szCs w:val="32"/>
          <w:highlight w:val="none"/>
        </w:rPr>
        <w:t>人民币</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元/每月；</w:t>
      </w:r>
    </w:p>
    <w:p>
      <w:pPr>
        <w:ind w:firstLine="64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lang w:val="en-US" w:eastAsia="zh-CN"/>
        </w:rPr>
        <w:t>○按不同峰期收费，</w:t>
      </w:r>
      <w:r>
        <w:rPr>
          <w:rFonts w:hint="eastAsia" w:ascii="仿宋" w:hAnsi="仿宋" w:eastAsia="仿宋" w:cs="仿宋"/>
          <w:color w:val="auto"/>
          <w:sz w:val="32"/>
          <w:szCs w:val="32"/>
          <w:highlight w:val="none"/>
        </w:rPr>
        <w:t>高峰期停车收费方案为：</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；平峰期停车收费方案为：</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w:t>
      </w:r>
    </w:p>
    <w:p>
      <w:pPr>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外部临时车用户</w:t>
      </w:r>
      <w:r>
        <w:rPr>
          <w:rFonts w:hint="eastAsia" w:ascii="仿宋" w:hAnsi="仿宋" w:eastAsia="仿宋" w:cs="仿宋"/>
          <w:color w:val="auto"/>
          <w:sz w:val="32"/>
          <w:szCs w:val="32"/>
          <w:highlight w:val="none"/>
          <w:lang w:eastAsia="zh-CN"/>
        </w:rPr>
        <w:t>采用：</w:t>
      </w:r>
    </w:p>
    <w:p>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eastAsia="zh-CN"/>
        </w:rPr>
        <w:t>定额收费：</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w:t>
      </w:r>
    </w:p>
    <w:p>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○按不同峰期收费，</w:t>
      </w:r>
      <w:r>
        <w:rPr>
          <w:rFonts w:hint="eastAsia" w:ascii="仿宋" w:hAnsi="仿宋" w:eastAsia="仿宋" w:cs="仿宋"/>
          <w:color w:val="auto"/>
          <w:sz w:val="32"/>
          <w:szCs w:val="32"/>
          <w:highlight w:val="none"/>
        </w:rPr>
        <w:t>高峰期停车收费方案为：</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；平峰期停车收费方案为：</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w:t>
      </w:r>
    </w:p>
    <w:p>
      <w:pPr>
        <w:ind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□阶梯收费，用于（</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固定车位月卡用户</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非固定车位月卡用户</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经登记的内部临时车用户</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eastAsia="zh-CN"/>
        </w:rPr>
        <w:t>同类停车用户第二辆比第一辆多</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none"/>
          <w:lang w:val="en-US" w:eastAsia="zh-CN"/>
        </w:rPr>
        <w:t>%；</w:t>
      </w:r>
      <w:r>
        <w:rPr>
          <w:rFonts w:hint="eastAsia" w:ascii="仿宋" w:hAnsi="仿宋" w:eastAsia="仿宋" w:cs="仿宋"/>
          <w:color w:val="auto"/>
          <w:sz w:val="32"/>
          <w:szCs w:val="32"/>
          <w:highlight w:val="none"/>
          <w:lang w:eastAsia="zh-CN"/>
        </w:rPr>
        <w:t>第三辆比第一辆多</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none"/>
          <w:lang w:val="en-US" w:eastAsia="zh-CN"/>
        </w:rPr>
        <w:t>%</w:t>
      </w:r>
      <w:r>
        <w:rPr>
          <w:rFonts w:hint="eastAsia" w:ascii="仿宋" w:hAnsi="仿宋" w:eastAsia="仿宋" w:cs="仿宋"/>
          <w:color w:val="auto"/>
          <w:sz w:val="32"/>
          <w:szCs w:val="32"/>
          <w:highlight w:val="none"/>
          <w:lang w:eastAsia="zh-CN"/>
        </w:rPr>
        <w:t>；第四辆比第一辆多</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none"/>
          <w:lang w:val="en-US" w:eastAsia="zh-CN"/>
        </w:rPr>
        <w:t>%；</w:t>
      </w:r>
      <w:r>
        <w:rPr>
          <w:rFonts w:ascii="仿宋" w:hAnsi="仿宋" w:eastAsia="仿宋" w:cs="仿宋"/>
          <w:color w:val="auto"/>
          <w:sz w:val="32"/>
          <w:szCs w:val="32"/>
          <w:highlight w:val="none"/>
        </w:rPr>
        <w:t xml:space="preserve">                                            </w:t>
      </w:r>
    </w:p>
    <w:p>
      <w:pPr>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连续六个月从未离开本物业管理区域停车场的外部临时车，自第七月起收费方案为：</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w:t>
      </w:r>
    </w:p>
    <w:p>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以上收费方案表决通过后正式实施时进行公示。</w:t>
      </w:r>
    </w:p>
    <w:p>
      <w:pPr>
        <w:numPr>
          <w:ilvl w:val="0"/>
          <w:numId w:val="0"/>
        </w:numPr>
        <w:spacing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大车及摩托车等</w:t>
      </w:r>
      <w:r>
        <w:rPr>
          <w:rFonts w:hint="eastAsia" w:ascii="仿宋_GB2312" w:hAnsi="仿宋_GB2312" w:eastAsia="仿宋_GB2312" w:cs="仿宋_GB2312"/>
          <w:color w:val="auto"/>
          <w:sz w:val="32"/>
          <w:szCs w:val="32"/>
          <w:highlight w:val="none"/>
          <w:lang w:eastAsia="zh-CN"/>
        </w:rPr>
        <w:t>机动车停放收费</w:t>
      </w:r>
      <w:r>
        <w:rPr>
          <w:rFonts w:hint="eastAsia" w:ascii="仿宋_GB2312" w:hAnsi="仿宋_GB2312" w:eastAsia="仿宋_GB2312" w:cs="仿宋_GB2312"/>
          <w:color w:val="auto"/>
          <w:sz w:val="32"/>
          <w:szCs w:val="32"/>
          <w:highlight w:val="none"/>
        </w:rPr>
        <w:t>标准见本物业管理区域公示的《</w:t>
      </w:r>
      <w:r>
        <w:rPr>
          <w:rFonts w:hint="eastAsia" w:ascii="仿宋_GB2312" w:hAnsi="仿宋_GB2312" w:eastAsia="仿宋_GB2312" w:cs="仿宋_GB2312"/>
          <w:color w:val="auto"/>
          <w:sz w:val="32"/>
          <w:szCs w:val="32"/>
          <w:highlight w:val="none"/>
          <w:lang w:eastAsia="zh-CN"/>
        </w:rPr>
        <w:t>深圳市停车场收费标价</w:t>
      </w:r>
      <w:r>
        <w:rPr>
          <w:rFonts w:hint="eastAsia" w:ascii="仿宋_GB2312" w:hAnsi="仿宋_GB2312" w:eastAsia="仿宋_GB2312" w:cs="仿宋_GB2312"/>
          <w:color w:val="auto"/>
          <w:sz w:val="32"/>
          <w:szCs w:val="32"/>
          <w:highlight w:val="none"/>
        </w:rPr>
        <w:t>牌》。</w:t>
      </w:r>
    </w:p>
    <w:p>
      <w:pPr>
        <w:numPr>
          <w:ilvl w:val="0"/>
          <w:numId w:val="0"/>
        </w:numPr>
        <w:spacing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本物业管理区域</w:t>
      </w:r>
      <w:r>
        <w:rPr>
          <w:rFonts w:hint="eastAsia" w:ascii="仿宋_GB2312" w:hAnsi="仿宋_GB2312" w:eastAsia="仿宋_GB2312" w:cs="仿宋_GB2312"/>
          <w:color w:val="auto"/>
          <w:sz w:val="32"/>
          <w:szCs w:val="32"/>
          <w:highlight w:val="none"/>
          <w:lang w:eastAsia="zh-CN"/>
        </w:rPr>
        <w:t>只能</w:t>
      </w:r>
      <w:r>
        <w:rPr>
          <w:rFonts w:hint="eastAsia" w:ascii="仿宋_GB2312" w:hAnsi="仿宋_GB2312" w:eastAsia="仿宋_GB2312" w:cs="仿宋_GB2312"/>
          <w:color w:val="auto"/>
          <w:sz w:val="32"/>
          <w:szCs w:val="32"/>
          <w:highlight w:val="none"/>
        </w:rPr>
        <w:t>通过业主大会</w:t>
      </w:r>
      <w:r>
        <w:rPr>
          <w:rFonts w:hint="eastAsia" w:ascii="仿宋_GB2312" w:hAnsi="仿宋_GB2312" w:eastAsia="仿宋_GB2312" w:cs="仿宋_GB2312"/>
          <w:color w:val="auto"/>
          <w:sz w:val="32"/>
          <w:szCs w:val="32"/>
          <w:highlight w:val="none"/>
          <w:lang w:eastAsia="zh-CN"/>
        </w:rPr>
        <w:t>会议表决来决定是否</w:t>
      </w:r>
      <w:r>
        <w:rPr>
          <w:rFonts w:hint="eastAsia" w:ascii="仿宋_GB2312" w:hAnsi="仿宋_GB2312" w:eastAsia="仿宋_GB2312" w:cs="仿宋_GB2312"/>
          <w:color w:val="auto"/>
          <w:sz w:val="32"/>
          <w:szCs w:val="32"/>
          <w:highlight w:val="none"/>
        </w:rPr>
        <w:t>根据市场调</w:t>
      </w:r>
      <w:r>
        <w:rPr>
          <w:rFonts w:hint="eastAsia" w:ascii="仿宋_GB2312" w:hAnsi="仿宋_GB2312" w:eastAsia="仿宋_GB2312" w:cs="仿宋_GB2312"/>
          <w:color w:val="auto"/>
          <w:sz w:val="32"/>
          <w:szCs w:val="32"/>
          <w:highlight w:val="none"/>
          <w:lang w:eastAsia="zh-CN"/>
        </w:rPr>
        <w:t>整机动车停放服务</w:t>
      </w:r>
      <w:r>
        <w:rPr>
          <w:rFonts w:hint="eastAsia" w:ascii="仿宋_GB2312" w:hAnsi="仿宋_GB2312" w:eastAsia="仿宋_GB2312" w:cs="仿宋_GB2312"/>
          <w:color w:val="auto"/>
          <w:sz w:val="32"/>
          <w:szCs w:val="32"/>
          <w:highlight w:val="none"/>
        </w:rPr>
        <w:t>费</w:t>
      </w:r>
      <w:r>
        <w:rPr>
          <w:rFonts w:hint="eastAsia" w:ascii="仿宋_GB2312" w:hAnsi="仿宋_GB2312" w:eastAsia="仿宋_GB2312" w:cs="仿宋_GB2312"/>
          <w:color w:val="auto"/>
          <w:sz w:val="32"/>
          <w:szCs w:val="32"/>
          <w:highlight w:val="none"/>
          <w:lang w:eastAsia="zh-CN"/>
        </w:rPr>
        <w:t>，停车场管理单位不得擅自</w:t>
      </w:r>
      <w:r>
        <w:rPr>
          <w:rFonts w:hint="eastAsia" w:ascii="仿宋_GB2312" w:hAnsi="仿宋_GB2312" w:eastAsia="仿宋_GB2312" w:cs="仿宋_GB2312"/>
          <w:color w:val="auto"/>
          <w:sz w:val="32"/>
          <w:szCs w:val="32"/>
          <w:highlight w:val="none"/>
          <w:lang w:val="en-US" w:eastAsia="zh-CN"/>
        </w:rPr>
        <w:t>调整</w:t>
      </w:r>
      <w:r>
        <w:rPr>
          <w:rFonts w:hint="eastAsia" w:ascii="仿宋_GB2312" w:hAnsi="仿宋_GB2312" w:eastAsia="仿宋_GB2312" w:cs="仿宋_GB2312"/>
          <w:color w:val="auto"/>
          <w:sz w:val="32"/>
          <w:szCs w:val="32"/>
          <w:highlight w:val="none"/>
        </w:rPr>
        <w:t>。</w:t>
      </w:r>
    </w:p>
    <w:p>
      <w:pPr>
        <w:pStyle w:val="2"/>
        <w:spacing w:line="560" w:lineRule="exact"/>
        <w:ind w:firstLine="640" w:firstLineChars="200"/>
        <w:rPr>
          <w:rFonts w:hint="eastAsia" w:ascii="仿宋_GB2312" w:hAnsi="仿宋_GB2312" w:eastAsia="仿宋_GB2312" w:cs="仿宋_GB2312"/>
          <w:color w:val="auto"/>
          <w:sz w:val="32"/>
          <w:szCs w:val="32"/>
          <w:highlight w:val="none"/>
          <w:lang w:val="en-US" w:bidi="ar-SA"/>
        </w:rPr>
      </w:pPr>
      <w:r>
        <w:rPr>
          <w:rFonts w:hint="eastAsia" w:ascii="仿宋_GB2312" w:hAnsi="仿宋_GB2312" w:eastAsia="仿宋_GB2312" w:cs="仿宋_GB2312"/>
          <w:color w:val="auto"/>
          <w:sz w:val="32"/>
          <w:szCs w:val="32"/>
          <w:highlight w:val="none"/>
          <w:lang w:val="en-US" w:bidi="ar-SA"/>
        </w:rPr>
        <w:t>公安、消防、抢险、救护、环卫等特种车辆执行公务或施工作业时进出本小区，不收取停车费。</w:t>
      </w:r>
    </w:p>
    <w:p>
      <w:pPr>
        <w:ind w:firstLine="64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第十</w:t>
      </w:r>
      <w:r>
        <w:rPr>
          <w:rFonts w:hint="eastAsia" w:ascii="仿宋" w:hAnsi="仿宋" w:eastAsia="仿宋" w:cs="仿宋"/>
          <w:b/>
          <w:bCs/>
          <w:color w:val="auto"/>
          <w:sz w:val="32"/>
          <w:szCs w:val="32"/>
          <w:highlight w:val="none"/>
          <w:lang w:eastAsia="zh-CN"/>
        </w:rPr>
        <w:t>六</w:t>
      </w:r>
      <w:r>
        <w:rPr>
          <w:rFonts w:hint="eastAsia" w:ascii="仿宋" w:hAnsi="仿宋" w:eastAsia="仿宋" w:cs="仿宋"/>
          <w:b/>
          <w:bCs/>
          <w:color w:val="auto"/>
          <w:sz w:val="32"/>
          <w:szCs w:val="32"/>
          <w:highlight w:val="none"/>
        </w:rPr>
        <w:t xml:space="preserve">条 </w:t>
      </w:r>
      <w:r>
        <w:rPr>
          <w:rFonts w:hint="eastAsia" w:ascii="仿宋" w:hAnsi="仿宋" w:eastAsia="仿宋" w:cs="仿宋"/>
          <w:color w:val="auto"/>
          <w:sz w:val="32"/>
          <w:szCs w:val="32"/>
          <w:highlight w:val="none"/>
        </w:rPr>
        <w:t xml:space="preserve"> 本物业管理区域</w:t>
      </w:r>
      <w:r>
        <w:rPr>
          <w:rFonts w:hint="eastAsia" w:ascii="仿宋" w:hAnsi="仿宋" w:eastAsia="仿宋" w:cs="仿宋"/>
          <w:color w:val="auto"/>
          <w:sz w:val="32"/>
          <w:szCs w:val="32"/>
          <w:highlight w:val="none"/>
          <w:lang w:eastAsia="zh-CN"/>
        </w:rPr>
        <w:t>停车场</w:t>
      </w:r>
      <w:r>
        <w:rPr>
          <w:rFonts w:hint="eastAsia" w:ascii="仿宋" w:hAnsi="仿宋" w:eastAsia="仿宋" w:cs="仿宋"/>
          <w:color w:val="auto"/>
          <w:sz w:val="32"/>
          <w:szCs w:val="32"/>
          <w:highlight w:val="none"/>
        </w:rPr>
        <w:t>在停车高峰期对第（</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）类用户开放进入权限，在停车平峰期对第（</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）类用户开放进入权限：</w:t>
      </w:r>
    </w:p>
    <w:p>
      <w:pPr>
        <w:ind w:firstLine="6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一</w:t>
      </w:r>
      <w:r>
        <w:rPr>
          <w:rFonts w:hint="eastAsia" w:ascii="仿宋" w:hAnsi="仿宋" w:eastAsia="仿宋" w:cs="仿宋"/>
          <w:color w:val="auto"/>
          <w:sz w:val="32"/>
          <w:szCs w:val="32"/>
          <w:highlight w:val="none"/>
        </w:rPr>
        <w:t>）经登记的内部临时车；</w:t>
      </w:r>
    </w:p>
    <w:p>
      <w:pPr>
        <w:ind w:firstLine="64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二</w:t>
      </w:r>
      <w:r>
        <w:rPr>
          <w:rFonts w:hint="eastAsia" w:ascii="仿宋" w:hAnsi="仿宋" w:eastAsia="仿宋" w:cs="仿宋"/>
          <w:color w:val="auto"/>
          <w:sz w:val="32"/>
          <w:szCs w:val="32"/>
          <w:highlight w:val="none"/>
        </w:rPr>
        <w:t>）外部临时车</w:t>
      </w:r>
      <w:r>
        <w:rPr>
          <w:rFonts w:hint="eastAsia" w:ascii="仿宋" w:hAnsi="仿宋" w:eastAsia="仿宋" w:cs="仿宋"/>
          <w:color w:val="auto"/>
          <w:sz w:val="32"/>
          <w:szCs w:val="32"/>
          <w:highlight w:val="none"/>
          <w:lang w:eastAsia="zh-CN"/>
        </w:rPr>
        <w:t>。</w:t>
      </w:r>
    </w:p>
    <w:p>
      <w:pPr>
        <w:ind w:firstLine="64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本物业管理区域</w:t>
      </w:r>
      <w:r>
        <w:rPr>
          <w:rFonts w:hint="eastAsia" w:ascii="仿宋" w:hAnsi="仿宋" w:eastAsia="仿宋" w:cs="仿宋"/>
          <w:color w:val="auto"/>
          <w:sz w:val="32"/>
          <w:szCs w:val="32"/>
          <w:highlight w:val="none"/>
          <w:lang w:eastAsia="zh-CN"/>
        </w:rPr>
        <w:t>无空余车位、车库时，所有车辆停止进入，待有空余车位、车库，按排队顺序进入。</w:t>
      </w:r>
    </w:p>
    <w:p>
      <w:pPr>
        <w:ind w:firstLine="640"/>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第十</w:t>
      </w:r>
      <w:r>
        <w:rPr>
          <w:rFonts w:hint="eastAsia" w:ascii="仿宋" w:hAnsi="仿宋" w:eastAsia="仿宋" w:cs="仿宋"/>
          <w:b/>
          <w:bCs/>
          <w:color w:val="auto"/>
          <w:sz w:val="32"/>
          <w:szCs w:val="32"/>
          <w:highlight w:val="none"/>
          <w:lang w:eastAsia="zh-CN"/>
        </w:rPr>
        <w:t>七</w:t>
      </w:r>
      <w:r>
        <w:rPr>
          <w:rFonts w:hint="eastAsia" w:ascii="仿宋" w:hAnsi="仿宋" w:eastAsia="仿宋" w:cs="仿宋"/>
          <w:b/>
          <w:bCs/>
          <w:color w:val="auto"/>
          <w:sz w:val="32"/>
          <w:szCs w:val="32"/>
          <w:highlight w:val="none"/>
        </w:rPr>
        <w:t>条</w:t>
      </w:r>
      <w:r>
        <w:rPr>
          <w:rFonts w:hint="eastAsia" w:ascii="仿宋" w:hAnsi="仿宋" w:eastAsia="仿宋" w:cs="仿宋"/>
          <w:color w:val="auto"/>
          <w:sz w:val="32"/>
          <w:szCs w:val="32"/>
          <w:highlight w:val="none"/>
        </w:rPr>
        <w:t xml:space="preserve">  各类型用户车辆进出停车场时，</w:t>
      </w:r>
      <w:r>
        <w:rPr>
          <w:rFonts w:hint="eastAsia" w:ascii="仿宋" w:hAnsi="仿宋" w:eastAsia="仿宋" w:cs="仿宋"/>
          <w:color w:val="auto"/>
          <w:sz w:val="32"/>
          <w:szCs w:val="32"/>
          <w:highlight w:val="none"/>
          <w:lang w:eastAsia="zh-CN"/>
        </w:rPr>
        <w:t>做到</w:t>
      </w:r>
      <w:r>
        <w:rPr>
          <w:rFonts w:hint="eastAsia" w:ascii="仿宋" w:hAnsi="仿宋" w:eastAsia="仿宋" w:cs="仿宋"/>
          <w:color w:val="auto"/>
          <w:sz w:val="32"/>
          <w:szCs w:val="32"/>
          <w:highlight w:val="none"/>
        </w:rPr>
        <w:t>减速慢行、礼让行人，文明行驶、有序排队。</w:t>
      </w:r>
    </w:p>
    <w:p>
      <w:pPr>
        <w:ind w:firstLine="642" w:firstLineChars="2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第十</w:t>
      </w:r>
      <w:r>
        <w:rPr>
          <w:rFonts w:hint="eastAsia" w:ascii="仿宋" w:hAnsi="仿宋" w:eastAsia="仿宋" w:cs="仿宋"/>
          <w:b/>
          <w:bCs/>
          <w:color w:val="auto"/>
          <w:sz w:val="32"/>
          <w:szCs w:val="32"/>
          <w:highlight w:val="none"/>
          <w:lang w:eastAsia="zh-CN"/>
        </w:rPr>
        <w:t>八</w:t>
      </w:r>
      <w:r>
        <w:rPr>
          <w:rFonts w:hint="eastAsia" w:ascii="仿宋" w:hAnsi="仿宋" w:eastAsia="仿宋" w:cs="仿宋"/>
          <w:b/>
          <w:bCs/>
          <w:color w:val="auto"/>
          <w:sz w:val="32"/>
          <w:szCs w:val="32"/>
          <w:highlight w:val="none"/>
        </w:rPr>
        <w:t xml:space="preserve">条  </w:t>
      </w:r>
      <w:r>
        <w:rPr>
          <w:rFonts w:hint="eastAsia" w:ascii="仿宋" w:hAnsi="仿宋" w:eastAsia="仿宋" w:cs="仿宋"/>
          <w:color w:val="auto"/>
          <w:sz w:val="32"/>
          <w:szCs w:val="32"/>
          <w:highlight w:val="none"/>
        </w:rPr>
        <w:t>各类用户使用停车场时，应当遵守本办法，服从管理人员的指挥。</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停车场内禁止下列行为：</w:t>
      </w:r>
    </w:p>
    <w:p>
      <w:pP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（一）阻塞停车场出入口；</w:t>
      </w:r>
    </w:p>
    <w:p>
      <w:pPr>
        <w:ind w:firstLine="6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（二）逆向行驶；</w:t>
      </w:r>
    </w:p>
    <w:p>
      <w:pPr>
        <w:ind w:firstLine="6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（三）将车辆停放在消防通道；</w:t>
      </w:r>
    </w:p>
    <w:p>
      <w:pPr>
        <w:ind w:firstLine="6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（四）将车辆停放在停车场内部通行道路、行人通道、绿化用地等非划定的停车区域；</w:t>
      </w:r>
    </w:p>
    <w:p>
      <w:pPr>
        <w:ind w:firstLine="6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（五）不按划定的停车线停放；</w:t>
      </w:r>
    </w:p>
    <w:p>
      <w:pPr>
        <w:ind w:firstLine="6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（六）擅自在停车位加装地锁等设施设备，致使他人无法正常使用停车位；</w:t>
      </w:r>
    </w:p>
    <w:p>
      <w:pPr>
        <w:ind w:firstLine="6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（七）其他</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w:t>
      </w:r>
    </w:p>
    <w:p>
      <w:pPr>
        <w:ind w:firstLine="6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停车用户存在下列任何一种情形的，均</w:t>
      </w:r>
      <w:r>
        <w:rPr>
          <w:rFonts w:hint="eastAsia" w:ascii="仿宋" w:hAnsi="仿宋" w:eastAsia="仿宋" w:cs="仿宋"/>
          <w:color w:val="auto"/>
          <w:sz w:val="32"/>
          <w:szCs w:val="32"/>
          <w:highlight w:val="none"/>
          <w:lang w:eastAsia="zh-CN"/>
        </w:rPr>
        <w:t>视</w:t>
      </w:r>
      <w:r>
        <w:rPr>
          <w:rFonts w:hint="eastAsia" w:ascii="仿宋" w:hAnsi="仿宋" w:eastAsia="仿宋" w:cs="仿宋"/>
          <w:color w:val="auto"/>
          <w:sz w:val="32"/>
          <w:szCs w:val="32"/>
          <w:highlight w:val="none"/>
        </w:rPr>
        <w:t>为严重违规：</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本条第二款禁止行为第（</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）项情形每出现一次；</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连续</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个月内累计出现</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次及以上本条第二款禁止行为第（</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）项情形之一；</w:t>
      </w:r>
    </w:p>
    <w:p>
      <w:pPr>
        <w:ind w:firstLine="640"/>
        <w:rPr>
          <w:highlight w:val="none"/>
        </w:rPr>
      </w:pPr>
      <w:r>
        <w:rPr>
          <w:rFonts w:hint="eastAsia" w:ascii="仿宋" w:hAnsi="仿宋" w:eastAsia="仿宋" w:cs="仿宋"/>
          <w:color w:val="auto"/>
          <w:sz w:val="32"/>
          <w:szCs w:val="32"/>
          <w:highlight w:val="none"/>
        </w:rPr>
        <w:t>受访人应当提示、督促来访车辆遵守本办法，来访人员在本物业管理区域停车场发生纠纷时，受访人应当协助处理。</w:t>
      </w:r>
    </w:p>
    <w:p>
      <w:pPr>
        <w:ind w:firstLine="642" w:firstLineChars="200"/>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w:t>
      </w:r>
      <w:r>
        <w:rPr>
          <w:rFonts w:hint="eastAsia" w:ascii="仿宋" w:hAnsi="仿宋" w:eastAsia="仿宋" w:cs="仿宋"/>
          <w:b/>
          <w:bCs/>
          <w:color w:val="auto"/>
          <w:sz w:val="32"/>
          <w:szCs w:val="32"/>
          <w:highlight w:val="none"/>
          <w:lang w:eastAsia="zh-CN"/>
        </w:rPr>
        <w:t>十九</w:t>
      </w:r>
      <w:r>
        <w:rPr>
          <w:rFonts w:hint="eastAsia" w:ascii="仿宋" w:hAnsi="仿宋" w:eastAsia="仿宋" w:cs="仿宋"/>
          <w:b/>
          <w:bCs/>
          <w:color w:val="auto"/>
          <w:sz w:val="32"/>
          <w:szCs w:val="32"/>
          <w:highlight w:val="none"/>
        </w:rPr>
        <w:t xml:space="preserve">条  </w:t>
      </w:r>
      <w:r>
        <w:rPr>
          <w:rFonts w:hint="eastAsia" w:ascii="仿宋" w:hAnsi="仿宋" w:eastAsia="仿宋" w:cs="仿宋"/>
          <w:color w:val="auto"/>
          <w:sz w:val="32"/>
          <w:szCs w:val="32"/>
          <w:highlight w:val="none"/>
        </w:rPr>
        <w:t>除固定车位月卡用户外，所有进入停车场的车辆按进入停车场的先后顺序自主选择车位停放，车辆先到先停，停满为止。</w:t>
      </w:r>
    </w:p>
    <w:p>
      <w:pPr>
        <w:ind w:firstLine="640"/>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第二十条</w:t>
      </w:r>
      <w:r>
        <w:rPr>
          <w:rFonts w:hint="eastAsia" w:ascii="仿宋" w:hAnsi="仿宋" w:eastAsia="仿宋" w:cs="仿宋"/>
          <w:color w:val="auto"/>
          <w:sz w:val="32"/>
          <w:szCs w:val="32"/>
          <w:highlight w:val="none"/>
        </w:rPr>
        <w:t xml:space="preserve">  各类用户出现第十</w:t>
      </w:r>
      <w:r>
        <w:rPr>
          <w:rFonts w:hint="eastAsia" w:ascii="仿宋" w:hAnsi="仿宋" w:eastAsia="仿宋" w:cs="仿宋"/>
          <w:color w:val="auto"/>
          <w:sz w:val="32"/>
          <w:szCs w:val="32"/>
          <w:highlight w:val="none"/>
          <w:lang w:eastAsia="zh-CN"/>
        </w:rPr>
        <w:t>八</w:t>
      </w:r>
      <w:r>
        <w:rPr>
          <w:rFonts w:hint="eastAsia" w:ascii="仿宋" w:hAnsi="仿宋" w:eastAsia="仿宋" w:cs="仿宋"/>
          <w:color w:val="auto"/>
          <w:sz w:val="32"/>
          <w:szCs w:val="32"/>
          <w:highlight w:val="none"/>
        </w:rPr>
        <w:t>条禁止行为中的任一行为时，物业服务企业或业主委员会</w:t>
      </w:r>
      <w:r>
        <w:rPr>
          <w:rFonts w:hint="eastAsia" w:ascii="仿宋" w:hAnsi="仿宋" w:eastAsia="仿宋" w:cs="仿宋"/>
          <w:color w:val="auto"/>
          <w:sz w:val="32"/>
          <w:szCs w:val="32"/>
          <w:highlight w:val="none"/>
          <w:lang w:eastAsia="zh-CN"/>
        </w:rPr>
        <w:t>予以</w:t>
      </w:r>
      <w:r>
        <w:rPr>
          <w:rFonts w:hint="eastAsia" w:ascii="仿宋" w:hAnsi="仿宋" w:eastAsia="仿宋" w:cs="仿宋"/>
          <w:color w:val="auto"/>
          <w:sz w:val="32"/>
          <w:szCs w:val="32"/>
          <w:highlight w:val="none"/>
        </w:rPr>
        <w:t>劝阻</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受侵害受影响的</w:t>
      </w:r>
      <w:r>
        <w:rPr>
          <w:rFonts w:hint="eastAsia" w:ascii="仿宋" w:hAnsi="仿宋" w:eastAsia="仿宋" w:cs="仿宋"/>
          <w:color w:val="auto"/>
          <w:sz w:val="32"/>
          <w:szCs w:val="32"/>
          <w:highlight w:val="none"/>
          <w:lang w:eastAsia="zh-CN"/>
        </w:rPr>
        <w:t>车主</w:t>
      </w:r>
      <w:r>
        <w:rPr>
          <w:rFonts w:hint="eastAsia" w:ascii="仿宋" w:hAnsi="仿宋" w:eastAsia="仿宋" w:cs="仿宋"/>
          <w:color w:val="auto"/>
          <w:sz w:val="32"/>
          <w:szCs w:val="32"/>
          <w:highlight w:val="none"/>
        </w:rPr>
        <w:t>可将相关资料提交业主委员会、物业服务企业</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业主委员会、物业服务企业</w:t>
      </w:r>
      <w:r>
        <w:rPr>
          <w:rFonts w:hint="eastAsia" w:ascii="仿宋" w:hAnsi="仿宋" w:eastAsia="仿宋" w:cs="仿宋"/>
          <w:color w:val="auto"/>
          <w:sz w:val="32"/>
          <w:szCs w:val="32"/>
          <w:highlight w:val="none"/>
          <w:lang w:eastAsia="zh-CN"/>
        </w:rPr>
        <w:t>将不听劝阻和</w:t>
      </w:r>
      <w:r>
        <w:rPr>
          <w:rFonts w:hint="eastAsia" w:ascii="仿宋" w:hAnsi="仿宋" w:eastAsia="仿宋" w:cs="仿宋"/>
          <w:color w:val="auto"/>
          <w:sz w:val="32"/>
          <w:szCs w:val="32"/>
          <w:highlight w:val="none"/>
        </w:rPr>
        <w:t>经审核</w:t>
      </w:r>
      <w:r>
        <w:rPr>
          <w:rFonts w:hint="eastAsia" w:ascii="仿宋" w:hAnsi="仿宋" w:eastAsia="仿宋" w:cs="仿宋"/>
          <w:color w:val="auto"/>
          <w:sz w:val="32"/>
          <w:szCs w:val="32"/>
          <w:highlight w:val="none"/>
          <w:lang w:eastAsia="zh-CN"/>
        </w:rPr>
        <w:t>认定</w:t>
      </w:r>
      <w:r>
        <w:rPr>
          <w:rFonts w:hint="eastAsia" w:ascii="仿宋" w:hAnsi="仿宋" w:eastAsia="仿宋" w:cs="仿宋"/>
          <w:color w:val="auto"/>
          <w:sz w:val="32"/>
          <w:szCs w:val="32"/>
          <w:highlight w:val="none"/>
        </w:rPr>
        <w:t>相关行为</w:t>
      </w:r>
      <w:r>
        <w:rPr>
          <w:rFonts w:hint="eastAsia" w:ascii="仿宋" w:hAnsi="仿宋" w:eastAsia="仿宋" w:cs="仿宋"/>
          <w:color w:val="auto"/>
          <w:sz w:val="32"/>
          <w:szCs w:val="32"/>
          <w:highlight w:val="none"/>
          <w:lang w:eastAsia="zh-CN"/>
        </w:rPr>
        <w:t>存在</w:t>
      </w:r>
      <w:r>
        <w:rPr>
          <w:rFonts w:hint="eastAsia" w:ascii="仿宋" w:hAnsi="仿宋" w:eastAsia="仿宋" w:cs="仿宋"/>
          <w:color w:val="auto"/>
          <w:sz w:val="32"/>
          <w:szCs w:val="32"/>
          <w:highlight w:val="none"/>
        </w:rPr>
        <w:t>违规</w:t>
      </w:r>
      <w:r>
        <w:rPr>
          <w:rFonts w:hint="eastAsia" w:ascii="仿宋" w:hAnsi="仿宋" w:eastAsia="仿宋" w:cs="仿宋"/>
          <w:color w:val="auto"/>
          <w:sz w:val="32"/>
          <w:szCs w:val="32"/>
          <w:highlight w:val="none"/>
          <w:lang w:eastAsia="zh-CN"/>
        </w:rPr>
        <w:t>的</w:t>
      </w:r>
      <w:r>
        <w:rPr>
          <w:rFonts w:hint="eastAsia" w:ascii="仿宋" w:hAnsi="仿宋" w:eastAsia="仿宋" w:cs="仿宋"/>
          <w:color w:val="auto"/>
          <w:sz w:val="32"/>
          <w:szCs w:val="32"/>
          <w:highlight w:val="none"/>
        </w:rPr>
        <w:t>相关情况</w:t>
      </w:r>
      <w:r>
        <w:rPr>
          <w:rFonts w:hint="eastAsia" w:ascii="仿宋" w:hAnsi="仿宋" w:eastAsia="仿宋" w:cs="仿宋"/>
          <w:color w:val="auto"/>
          <w:sz w:val="32"/>
          <w:szCs w:val="32"/>
          <w:highlight w:val="none"/>
          <w:lang w:eastAsia="zh-CN"/>
        </w:rPr>
        <w:t>进行</w:t>
      </w:r>
      <w:r>
        <w:rPr>
          <w:rFonts w:hint="eastAsia" w:ascii="仿宋" w:hAnsi="仿宋" w:eastAsia="仿宋" w:cs="仿宋"/>
          <w:color w:val="auto"/>
          <w:sz w:val="32"/>
          <w:szCs w:val="32"/>
          <w:highlight w:val="none"/>
        </w:rPr>
        <w:t>公示。</w:t>
      </w:r>
    </w:p>
    <w:p>
      <w:pPr>
        <w:ind w:firstLine="6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公示方式为在本物业管理区域显著位置张贴（如公告栏张贴、其他纸质张贴方式），但应仅限于本物业管理区域范围内。公示时间不低于10日，不超过15日。</w:t>
      </w:r>
    </w:p>
    <w:p>
      <w:pPr>
        <w:ind w:firstLine="640"/>
        <w:rPr>
          <w:rFonts w:eastAsia="宋体"/>
          <w:color w:val="auto"/>
          <w:highlight w:val="none"/>
        </w:rPr>
      </w:pPr>
      <w:r>
        <w:rPr>
          <w:rFonts w:hint="eastAsia" w:ascii="仿宋" w:hAnsi="仿宋" w:eastAsia="仿宋" w:cs="仿宋"/>
          <w:color w:val="auto"/>
          <w:sz w:val="32"/>
          <w:szCs w:val="32"/>
          <w:highlight w:val="none"/>
        </w:rPr>
        <w:t>公示时应当仅做事实陈述，不得含有任何评价性文字；仅对不文明现象进行公示，不得涉及个人评价；根据具体情况公示如下信息：</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姓名（隐去部分）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车牌号码</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显示违规行为的图片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在本物业管理区域的房屋号码。</w:t>
      </w:r>
    </w:p>
    <w:p>
      <w:pPr>
        <w:ind w:firstLine="640"/>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第二十</w:t>
      </w:r>
      <w:r>
        <w:rPr>
          <w:rFonts w:hint="eastAsia" w:ascii="仿宋" w:hAnsi="仿宋" w:eastAsia="仿宋" w:cs="仿宋"/>
          <w:b/>
          <w:bCs/>
          <w:color w:val="auto"/>
          <w:sz w:val="32"/>
          <w:szCs w:val="32"/>
          <w:highlight w:val="none"/>
          <w:lang w:eastAsia="zh-CN"/>
        </w:rPr>
        <w:t>一</w:t>
      </w:r>
      <w:r>
        <w:rPr>
          <w:rFonts w:hint="eastAsia" w:ascii="仿宋" w:hAnsi="仿宋" w:eastAsia="仿宋" w:cs="仿宋"/>
          <w:b/>
          <w:bCs/>
          <w:color w:val="auto"/>
          <w:sz w:val="32"/>
          <w:szCs w:val="32"/>
          <w:highlight w:val="none"/>
        </w:rPr>
        <w:t>条</w:t>
      </w:r>
      <w:r>
        <w:rPr>
          <w:rFonts w:hint="eastAsia" w:ascii="仿宋" w:hAnsi="仿宋" w:eastAsia="仿宋" w:cs="仿宋"/>
          <w:color w:val="auto"/>
          <w:sz w:val="32"/>
          <w:szCs w:val="32"/>
          <w:highlight w:val="none"/>
        </w:rPr>
        <w:t xml:space="preserve">  对于连续六个月从未离开停车场的车辆，停车场管理单位可以根据实际情况采取以下措施：</w:t>
      </w:r>
    </w:p>
    <w:p>
      <w:pPr>
        <w:ind w:firstLine="64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（一）联系该车辆的</w:t>
      </w:r>
      <w:r>
        <w:rPr>
          <w:rFonts w:hint="eastAsia" w:ascii="仿宋" w:hAnsi="仿宋" w:eastAsia="仿宋" w:cs="仿宋"/>
          <w:color w:val="auto"/>
          <w:sz w:val="32"/>
          <w:szCs w:val="32"/>
          <w:highlight w:val="none"/>
          <w:lang w:eastAsia="zh-CN"/>
        </w:rPr>
        <w:t>车主</w:t>
      </w:r>
      <w:r>
        <w:rPr>
          <w:rFonts w:hint="eastAsia" w:ascii="仿宋" w:hAnsi="仿宋" w:eastAsia="仿宋" w:cs="仿宋"/>
          <w:color w:val="auto"/>
          <w:sz w:val="32"/>
          <w:szCs w:val="32"/>
          <w:highlight w:val="none"/>
        </w:rPr>
        <w:t>核实情况，如为外部临时车，联系该车辆进入停车场时登记的受访人员核实情况</w:t>
      </w:r>
      <w:r>
        <w:rPr>
          <w:rFonts w:hint="eastAsia" w:ascii="仿宋" w:hAnsi="仿宋" w:eastAsia="仿宋" w:cs="仿宋"/>
          <w:color w:val="auto"/>
          <w:sz w:val="32"/>
          <w:szCs w:val="32"/>
          <w:highlight w:val="none"/>
          <w:lang w:eastAsia="zh-CN"/>
        </w:rPr>
        <w:t>；</w:t>
      </w:r>
    </w:p>
    <w:p>
      <w:pPr>
        <w:ind w:firstLine="64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（二）核查是否支付停车费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对于超期未交费的月卡车辆，自欠费之日起按外部临时车标准收费</w:t>
      </w:r>
      <w:r>
        <w:rPr>
          <w:rFonts w:hint="eastAsia" w:ascii="仿宋" w:hAnsi="仿宋" w:eastAsia="仿宋" w:cs="仿宋"/>
          <w:color w:val="auto"/>
          <w:sz w:val="32"/>
          <w:szCs w:val="32"/>
          <w:highlight w:val="none"/>
          <w:lang w:eastAsia="zh-CN"/>
        </w:rPr>
        <w:t>；</w:t>
      </w:r>
    </w:p>
    <w:p>
      <w:pPr>
        <w:ind w:firstLine="64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（三）对于无法联系</w:t>
      </w:r>
      <w:r>
        <w:rPr>
          <w:rFonts w:hint="eastAsia" w:ascii="仿宋" w:hAnsi="仿宋" w:eastAsia="仿宋" w:cs="仿宋"/>
          <w:color w:val="auto"/>
          <w:sz w:val="32"/>
          <w:szCs w:val="32"/>
          <w:highlight w:val="none"/>
          <w:lang w:eastAsia="zh-CN"/>
        </w:rPr>
        <w:t>且欠费或能联系上但</w:t>
      </w:r>
      <w:r>
        <w:rPr>
          <w:rFonts w:hint="eastAsia" w:ascii="仿宋" w:hAnsi="仿宋" w:eastAsia="仿宋" w:cs="仿宋"/>
          <w:color w:val="auto"/>
          <w:sz w:val="32"/>
          <w:szCs w:val="32"/>
          <w:highlight w:val="none"/>
        </w:rPr>
        <w:t>拒不缴费的，将相关情况报告公安交管部门</w:t>
      </w:r>
      <w:r>
        <w:rPr>
          <w:rFonts w:hint="eastAsia" w:ascii="仿宋" w:hAnsi="仿宋" w:eastAsia="仿宋" w:cs="仿宋"/>
          <w:color w:val="auto"/>
          <w:sz w:val="32"/>
          <w:szCs w:val="32"/>
          <w:highlight w:val="none"/>
          <w:lang w:eastAsia="zh-CN"/>
        </w:rPr>
        <w:t>；</w:t>
      </w:r>
    </w:p>
    <w:p>
      <w:pPr>
        <w:ind w:firstLine="6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（四）对于欠费金额较大的车辆，</w:t>
      </w:r>
      <w:r>
        <w:rPr>
          <w:rFonts w:hint="eastAsia" w:ascii="仿宋" w:hAnsi="仿宋" w:eastAsia="仿宋" w:cs="仿宋"/>
          <w:color w:val="auto"/>
          <w:sz w:val="32"/>
          <w:szCs w:val="32"/>
          <w:highlight w:val="none"/>
          <w:lang w:eastAsia="zh-CN"/>
        </w:rPr>
        <w:t>可</w:t>
      </w:r>
      <w:r>
        <w:rPr>
          <w:rFonts w:hint="eastAsia" w:ascii="仿宋" w:hAnsi="仿宋" w:eastAsia="仿宋" w:cs="仿宋"/>
          <w:color w:val="auto"/>
          <w:sz w:val="32"/>
          <w:szCs w:val="32"/>
          <w:highlight w:val="none"/>
        </w:rPr>
        <w:t>通过司法途径追讨停车费</w:t>
      </w:r>
      <w:r>
        <w:rPr>
          <w:rFonts w:hint="eastAsia" w:ascii="仿宋" w:hAnsi="仿宋" w:eastAsia="仿宋" w:cs="仿宋"/>
          <w:color w:val="auto"/>
          <w:sz w:val="32"/>
          <w:szCs w:val="32"/>
          <w:highlight w:val="none"/>
          <w:lang w:eastAsia="zh-CN"/>
        </w:rPr>
        <w:t>和拖车费</w:t>
      </w:r>
      <w:r>
        <w:rPr>
          <w:rFonts w:hint="eastAsia" w:ascii="仿宋" w:hAnsi="仿宋" w:eastAsia="仿宋" w:cs="仿宋"/>
          <w:color w:val="auto"/>
          <w:sz w:val="32"/>
          <w:szCs w:val="32"/>
          <w:highlight w:val="none"/>
        </w:rPr>
        <w:t>。</w:t>
      </w:r>
    </w:p>
    <w:p>
      <w:pPr>
        <w:ind w:firstLine="640"/>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第二十</w:t>
      </w:r>
      <w:r>
        <w:rPr>
          <w:rFonts w:hint="eastAsia" w:ascii="仿宋" w:hAnsi="仿宋" w:eastAsia="仿宋" w:cs="仿宋"/>
          <w:b/>
          <w:bCs/>
          <w:color w:val="auto"/>
          <w:sz w:val="32"/>
          <w:szCs w:val="32"/>
          <w:highlight w:val="none"/>
          <w:lang w:eastAsia="zh-CN"/>
        </w:rPr>
        <w:t>二</w:t>
      </w:r>
      <w:r>
        <w:rPr>
          <w:rFonts w:hint="eastAsia" w:ascii="仿宋" w:hAnsi="仿宋" w:eastAsia="仿宋" w:cs="仿宋"/>
          <w:b/>
          <w:bCs/>
          <w:color w:val="auto"/>
          <w:sz w:val="32"/>
          <w:szCs w:val="32"/>
          <w:highlight w:val="none"/>
        </w:rPr>
        <w:t>条</w:t>
      </w:r>
      <w:r>
        <w:rPr>
          <w:rFonts w:hint="eastAsia" w:ascii="仿宋" w:hAnsi="仿宋" w:eastAsia="仿宋" w:cs="仿宋"/>
          <w:color w:val="auto"/>
          <w:sz w:val="32"/>
          <w:szCs w:val="32"/>
          <w:highlight w:val="none"/>
        </w:rPr>
        <w:t xml:space="preserve">  停车用户有下列情形时，停车场管理单位可取消其停车月卡、内部临时车：</w:t>
      </w:r>
    </w:p>
    <w:p>
      <w:pPr>
        <w:ind w:firstLine="6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本办法第十</w:t>
      </w:r>
      <w:r>
        <w:rPr>
          <w:rFonts w:hint="eastAsia" w:ascii="仿宋" w:hAnsi="仿宋" w:eastAsia="仿宋" w:cs="仿宋"/>
          <w:color w:val="auto"/>
          <w:sz w:val="32"/>
          <w:szCs w:val="32"/>
          <w:highlight w:val="none"/>
          <w:lang w:eastAsia="zh-CN"/>
        </w:rPr>
        <w:t>八</w:t>
      </w:r>
      <w:r>
        <w:rPr>
          <w:rFonts w:hint="eastAsia" w:ascii="仿宋" w:hAnsi="仿宋" w:eastAsia="仿宋" w:cs="仿宋"/>
          <w:color w:val="auto"/>
          <w:sz w:val="32"/>
          <w:szCs w:val="32"/>
          <w:highlight w:val="none"/>
        </w:rPr>
        <w:t>条规定的严重违</w:t>
      </w:r>
      <w:r>
        <w:rPr>
          <w:rFonts w:hint="eastAsia" w:ascii="仿宋" w:hAnsi="仿宋" w:eastAsia="仿宋" w:cs="仿宋"/>
          <w:color w:val="auto"/>
          <w:sz w:val="32"/>
          <w:szCs w:val="32"/>
          <w:highlight w:val="none"/>
          <w:lang w:eastAsia="zh-CN"/>
        </w:rPr>
        <w:t>规</w:t>
      </w:r>
      <w:r>
        <w:rPr>
          <w:rFonts w:hint="eastAsia" w:ascii="仿宋" w:hAnsi="仿宋" w:eastAsia="仿宋" w:cs="仿宋"/>
          <w:color w:val="auto"/>
          <w:sz w:val="32"/>
          <w:szCs w:val="32"/>
          <w:highlight w:val="none"/>
        </w:rPr>
        <w:t>情形；</w:t>
      </w:r>
    </w:p>
    <w:p>
      <w:pPr>
        <w:ind w:firstLine="6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已转让本物业管理区域房屋；</w:t>
      </w:r>
    </w:p>
    <w:p>
      <w:pPr>
        <w:ind w:firstLine="6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非固定车位的</w:t>
      </w:r>
      <w:r>
        <w:rPr>
          <w:rFonts w:hint="eastAsia" w:ascii="仿宋" w:hAnsi="仿宋" w:eastAsia="仿宋" w:cs="仿宋"/>
          <w:color w:val="auto"/>
          <w:sz w:val="32"/>
          <w:szCs w:val="32"/>
          <w:highlight w:val="none"/>
          <w:lang w:eastAsia="zh-CN"/>
        </w:rPr>
        <w:t>用户</w:t>
      </w:r>
      <w:r>
        <w:rPr>
          <w:rFonts w:hint="eastAsia" w:ascii="仿宋" w:hAnsi="仿宋" w:eastAsia="仿宋" w:cs="仿宋"/>
          <w:color w:val="auto"/>
          <w:sz w:val="32"/>
          <w:szCs w:val="32"/>
          <w:highlight w:val="none"/>
        </w:rPr>
        <w:t>不再承租本物业管理区域房屋；</w:t>
      </w:r>
    </w:p>
    <w:p>
      <w:pPr>
        <w:ind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固定车位的</w:t>
      </w:r>
      <w:r>
        <w:rPr>
          <w:rFonts w:hint="eastAsia" w:ascii="仿宋" w:hAnsi="仿宋" w:eastAsia="仿宋" w:cs="仿宋"/>
          <w:color w:val="auto"/>
          <w:sz w:val="32"/>
          <w:szCs w:val="32"/>
          <w:highlight w:val="none"/>
          <w:lang w:eastAsia="zh-CN"/>
        </w:rPr>
        <w:t>用户</w:t>
      </w:r>
      <w:r>
        <w:rPr>
          <w:rFonts w:hint="eastAsia" w:ascii="仿宋" w:hAnsi="仿宋" w:eastAsia="仿宋" w:cs="仿宋"/>
          <w:color w:val="auto"/>
          <w:sz w:val="32"/>
          <w:szCs w:val="32"/>
          <w:highlight w:val="none"/>
        </w:rPr>
        <w:t>不再承租本物业管理区域房屋；</w:t>
      </w:r>
    </w:p>
    <w:p>
      <w:pPr>
        <w:ind w:firstLine="6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用户自愿申请取消月卡、内部临时车资格；</w:t>
      </w:r>
    </w:p>
    <w:p>
      <w:pPr>
        <w:ind w:firstLine="6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未按时支付停车费；</w:t>
      </w:r>
    </w:p>
    <w:p>
      <w:pPr>
        <w:ind w:firstLine="64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□因原未办理第一张月卡的房屋办理月卡，而导致内部临时车取消时；</w:t>
      </w:r>
    </w:p>
    <w:p>
      <w:pPr>
        <w:ind w:firstLine="6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其他</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w:t>
      </w:r>
    </w:p>
    <w:p>
      <w:pPr>
        <w:ind w:firstLine="6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因上述第</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none"/>
          <w:lang w:val="en-US" w:eastAsia="zh-CN"/>
        </w:rPr>
        <w:t>项情形</w:t>
      </w:r>
      <w:r>
        <w:rPr>
          <w:rFonts w:hint="eastAsia" w:ascii="仿宋" w:hAnsi="仿宋" w:eastAsia="仿宋" w:cs="仿宋"/>
          <w:color w:val="auto"/>
          <w:sz w:val="32"/>
          <w:szCs w:val="32"/>
          <w:highlight w:val="none"/>
        </w:rPr>
        <w:t>取消停车月卡、内部临时车</w:t>
      </w:r>
      <w:r>
        <w:rPr>
          <w:rFonts w:hint="eastAsia" w:ascii="仿宋" w:hAnsi="仿宋" w:eastAsia="仿宋" w:cs="仿宋"/>
          <w:color w:val="auto"/>
          <w:sz w:val="32"/>
          <w:szCs w:val="32"/>
          <w:highlight w:val="none"/>
          <w:lang w:eastAsia="zh-CN"/>
        </w:rPr>
        <w:t>的</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none"/>
          <w:lang w:val="en-US" w:eastAsia="zh-CN"/>
        </w:rPr>
        <w:t>个月后方</w:t>
      </w:r>
      <w:r>
        <w:rPr>
          <w:rFonts w:hint="eastAsia" w:ascii="仿宋" w:hAnsi="仿宋" w:eastAsia="仿宋" w:cs="仿宋"/>
          <w:color w:val="auto"/>
          <w:sz w:val="32"/>
          <w:szCs w:val="32"/>
          <w:highlight w:val="none"/>
          <w:lang w:eastAsia="zh-CN"/>
        </w:rPr>
        <w:t>可重新申请或轮候</w:t>
      </w:r>
      <w:r>
        <w:rPr>
          <w:rFonts w:hint="eastAsia" w:ascii="仿宋" w:hAnsi="仿宋" w:eastAsia="仿宋" w:cs="仿宋"/>
          <w:color w:val="auto"/>
          <w:sz w:val="32"/>
          <w:szCs w:val="32"/>
          <w:highlight w:val="none"/>
        </w:rPr>
        <w:t>。</w:t>
      </w:r>
    </w:p>
    <w:p>
      <w:pPr>
        <w:ind w:firstLine="640"/>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第二十</w:t>
      </w:r>
      <w:r>
        <w:rPr>
          <w:rFonts w:hint="eastAsia" w:ascii="仿宋" w:hAnsi="仿宋" w:eastAsia="仿宋" w:cs="仿宋"/>
          <w:b/>
          <w:bCs/>
          <w:color w:val="auto"/>
          <w:sz w:val="32"/>
          <w:szCs w:val="32"/>
          <w:highlight w:val="none"/>
          <w:lang w:eastAsia="zh-CN"/>
        </w:rPr>
        <w:t>三</w:t>
      </w:r>
      <w:r>
        <w:rPr>
          <w:rFonts w:hint="eastAsia" w:ascii="仿宋" w:hAnsi="仿宋" w:eastAsia="仿宋" w:cs="仿宋"/>
          <w:b/>
          <w:bCs/>
          <w:color w:val="auto"/>
          <w:sz w:val="32"/>
          <w:szCs w:val="32"/>
          <w:highlight w:val="none"/>
        </w:rPr>
        <w:t>条</w:t>
      </w:r>
      <w:r>
        <w:rPr>
          <w:rFonts w:hint="eastAsia" w:ascii="仿宋" w:hAnsi="仿宋" w:eastAsia="仿宋" w:cs="仿宋"/>
          <w:color w:val="auto"/>
          <w:sz w:val="32"/>
          <w:szCs w:val="32"/>
          <w:highlight w:val="none"/>
        </w:rPr>
        <w:t xml:space="preserve">  业主委员会应当</w:t>
      </w:r>
      <w:r>
        <w:rPr>
          <w:rFonts w:hint="eastAsia" w:ascii="仿宋" w:hAnsi="仿宋" w:eastAsia="仿宋" w:cs="仿宋"/>
          <w:color w:val="auto"/>
          <w:sz w:val="32"/>
          <w:szCs w:val="32"/>
          <w:highlight w:val="none"/>
          <w:lang w:eastAsia="zh-CN"/>
        </w:rPr>
        <w:t>按照《条例》第四十六条第二款之规定，</w:t>
      </w:r>
      <w:r>
        <w:rPr>
          <w:rFonts w:hint="eastAsia" w:ascii="仿宋" w:hAnsi="仿宋" w:eastAsia="仿宋" w:cs="仿宋"/>
          <w:color w:val="auto"/>
          <w:sz w:val="32"/>
          <w:szCs w:val="32"/>
          <w:highlight w:val="none"/>
        </w:rPr>
        <w:t>每半年公示业主委员会委员、候补委员、监事、财务人员缴纳停车费情况以及停车位使用情况。</w:t>
      </w:r>
    </w:p>
    <w:p>
      <w:pPr>
        <w:ind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停车场管理单位按月公示</w:t>
      </w:r>
      <w:r>
        <w:rPr>
          <w:rFonts w:hint="eastAsia" w:ascii="仿宋" w:hAnsi="仿宋" w:eastAsia="仿宋" w:cs="仿宋"/>
          <w:color w:val="auto"/>
          <w:sz w:val="32"/>
          <w:szCs w:val="32"/>
          <w:highlight w:val="none"/>
          <w:lang w:eastAsia="zh-CN"/>
        </w:rPr>
        <w:t>如下</w:t>
      </w:r>
      <w:r>
        <w:rPr>
          <w:rFonts w:hint="eastAsia" w:ascii="仿宋" w:hAnsi="仿宋" w:eastAsia="仿宋" w:cs="仿宋"/>
          <w:color w:val="auto"/>
          <w:sz w:val="32"/>
          <w:szCs w:val="32"/>
          <w:highlight w:val="none"/>
        </w:rPr>
        <w:t>内容：</w:t>
      </w:r>
    </w:p>
    <w:p>
      <w:pPr>
        <w:ind w:firstLine="64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可使用的车位</w:t>
      </w:r>
      <w:r>
        <w:rPr>
          <w:rFonts w:hint="eastAsia" w:ascii="仿宋" w:hAnsi="仿宋" w:eastAsia="仿宋" w:cs="仿宋"/>
          <w:color w:val="auto"/>
          <w:sz w:val="32"/>
          <w:szCs w:val="32"/>
          <w:highlight w:val="none"/>
          <w:lang w:eastAsia="zh-CN"/>
        </w:rPr>
        <w:t>、车库</w:t>
      </w:r>
      <w:r>
        <w:rPr>
          <w:rFonts w:hint="eastAsia" w:ascii="仿宋" w:hAnsi="仿宋" w:eastAsia="仿宋" w:cs="仿宋"/>
          <w:color w:val="auto"/>
          <w:sz w:val="32"/>
          <w:szCs w:val="32"/>
          <w:highlight w:val="none"/>
        </w:rPr>
        <w:t>总数</w:t>
      </w:r>
      <w:r>
        <w:rPr>
          <w:rFonts w:hint="eastAsia" w:ascii="仿宋" w:hAnsi="仿宋" w:eastAsia="仿宋" w:cs="仿宋"/>
          <w:color w:val="auto"/>
          <w:sz w:val="32"/>
          <w:szCs w:val="32"/>
          <w:highlight w:val="none"/>
          <w:lang w:eastAsia="zh-CN"/>
        </w:rPr>
        <w:t>；</w:t>
      </w:r>
    </w:p>
    <w:p>
      <w:pPr>
        <w:ind w:firstLine="64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停车月卡、经登记的内部临时车的期初、期末数量</w:t>
      </w:r>
      <w:r>
        <w:rPr>
          <w:rFonts w:hint="eastAsia" w:ascii="仿宋" w:hAnsi="仿宋" w:eastAsia="仿宋" w:cs="仿宋"/>
          <w:color w:val="auto"/>
          <w:sz w:val="32"/>
          <w:szCs w:val="32"/>
          <w:highlight w:val="none"/>
          <w:lang w:eastAsia="zh-CN"/>
        </w:rPr>
        <w:t>；</w:t>
      </w:r>
    </w:p>
    <w:p>
      <w:pPr>
        <w:ind w:firstLine="64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上一自然月的外部临时车数量</w:t>
      </w:r>
      <w:r>
        <w:rPr>
          <w:rFonts w:hint="eastAsia" w:ascii="仿宋" w:hAnsi="仿宋" w:eastAsia="仿宋" w:cs="仿宋"/>
          <w:color w:val="auto"/>
          <w:sz w:val="32"/>
          <w:szCs w:val="32"/>
          <w:highlight w:val="none"/>
          <w:lang w:eastAsia="zh-CN"/>
        </w:rPr>
        <w:t>；</w:t>
      </w:r>
    </w:p>
    <w:p>
      <w:pPr>
        <w:ind w:firstLine="640"/>
        <w:rPr>
          <w:rFonts w:ascii="楷体" w:hAnsi="楷体" w:eastAsia="楷体" w:cs="楷体"/>
          <w:color w:val="auto"/>
          <w:sz w:val="28"/>
          <w:szCs w:val="28"/>
          <w:highlight w:val="none"/>
        </w:rPr>
      </w:pPr>
      <w:r>
        <w:rPr>
          <w:rFonts w:hint="eastAsia" w:ascii="仿宋" w:hAnsi="仿宋" w:eastAsia="仿宋" w:cs="仿宋"/>
          <w:color w:val="auto"/>
          <w:sz w:val="32"/>
          <w:szCs w:val="32"/>
          <w:highlight w:val="none"/>
          <w:lang w:eastAsia="zh-CN"/>
        </w:rPr>
        <w:t>□其他：</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641"/>
        <w:jc w:val="center"/>
        <w:textAlignment w:val="auto"/>
        <w:outlineLvl w:val="9"/>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第四章  附则</w:t>
      </w:r>
    </w:p>
    <w:p>
      <w:pPr>
        <w:ind w:firstLine="640"/>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第二十</w:t>
      </w:r>
      <w:r>
        <w:rPr>
          <w:rFonts w:hint="eastAsia" w:ascii="仿宋" w:hAnsi="仿宋" w:eastAsia="仿宋" w:cs="仿宋"/>
          <w:b/>
          <w:bCs/>
          <w:color w:val="auto"/>
          <w:sz w:val="32"/>
          <w:szCs w:val="32"/>
          <w:highlight w:val="none"/>
          <w:lang w:eastAsia="zh-CN"/>
        </w:rPr>
        <w:t>四</w:t>
      </w:r>
      <w:r>
        <w:rPr>
          <w:rFonts w:hint="eastAsia" w:ascii="仿宋" w:hAnsi="仿宋" w:eastAsia="仿宋" w:cs="仿宋"/>
          <w:b/>
          <w:bCs/>
          <w:color w:val="auto"/>
          <w:sz w:val="32"/>
          <w:szCs w:val="32"/>
          <w:highlight w:val="none"/>
        </w:rPr>
        <w:t>条</w:t>
      </w:r>
      <w:r>
        <w:rPr>
          <w:rFonts w:hint="eastAsia" w:ascii="仿宋" w:hAnsi="仿宋" w:eastAsia="仿宋" w:cs="仿宋"/>
          <w:color w:val="auto"/>
          <w:sz w:val="32"/>
          <w:szCs w:val="32"/>
          <w:highlight w:val="none"/>
        </w:rPr>
        <w:t xml:space="preserve">  本办法中下列用语的含义：</w:t>
      </w:r>
    </w:p>
    <w:p>
      <w:pPr>
        <w:numPr>
          <w:ilvl w:val="0"/>
          <w:numId w:val="5"/>
        </w:numPr>
        <w:ind w:firstLine="6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固定车位，必须同时满足以下条件：本物业管理区域内的业主使用；业主与建设单位或停车场管理单位之间有书面的协议；取得方式是建设单位</w:t>
      </w:r>
      <w:r>
        <w:rPr>
          <w:rFonts w:hint="eastAsia" w:ascii="仿宋" w:hAnsi="仿宋" w:eastAsia="仿宋" w:cs="仿宋"/>
          <w:color w:val="auto"/>
          <w:sz w:val="32"/>
          <w:szCs w:val="32"/>
          <w:highlight w:val="none"/>
          <w:lang w:eastAsia="zh-CN"/>
        </w:rPr>
        <w:t>或停车场管理单位</w:t>
      </w:r>
      <w:r>
        <w:rPr>
          <w:rFonts w:hint="eastAsia" w:ascii="仿宋" w:hAnsi="仿宋" w:eastAsia="仿宋" w:cs="仿宋"/>
          <w:color w:val="auto"/>
          <w:sz w:val="32"/>
          <w:szCs w:val="32"/>
          <w:highlight w:val="none"/>
        </w:rPr>
        <w:t>以公开、公平、公正的方式</w:t>
      </w:r>
      <w:r>
        <w:rPr>
          <w:rFonts w:hint="eastAsia" w:ascii="仿宋" w:hAnsi="仿宋" w:eastAsia="仿宋" w:cs="仿宋"/>
          <w:color w:val="auto"/>
          <w:sz w:val="32"/>
          <w:szCs w:val="32"/>
          <w:highlight w:val="none"/>
          <w:lang w:eastAsia="zh-CN"/>
        </w:rPr>
        <w:t>，告知全体业主自主选择</w:t>
      </w:r>
      <w:r>
        <w:rPr>
          <w:rFonts w:hint="eastAsia" w:ascii="仿宋" w:hAnsi="仿宋" w:eastAsia="仿宋" w:cs="仿宋"/>
          <w:color w:val="auto"/>
          <w:sz w:val="32"/>
          <w:szCs w:val="32"/>
          <w:highlight w:val="none"/>
        </w:rPr>
        <w:t>，在本办法制定前提供给单一业主使用；能够确定具体位置。</w:t>
      </w:r>
    </w:p>
    <w:p>
      <w:pPr>
        <w:numPr>
          <w:ilvl w:val="0"/>
          <w:numId w:val="5"/>
        </w:numPr>
        <w:ind w:firstLine="6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车位、车库</w:t>
      </w:r>
      <w:r>
        <w:rPr>
          <w:rFonts w:hint="eastAsia" w:ascii="仿宋" w:hAnsi="仿宋" w:eastAsia="仿宋" w:cs="仿宋"/>
          <w:color w:val="auto"/>
          <w:sz w:val="32"/>
          <w:szCs w:val="32"/>
          <w:highlight w:val="none"/>
        </w:rPr>
        <w:t>配置比例，是指规划确定的建筑区划内规划用于停放汽车的车位</w:t>
      </w:r>
      <w:r>
        <w:rPr>
          <w:rFonts w:hint="eastAsia" w:ascii="仿宋" w:hAnsi="仿宋" w:eastAsia="仿宋" w:cs="仿宋"/>
          <w:color w:val="auto"/>
          <w:sz w:val="32"/>
          <w:szCs w:val="32"/>
          <w:highlight w:val="none"/>
          <w:lang w:eastAsia="zh-CN"/>
        </w:rPr>
        <w:t>、车</w:t>
      </w:r>
      <w:r>
        <w:rPr>
          <w:rFonts w:hint="eastAsia" w:ascii="仿宋" w:hAnsi="仿宋" w:eastAsia="仿宋" w:cs="仿宋"/>
          <w:color w:val="auto"/>
          <w:sz w:val="32"/>
          <w:szCs w:val="32"/>
          <w:highlight w:val="none"/>
        </w:rPr>
        <w:t>库数量与经合法程序增设的</w:t>
      </w:r>
      <w:r>
        <w:rPr>
          <w:rFonts w:hint="eastAsia" w:ascii="仿宋" w:hAnsi="仿宋" w:eastAsia="仿宋" w:cs="仿宋"/>
          <w:color w:val="auto"/>
          <w:sz w:val="32"/>
          <w:szCs w:val="32"/>
          <w:highlight w:val="none"/>
          <w:lang w:eastAsia="zh-CN"/>
        </w:rPr>
        <w:t>车位、车库</w:t>
      </w:r>
      <w:r>
        <w:rPr>
          <w:rFonts w:hint="eastAsia" w:ascii="仿宋" w:hAnsi="仿宋" w:eastAsia="仿宋" w:cs="仿宋"/>
          <w:color w:val="auto"/>
          <w:sz w:val="32"/>
          <w:szCs w:val="32"/>
          <w:highlight w:val="none"/>
        </w:rPr>
        <w:t>数量之和，与房屋套数的比例。</w:t>
      </w:r>
    </w:p>
    <w:p>
      <w:pPr>
        <w:numPr>
          <w:ilvl w:val="0"/>
          <w:numId w:val="5"/>
        </w:numPr>
        <w:ind w:firstLine="6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停车场管理单位，是指负责提供机动车停放服务的专业停车场管理企业或者其他单位。</w:t>
      </w:r>
    </w:p>
    <w:p>
      <w:pPr>
        <w:ind w:firstLine="640"/>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第二十</w:t>
      </w:r>
      <w:r>
        <w:rPr>
          <w:rFonts w:hint="eastAsia" w:ascii="仿宋" w:hAnsi="仿宋" w:eastAsia="仿宋" w:cs="仿宋"/>
          <w:b/>
          <w:bCs/>
          <w:color w:val="auto"/>
          <w:sz w:val="32"/>
          <w:szCs w:val="32"/>
          <w:highlight w:val="none"/>
          <w:lang w:eastAsia="zh-CN"/>
        </w:rPr>
        <w:t>五</w:t>
      </w:r>
      <w:r>
        <w:rPr>
          <w:rFonts w:hint="eastAsia" w:ascii="仿宋" w:hAnsi="仿宋" w:eastAsia="仿宋" w:cs="仿宋"/>
          <w:b/>
          <w:bCs/>
          <w:color w:val="auto"/>
          <w:sz w:val="32"/>
          <w:szCs w:val="32"/>
          <w:highlight w:val="none"/>
        </w:rPr>
        <w:t>条</w:t>
      </w:r>
      <w:r>
        <w:rPr>
          <w:rFonts w:hint="eastAsia" w:ascii="仿宋" w:hAnsi="仿宋" w:eastAsia="仿宋" w:cs="仿宋"/>
          <w:color w:val="auto"/>
          <w:sz w:val="32"/>
          <w:szCs w:val="32"/>
          <w:highlight w:val="none"/>
        </w:rPr>
        <w:t xml:space="preserve">  本办法表决前应当按规定告知社区党委、社区居民委员会，听取社区党委、社区居民委员会意见。</w:t>
      </w:r>
    </w:p>
    <w:p>
      <w:pPr>
        <w:ind w:firstLine="6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本办法于</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日经业主大会会议表决通过，自公布之日起实施，对全体业主、物业使用人具有约束力。</w:t>
      </w:r>
    </w:p>
    <w:p>
      <w:pPr>
        <w:ind w:firstLine="6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业主委员会负责协调、督促停车场管理单位配合执行本办法，可将本办法中涉及停车场管理单位的相关条款写入物业服务合同。</w:t>
      </w:r>
    </w:p>
    <w:p>
      <w:pPr>
        <w:ind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业主委员会可以提请业主大会对本办法进行修改。</w:t>
      </w:r>
    </w:p>
    <w:p>
      <w:pP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附件5：</w:t>
      </w:r>
    </w:p>
    <w:p>
      <w:pPr>
        <w:rPr>
          <w:rFonts w:hint="eastAsia" w:asciiTheme="majorEastAsia" w:hAnsiTheme="majorEastAsia" w:eastAsiaTheme="majorEastAsia" w:cstheme="majorEastAsia"/>
          <w:b/>
          <w:color w:val="auto"/>
          <w:kern w:val="1"/>
          <w:sz w:val="44"/>
          <w:szCs w:val="44"/>
          <w:highlight w:val="none"/>
        </w:rPr>
      </w:pPr>
      <w:r>
        <w:rPr>
          <w:rFonts w:hint="eastAsia" w:asciiTheme="majorEastAsia" w:hAnsiTheme="majorEastAsia" w:eastAsiaTheme="majorEastAsia" w:cstheme="majorEastAsia"/>
          <w:b/>
          <w:color w:val="auto"/>
          <w:kern w:val="1"/>
          <w:sz w:val="44"/>
          <w:szCs w:val="44"/>
          <w:highlight w:val="none"/>
        </w:rPr>
        <w:br w:type="page"/>
      </w:r>
    </w:p>
    <w:p>
      <w:pPr>
        <w:pStyle w:val="2"/>
        <w:rPr>
          <w:rFonts w:hint="eastAsia"/>
          <w:highlight w:val="none"/>
        </w:rPr>
      </w:pPr>
    </w:p>
    <w:p>
      <w:pPr>
        <w:widowControl/>
        <w:spacing w:line="360" w:lineRule="auto"/>
        <w:ind w:right="210" w:rightChars="100"/>
        <w:jc w:val="center"/>
        <w:rPr>
          <w:rFonts w:hint="eastAsia" w:asciiTheme="majorEastAsia" w:hAnsiTheme="majorEastAsia" w:eastAsiaTheme="majorEastAsia" w:cstheme="majorEastAsia"/>
          <w:b/>
          <w:color w:val="auto"/>
          <w:kern w:val="1"/>
          <w:sz w:val="44"/>
          <w:szCs w:val="44"/>
          <w:highlight w:val="none"/>
        </w:rPr>
      </w:pPr>
      <w:r>
        <w:rPr>
          <w:rFonts w:hint="eastAsia" w:asciiTheme="majorEastAsia" w:hAnsiTheme="majorEastAsia" w:eastAsiaTheme="majorEastAsia" w:cstheme="majorEastAsia"/>
          <w:b/>
          <w:color w:val="auto"/>
          <w:kern w:val="1"/>
          <w:sz w:val="44"/>
          <w:szCs w:val="44"/>
          <w:highlight w:val="none"/>
        </w:rPr>
        <w:t>深圳市</w:t>
      </w:r>
      <w:r>
        <w:rPr>
          <w:rFonts w:hint="eastAsia" w:asciiTheme="majorEastAsia" w:hAnsiTheme="majorEastAsia" w:eastAsiaTheme="majorEastAsia" w:cstheme="majorEastAsia"/>
          <w:b/>
          <w:color w:val="auto"/>
          <w:kern w:val="1"/>
          <w:sz w:val="44"/>
          <w:szCs w:val="44"/>
          <w:highlight w:val="none"/>
          <w:lang w:eastAsia="zh-CN"/>
        </w:rPr>
        <w:t>福田区香蜜湖街道</w:t>
      </w:r>
      <w:r>
        <w:rPr>
          <w:rFonts w:hint="eastAsia" w:asciiTheme="majorEastAsia" w:hAnsiTheme="majorEastAsia" w:eastAsiaTheme="majorEastAsia" w:cstheme="majorEastAsia"/>
          <w:b/>
          <w:color w:val="auto"/>
          <w:kern w:val="1"/>
          <w:sz w:val="44"/>
          <w:szCs w:val="44"/>
          <w:highlight w:val="none"/>
          <w:u w:val="single"/>
          <w:lang w:val="en-US" w:eastAsia="zh-CN"/>
        </w:rPr>
        <w:t xml:space="preserve">        </w:t>
      </w:r>
      <w:r>
        <w:rPr>
          <w:rFonts w:hint="eastAsia" w:asciiTheme="majorEastAsia" w:hAnsiTheme="majorEastAsia" w:eastAsiaTheme="majorEastAsia" w:cstheme="majorEastAsia"/>
          <w:b/>
          <w:color w:val="auto"/>
          <w:kern w:val="1"/>
          <w:sz w:val="44"/>
          <w:szCs w:val="44"/>
          <w:highlight w:val="none"/>
        </w:rPr>
        <w:t>（</w:t>
      </w:r>
      <w:r>
        <w:rPr>
          <w:rFonts w:hint="eastAsia" w:asciiTheme="majorEastAsia" w:hAnsiTheme="majorEastAsia" w:eastAsiaTheme="majorEastAsia" w:cstheme="majorEastAsia"/>
          <w:b/>
          <w:color w:val="auto"/>
          <w:kern w:val="1"/>
          <w:sz w:val="44"/>
          <w:szCs w:val="44"/>
          <w:highlight w:val="none"/>
          <w:lang w:eastAsia="zh-CN"/>
        </w:rPr>
        <w:t>小区</w:t>
      </w:r>
      <w:r>
        <w:rPr>
          <w:rFonts w:hint="eastAsia" w:asciiTheme="majorEastAsia" w:hAnsiTheme="majorEastAsia" w:eastAsiaTheme="majorEastAsia" w:cstheme="majorEastAsia"/>
          <w:b/>
          <w:color w:val="auto"/>
          <w:kern w:val="1"/>
          <w:sz w:val="44"/>
          <w:szCs w:val="44"/>
          <w:highlight w:val="none"/>
        </w:rPr>
        <w:t>）共有物业和业主共有资金使用与管理办法</w:t>
      </w:r>
    </w:p>
    <w:p>
      <w:pPr>
        <w:widowControl/>
        <w:spacing w:line="360" w:lineRule="auto"/>
        <w:ind w:right="210" w:rightChars="100"/>
        <w:jc w:val="center"/>
        <w:rPr>
          <w:rFonts w:hint="eastAsia" w:asciiTheme="majorEastAsia" w:hAnsiTheme="majorEastAsia" w:eastAsiaTheme="majorEastAsia" w:cstheme="majorEastAsia"/>
          <w:b w:val="0"/>
          <w:bCs/>
          <w:color w:val="auto"/>
          <w:kern w:val="1"/>
          <w:sz w:val="44"/>
          <w:szCs w:val="44"/>
          <w:highlight w:val="none"/>
          <w:lang w:eastAsia="zh-CN"/>
        </w:rPr>
      </w:pPr>
      <w:r>
        <w:rPr>
          <w:rFonts w:hint="eastAsia" w:asciiTheme="majorEastAsia" w:hAnsiTheme="majorEastAsia" w:eastAsiaTheme="majorEastAsia" w:cstheme="majorEastAsia"/>
          <w:b w:val="0"/>
          <w:bCs/>
          <w:color w:val="auto"/>
          <w:kern w:val="1"/>
          <w:sz w:val="44"/>
          <w:szCs w:val="44"/>
          <w:highlight w:val="none"/>
          <w:lang w:eastAsia="zh-CN"/>
        </w:rPr>
        <w:t>（示范文本）</w:t>
      </w:r>
    </w:p>
    <w:p>
      <w:pPr>
        <w:widowControl w:val="0"/>
        <w:spacing w:line="360" w:lineRule="auto"/>
        <w:jc w:val="center"/>
        <w:rPr>
          <w:rFonts w:hint="eastAsia" w:ascii="宋体" w:hAnsi="宋体" w:eastAsia="宋体" w:cs="宋体"/>
          <w:color w:val="auto"/>
          <w:kern w:val="2"/>
          <w:sz w:val="21"/>
          <w:szCs w:val="21"/>
          <w:highlight w:val="none"/>
          <w:lang w:val="zh-CN" w:eastAsia="zh-CN" w:bidi="zh-CN"/>
        </w:rPr>
      </w:pPr>
      <w:r>
        <w:rPr>
          <w:rFonts w:hint="eastAsia" w:asciiTheme="majorEastAsia" w:hAnsiTheme="majorEastAsia" w:eastAsiaTheme="majorEastAsia" w:cstheme="majorEastAsia"/>
          <w:b w:val="0"/>
          <w:bCs/>
          <w:color w:val="auto"/>
          <w:kern w:val="1"/>
          <w:sz w:val="44"/>
          <w:szCs w:val="44"/>
          <w:highlight w:val="none"/>
          <w:lang w:val="zh-CN" w:eastAsia="zh-CN" w:bidi="zh-CN"/>
        </w:rPr>
        <w:t>（用作管理规约附件）</w:t>
      </w:r>
    </w:p>
    <w:p>
      <w:pPr>
        <w:keepNext w:val="0"/>
        <w:keepLines w:val="0"/>
        <w:pageBreakBefore w:val="0"/>
        <w:widowControl/>
        <w:kinsoku/>
        <w:wordWrap/>
        <w:overflowPunct/>
        <w:topLinePunct w:val="0"/>
        <w:autoSpaceDE/>
        <w:autoSpaceDN/>
        <w:bidi w:val="0"/>
        <w:adjustRightInd/>
        <w:snapToGrid/>
        <w:spacing w:line="240" w:lineRule="auto"/>
        <w:ind w:right="210" w:rightChars="100"/>
        <w:jc w:val="center"/>
        <w:textAlignment w:val="auto"/>
        <w:outlineLvl w:val="9"/>
        <w:rPr>
          <w:rFonts w:hint="eastAsia" w:asciiTheme="majorEastAsia" w:hAnsiTheme="majorEastAsia" w:eastAsiaTheme="majorEastAsia" w:cstheme="majorEastAsia"/>
          <w:b w:val="0"/>
          <w:bCs/>
          <w:color w:val="auto"/>
          <w:kern w:val="1"/>
          <w:sz w:val="10"/>
          <w:szCs w:val="10"/>
          <w:highlight w:val="none"/>
          <w:lang w:eastAsia="zh-CN"/>
        </w:rPr>
      </w:pP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outlineLvl w:val="9"/>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第一章  总则</w:t>
      </w:r>
    </w:p>
    <w:p>
      <w:pPr>
        <w:widowControl/>
        <w:spacing w:line="360" w:lineRule="auto"/>
        <w:ind w:left="0" w:leftChars="0" w:firstLine="642" w:firstLineChars="200"/>
        <w:rPr>
          <w:rFonts w:ascii="仿宋_GB2312" w:eastAsia="仿宋_GB2312" w:hAnsiTheme="minorEastAsia"/>
          <w:color w:val="auto"/>
          <w:sz w:val="32"/>
          <w:szCs w:val="32"/>
          <w:highlight w:val="none"/>
        </w:rPr>
      </w:pPr>
      <w:r>
        <w:rPr>
          <w:rFonts w:hint="eastAsia" w:ascii="仿宋_GB2312" w:eastAsia="仿宋_GB2312" w:hAnsiTheme="minorEastAsia"/>
          <w:b/>
          <w:bCs w:val="0"/>
          <w:color w:val="auto"/>
          <w:sz w:val="32"/>
          <w:szCs w:val="32"/>
          <w:highlight w:val="none"/>
        </w:rPr>
        <w:t>第一条</w:t>
      </w:r>
      <w:r>
        <w:rPr>
          <w:rFonts w:ascii="仿宋_GB2312" w:eastAsia="仿宋_GB2312" w:hAnsiTheme="minorEastAsia"/>
          <w:b/>
          <w:color w:val="auto"/>
          <w:sz w:val="32"/>
          <w:szCs w:val="32"/>
          <w:highlight w:val="none"/>
        </w:rPr>
        <w:t xml:space="preserve"> </w:t>
      </w:r>
      <w:r>
        <w:rPr>
          <w:rFonts w:ascii="仿宋_GB2312" w:eastAsia="仿宋_GB2312" w:hAnsiTheme="minorEastAsia"/>
          <w:color w:val="auto"/>
          <w:sz w:val="32"/>
          <w:szCs w:val="32"/>
          <w:highlight w:val="none"/>
        </w:rPr>
        <w:t>为加强本物业管理区域共有物业和业主共有资金的管理，规范使用共有物业和业主共有资金，维护业主的合法权益，根据《中华人民共和国</w:t>
      </w:r>
      <w:r>
        <w:rPr>
          <w:rFonts w:hint="eastAsia" w:ascii="仿宋_GB2312" w:eastAsia="仿宋_GB2312" w:hAnsiTheme="minorEastAsia"/>
          <w:color w:val="auto"/>
          <w:sz w:val="32"/>
          <w:szCs w:val="32"/>
          <w:highlight w:val="none"/>
          <w:lang w:eastAsia="zh-CN"/>
        </w:rPr>
        <w:t>民法典</w:t>
      </w:r>
      <w:r>
        <w:rPr>
          <w:rFonts w:ascii="仿宋_GB2312" w:eastAsia="仿宋_GB2312" w:hAnsiTheme="minorEastAsia"/>
          <w:color w:val="auto"/>
          <w:sz w:val="32"/>
          <w:szCs w:val="32"/>
          <w:highlight w:val="none"/>
        </w:rPr>
        <w:t>》《深圳经济特区物业管理条例》（以下简称《条例》）《深圳市物业专项维修资金管理规定》</w:t>
      </w:r>
      <w:r>
        <w:rPr>
          <w:rFonts w:hint="eastAsia" w:ascii="仿宋_GB2312" w:eastAsia="仿宋_GB2312" w:hAnsiTheme="minorEastAsia"/>
          <w:color w:val="auto"/>
          <w:sz w:val="32"/>
          <w:szCs w:val="32"/>
          <w:highlight w:val="none"/>
        </w:rPr>
        <w:t>《深圳市业主共有资金监督管理办法》</w:t>
      </w:r>
      <w:r>
        <w:rPr>
          <w:rFonts w:hint="eastAsia" w:ascii="仿宋_GB2312" w:eastAsia="仿宋_GB2312" w:hAnsiTheme="minorEastAsia"/>
          <w:color w:val="auto"/>
          <w:sz w:val="32"/>
          <w:szCs w:val="32"/>
          <w:highlight w:val="none"/>
          <w:lang w:eastAsia="zh-CN"/>
        </w:rPr>
        <w:t>（以下简称《办法》）</w:t>
      </w:r>
      <w:r>
        <w:rPr>
          <w:rFonts w:hint="eastAsia" w:ascii="仿宋_GB2312" w:eastAsia="仿宋_GB2312" w:hAnsiTheme="minorEastAsia"/>
          <w:color w:val="auto"/>
          <w:sz w:val="32"/>
          <w:szCs w:val="32"/>
          <w:highlight w:val="none"/>
        </w:rPr>
        <w:t>等法律、法规、规章和规范性文件，结合实际，制定本办法。</w:t>
      </w:r>
    </w:p>
    <w:p>
      <w:pPr>
        <w:spacing w:line="360" w:lineRule="auto"/>
        <w:ind w:left="0" w:leftChars="0" w:right="210" w:rightChars="100" w:firstLine="642" w:firstLineChars="200"/>
        <w:rPr>
          <w:rFonts w:ascii="仿宋_GB2312" w:eastAsia="仿宋_GB2312" w:cs="Gungsuh" w:hAnsiTheme="minorEastAsia"/>
          <w:color w:val="auto"/>
          <w:sz w:val="32"/>
          <w:szCs w:val="32"/>
          <w:highlight w:val="none"/>
        </w:rPr>
      </w:pPr>
      <w:r>
        <w:rPr>
          <w:rFonts w:hint="eastAsia" w:ascii="仿宋_GB2312" w:eastAsia="仿宋_GB2312" w:cs="宋体" w:hAnsiTheme="minorEastAsia"/>
          <w:b/>
          <w:bCs w:val="0"/>
          <w:color w:val="auto"/>
          <w:sz w:val="32"/>
          <w:szCs w:val="32"/>
          <w:highlight w:val="none"/>
        </w:rPr>
        <w:t>第二条</w:t>
      </w:r>
      <w:r>
        <w:rPr>
          <w:rFonts w:hint="eastAsia" w:ascii="仿宋_GB2312" w:eastAsia="仿宋_GB2312" w:cs="宋体" w:hAnsiTheme="minorEastAsia"/>
          <w:b/>
          <w:color w:val="auto"/>
          <w:sz w:val="32"/>
          <w:szCs w:val="32"/>
          <w:highlight w:val="none"/>
        </w:rPr>
        <w:t xml:space="preserve"> </w:t>
      </w:r>
      <w:r>
        <w:rPr>
          <w:rFonts w:hint="eastAsia" w:ascii="仿宋_GB2312" w:eastAsia="仿宋_GB2312" w:cs="Gungsuh" w:hAnsiTheme="minorEastAsia"/>
          <w:color w:val="auto"/>
          <w:sz w:val="32"/>
          <w:szCs w:val="32"/>
          <w:highlight w:val="none"/>
        </w:rPr>
        <w:t>中国共产党社区党委会领导业主大会、业主委员会、物业服务企业依法依规履行本办法的规定。</w:t>
      </w:r>
    </w:p>
    <w:p>
      <w:pPr>
        <w:spacing w:line="360" w:lineRule="auto"/>
        <w:ind w:left="0" w:leftChars="0" w:right="210" w:rightChars="100" w:firstLine="642" w:firstLineChars="200"/>
        <w:rPr>
          <w:rFonts w:ascii="仿宋_GB2312" w:eastAsia="仿宋_GB2312" w:cs="Gungsuh" w:hAnsiTheme="minorEastAsia"/>
          <w:color w:val="auto"/>
          <w:sz w:val="32"/>
          <w:szCs w:val="32"/>
          <w:highlight w:val="none"/>
        </w:rPr>
      </w:pPr>
      <w:r>
        <w:rPr>
          <w:rFonts w:hint="eastAsia" w:ascii="仿宋_GB2312" w:eastAsia="仿宋_GB2312" w:cs="宋体" w:hAnsiTheme="minorEastAsia"/>
          <w:b/>
          <w:color w:val="auto"/>
          <w:sz w:val="32"/>
          <w:szCs w:val="32"/>
          <w:highlight w:val="none"/>
        </w:rPr>
        <w:t>第三条</w:t>
      </w:r>
      <w:r>
        <w:rPr>
          <w:rFonts w:hint="eastAsia" w:ascii="仿宋_GB2312" w:eastAsia="仿宋_GB2312" w:cs="宋体" w:hAnsiTheme="minorEastAsia"/>
          <w:b/>
          <w:color w:val="auto"/>
          <w:sz w:val="32"/>
          <w:szCs w:val="32"/>
          <w:highlight w:val="none"/>
          <w:lang w:val="en-US" w:eastAsia="zh-CN"/>
        </w:rPr>
        <w:t xml:space="preserve"> </w:t>
      </w:r>
      <w:r>
        <w:rPr>
          <w:rFonts w:hint="eastAsia" w:ascii="仿宋_GB2312" w:eastAsia="仿宋_GB2312" w:cs="Gungsuh" w:hAnsiTheme="minorEastAsia"/>
          <w:color w:val="auto"/>
          <w:sz w:val="32"/>
          <w:szCs w:val="32"/>
          <w:highlight w:val="none"/>
        </w:rPr>
        <w:t>本物业管理区域内的共有物业，是指在本物业管理区域内，除专有部分物业、市政公用设施设备以外的属于业主共有的物业共用部位和共用设施设备。包括：</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（一） 建筑区划内的道路（属于</w:t>
      </w:r>
      <w:r>
        <w:rPr>
          <w:rFonts w:hint="eastAsia" w:ascii="仿宋_GB2312" w:eastAsia="仿宋_GB2312" w:hAnsiTheme="minorEastAsia"/>
          <w:color w:val="auto"/>
          <w:sz w:val="32"/>
          <w:szCs w:val="32"/>
          <w:highlight w:val="none"/>
        </w:rPr>
        <w:t>城市公共道路的除外</w:t>
      </w:r>
      <w:r>
        <w:rPr>
          <w:rFonts w:hint="eastAsia" w:ascii="仿宋_GB2312" w:eastAsia="仿宋_GB2312" w:cs="Gungsuh" w:hAnsiTheme="minorEastAsia"/>
          <w:color w:val="auto"/>
          <w:sz w:val="32"/>
          <w:szCs w:val="32"/>
          <w:highlight w:val="none"/>
        </w:rPr>
        <w:t>）；</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（二） 建筑区划内的绿地（属于城市公共绿地或者明示属于私人所有的除外）；</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三）业主委员会办公用房、物业服务办公用房、物业管理设施设备用房，建筑物的基础、承重结构、外墙、屋顶等基本结构部分，通道、楼梯、门厅、大堂等公共通行部分，消防、公共照明等附属设施设备，避难层、架空层、设备层或者设备间等结构部分；</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（四）附属设施设备，包括电梯、天线、照明，消防设施、路灯、沟渠、池、井；</w:t>
      </w:r>
    </w:p>
    <w:p>
      <w:pPr>
        <w:spacing w:line="360" w:lineRule="auto"/>
        <w:ind w:right="210" w:rightChars="100" w:firstLine="640" w:firstLineChars="200"/>
        <w:rPr>
          <w:rFonts w:ascii="仿宋_GB2312" w:eastAsia="仿宋_GB2312" w:cs="Gungsuh" w:hAnsiTheme="minorEastAsia"/>
          <w:color w:val="auto"/>
          <w:sz w:val="32"/>
          <w:szCs w:val="32"/>
          <w:highlight w:val="none"/>
          <w:u w:val="single"/>
        </w:rPr>
      </w:pPr>
      <w:r>
        <w:rPr>
          <w:rFonts w:hint="eastAsia" w:ascii="仿宋_GB2312" w:eastAsia="仿宋_GB2312" w:cs="Gungsuh" w:hAnsiTheme="minorEastAsia"/>
          <w:color w:val="auto"/>
          <w:sz w:val="32"/>
          <w:szCs w:val="32"/>
          <w:highlight w:val="none"/>
        </w:rPr>
        <w:t>（五） 建筑区划内的其他公共场所，具体为</w:t>
      </w:r>
      <w:r>
        <w:rPr>
          <w:rFonts w:hint="eastAsia" w:ascii="仿宋_GB2312" w:eastAsia="仿宋_GB2312" w:cs="Gungsuh" w:hAnsiTheme="minorEastAsia"/>
          <w:color w:val="auto"/>
          <w:sz w:val="32"/>
          <w:szCs w:val="32"/>
          <w:highlight w:val="none"/>
          <w:u w:val="single"/>
        </w:rPr>
        <w:t xml:space="preserve">                  </w:t>
      </w:r>
    </w:p>
    <w:p>
      <w:pPr>
        <w:spacing w:line="360" w:lineRule="auto"/>
        <w:ind w:left="0" w:leftChars="0" w:right="210" w:rightChars="100" w:firstLine="0" w:firstLineChars="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u w:val="single"/>
        </w:rPr>
        <w:t xml:space="preserve">                                    </w:t>
      </w:r>
      <w:r>
        <w:rPr>
          <w:rFonts w:hint="eastAsia" w:ascii="仿宋_GB2312" w:eastAsia="仿宋_GB2312" w:cs="Gungsuh" w:hAnsiTheme="minorEastAsia"/>
          <w:color w:val="auto"/>
          <w:sz w:val="32"/>
          <w:szCs w:val="32"/>
          <w:highlight w:val="none"/>
          <w:u w:val="single"/>
          <w:lang w:val="en-US" w:eastAsia="zh-CN"/>
        </w:rPr>
        <w:t xml:space="preserve">   </w:t>
      </w:r>
      <w:r>
        <w:rPr>
          <w:rFonts w:hint="eastAsia" w:ascii="仿宋_GB2312" w:eastAsia="仿宋_GB2312" w:cs="Gungsuh" w:hAnsiTheme="minorEastAsia"/>
          <w:color w:val="auto"/>
          <w:sz w:val="32"/>
          <w:szCs w:val="32"/>
          <w:highlight w:val="none"/>
          <w:u w:val="single"/>
        </w:rPr>
        <w:t xml:space="preserve">       </w:t>
      </w:r>
      <w:r>
        <w:rPr>
          <w:rFonts w:hint="eastAsia" w:ascii="仿宋_GB2312" w:eastAsia="仿宋_GB2312" w:cs="Gungsuh" w:hAnsiTheme="minorEastAsia"/>
          <w:color w:val="auto"/>
          <w:sz w:val="32"/>
          <w:szCs w:val="32"/>
          <w:highlight w:val="none"/>
          <w:u w:val="single"/>
          <w:lang w:val="en-US" w:eastAsia="zh-CN"/>
        </w:rPr>
        <w:t xml:space="preserve">     </w:t>
      </w:r>
      <w:r>
        <w:rPr>
          <w:rFonts w:hint="eastAsia" w:ascii="仿宋_GB2312" w:eastAsia="仿宋_GB2312" w:cs="Gungsuh" w:hAnsiTheme="minorEastAsia"/>
          <w:color w:val="auto"/>
          <w:sz w:val="32"/>
          <w:szCs w:val="32"/>
          <w:highlight w:val="none"/>
          <w:u w:val="single"/>
        </w:rPr>
        <w:t xml:space="preserve">  </w:t>
      </w:r>
      <w:r>
        <w:rPr>
          <w:rFonts w:hint="eastAsia" w:ascii="仿宋_GB2312" w:eastAsia="仿宋_GB2312" w:cs="Gungsuh" w:hAnsiTheme="minorEastAsia"/>
          <w:color w:val="auto"/>
          <w:sz w:val="32"/>
          <w:szCs w:val="32"/>
          <w:highlight w:val="none"/>
        </w:rPr>
        <w:t>；</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Times New Roman" w:hAnsiTheme="minorEastAsia"/>
          <w:color w:val="auto"/>
          <w:sz w:val="32"/>
          <w:szCs w:val="32"/>
          <w:highlight w:val="none"/>
        </w:rPr>
        <w:t>□ 本物业管理区域的土地出让合同和建设规划中明确为业主共有的地下车库，或本物业管理区域的土地出让合同和建设规划中虽未明确，但依法可以确定为业主共有的地下车库。</w:t>
      </w:r>
    </w:p>
    <w:p>
      <w:pPr>
        <w:spacing w:line="360" w:lineRule="auto"/>
        <w:ind w:left="0" w:leftChars="0" w:right="210" w:rightChars="100" w:firstLine="642" w:firstLineChars="200"/>
        <w:rPr>
          <w:rFonts w:ascii="仿宋_GB2312" w:eastAsia="仿宋_GB2312" w:cs="Gungsuh" w:hAnsiTheme="minorEastAsia"/>
          <w:color w:val="auto"/>
          <w:sz w:val="32"/>
          <w:szCs w:val="32"/>
          <w:highlight w:val="none"/>
        </w:rPr>
      </w:pPr>
      <w:r>
        <w:rPr>
          <w:rFonts w:hint="eastAsia" w:ascii="仿宋_GB2312" w:eastAsia="仿宋_GB2312" w:cs="宋体" w:hAnsiTheme="minorEastAsia"/>
          <w:b/>
          <w:color w:val="auto"/>
          <w:sz w:val="32"/>
          <w:szCs w:val="32"/>
          <w:highlight w:val="none"/>
        </w:rPr>
        <w:t xml:space="preserve">第四条 </w:t>
      </w:r>
      <w:r>
        <w:rPr>
          <w:rFonts w:hint="eastAsia" w:ascii="仿宋_GB2312" w:eastAsia="仿宋_GB2312" w:cs="Gungsuh" w:hAnsiTheme="minorEastAsia"/>
          <w:color w:val="auto"/>
          <w:sz w:val="32"/>
          <w:szCs w:val="32"/>
          <w:highlight w:val="none"/>
        </w:rPr>
        <w:t>本办法所称业主共有资金，包括：</w:t>
      </w:r>
    </w:p>
    <w:p>
      <w:pPr>
        <w:spacing w:line="360" w:lineRule="auto"/>
        <w:ind w:right="210" w:rightChars="100" w:firstLine="640" w:firstLineChars="200"/>
        <w:rPr>
          <w:rFonts w:ascii="仿宋_GB2312" w:eastAsia="仿宋_GB2312" w:cs="Gungsuh" w:hAnsiTheme="minorEastAsia"/>
          <w:color w:val="auto"/>
          <w:sz w:val="32"/>
          <w:szCs w:val="32"/>
          <w:highlight w:val="none"/>
          <w:u w:val="single"/>
        </w:rPr>
      </w:pPr>
      <w:r>
        <w:rPr>
          <w:rFonts w:hint="eastAsia" w:ascii="仿宋_GB2312" w:eastAsia="仿宋_GB2312" w:cs="Gungsuh" w:hAnsiTheme="minorEastAsia"/>
          <w:color w:val="auto"/>
          <w:sz w:val="32"/>
          <w:szCs w:val="32"/>
          <w:highlight w:val="none"/>
        </w:rPr>
        <w:t>（一） 共有物业收益，具体包括：</w:t>
      </w:r>
      <w:r>
        <w:rPr>
          <w:rStyle w:val="23"/>
          <w:rFonts w:hint="eastAsia" w:ascii="仿宋_GB2312" w:eastAsia="仿宋_GB2312" w:cs="Gungsuh" w:hAnsiTheme="minorEastAsia"/>
          <w:color w:val="auto"/>
          <w:sz w:val="32"/>
          <w:szCs w:val="32"/>
          <w:highlight w:val="none"/>
        </w:rPr>
        <w:footnoteReference w:id="0"/>
      </w:r>
    </w:p>
    <w:p>
      <w:pPr>
        <w:spacing w:line="360" w:lineRule="auto"/>
        <w:ind w:right="210" w:rightChars="100" w:firstLine="640" w:firstLineChars="200"/>
        <w:rPr>
          <w:rFonts w:ascii="仿宋_GB2312" w:eastAsia="仿宋_GB2312" w:cs="Times New Roman" w:hAnsiTheme="minorEastAsia"/>
          <w:color w:val="auto"/>
          <w:sz w:val="32"/>
          <w:szCs w:val="32"/>
          <w:highlight w:val="none"/>
        </w:rPr>
      </w:pPr>
      <w:r>
        <w:rPr>
          <w:rFonts w:hint="eastAsia" w:ascii="仿宋_GB2312" w:eastAsia="仿宋_GB2312" w:cs="Times New Roman" w:hAnsiTheme="minorEastAsia"/>
          <w:color w:val="auto"/>
          <w:sz w:val="32"/>
          <w:szCs w:val="32"/>
          <w:highlight w:val="none"/>
        </w:rPr>
        <w:t>□ 利用电梯、外墙、楼顶等物业共用部位、共用设施设备发布广告的收益；</w:t>
      </w:r>
    </w:p>
    <w:p>
      <w:pPr>
        <w:spacing w:line="360" w:lineRule="auto"/>
        <w:ind w:right="210" w:rightChars="100" w:firstLine="640" w:firstLineChars="200"/>
        <w:rPr>
          <w:rFonts w:ascii="仿宋_GB2312" w:eastAsia="仿宋_GB2312" w:cs="Times New Roman" w:hAnsiTheme="minorEastAsia"/>
          <w:color w:val="auto"/>
          <w:sz w:val="32"/>
          <w:szCs w:val="32"/>
          <w:highlight w:val="none"/>
        </w:rPr>
      </w:pPr>
      <w:r>
        <w:rPr>
          <w:rFonts w:hint="eastAsia" w:ascii="仿宋_GB2312" w:eastAsia="仿宋_GB2312" w:cs="Times New Roman" w:hAnsiTheme="minorEastAsia"/>
          <w:color w:val="auto"/>
          <w:sz w:val="32"/>
          <w:szCs w:val="32"/>
          <w:highlight w:val="none"/>
        </w:rPr>
        <w:t>□ 利用公共配套设施，如活动场地、会所</w:t>
      </w:r>
      <w:r>
        <w:rPr>
          <w:rFonts w:hint="eastAsia" w:ascii="仿宋_GB2312" w:eastAsia="仿宋_GB2312" w:cs="Times New Roman" w:hAnsiTheme="minorEastAsia"/>
          <w:color w:val="auto"/>
          <w:sz w:val="32"/>
          <w:szCs w:val="32"/>
          <w:highlight w:val="none"/>
          <w:lang w:eastAsia="zh-CN"/>
        </w:rPr>
        <w:t>、</w:t>
      </w:r>
      <w:r>
        <w:rPr>
          <w:rFonts w:hint="eastAsia" w:ascii="仿宋_GB2312" w:eastAsia="仿宋_GB2312" w:cs="Times New Roman" w:hAnsiTheme="minorEastAsia"/>
          <w:color w:val="auto"/>
          <w:sz w:val="32"/>
          <w:szCs w:val="32"/>
          <w:highlight w:val="none"/>
        </w:rPr>
        <w:t>游泳池等经营的收益；</w:t>
      </w:r>
    </w:p>
    <w:p>
      <w:pPr>
        <w:spacing w:line="360" w:lineRule="auto"/>
        <w:ind w:right="210" w:rightChars="100" w:firstLine="640" w:firstLineChars="200"/>
        <w:rPr>
          <w:rFonts w:ascii="仿宋_GB2312" w:eastAsia="仿宋_GB2312" w:cs="Times New Roman" w:hAnsiTheme="minorEastAsia"/>
          <w:color w:val="auto"/>
          <w:sz w:val="32"/>
          <w:szCs w:val="32"/>
          <w:highlight w:val="none"/>
          <w:u w:val="single"/>
        </w:rPr>
      </w:pPr>
      <w:r>
        <w:rPr>
          <w:rFonts w:hint="eastAsia" w:ascii="仿宋_GB2312" w:eastAsia="仿宋_GB2312" w:cs="Times New Roman" w:hAnsiTheme="minorEastAsia"/>
          <w:color w:val="auto"/>
          <w:sz w:val="32"/>
          <w:szCs w:val="32"/>
          <w:highlight w:val="none"/>
        </w:rPr>
        <w:sym w:font="Wingdings 2" w:char="00A3"/>
      </w:r>
      <w:r>
        <w:rPr>
          <w:rFonts w:hint="eastAsia" w:ascii="仿宋_GB2312" w:eastAsia="仿宋_GB2312" w:cs="Times New Roman" w:hAnsiTheme="minorEastAsia"/>
          <w:color w:val="auto"/>
          <w:sz w:val="32"/>
          <w:szCs w:val="32"/>
          <w:highlight w:val="none"/>
        </w:rPr>
        <w:t xml:space="preserve"> 小区地上停车位等公共停车场的收益；</w:t>
      </w:r>
    </w:p>
    <w:p>
      <w:pPr>
        <w:spacing w:line="360" w:lineRule="auto"/>
        <w:ind w:right="210" w:rightChars="100" w:firstLine="640" w:firstLineChars="200"/>
        <w:rPr>
          <w:rFonts w:ascii="仿宋_GB2312" w:eastAsia="仿宋_GB2312" w:cs="Times New Roman" w:hAnsiTheme="minorEastAsia"/>
          <w:color w:val="auto"/>
          <w:sz w:val="32"/>
          <w:szCs w:val="32"/>
          <w:highlight w:val="none"/>
        </w:rPr>
      </w:pPr>
      <w:r>
        <w:rPr>
          <w:rFonts w:hint="eastAsia" w:ascii="仿宋_GB2312" w:eastAsia="仿宋_GB2312" w:cs="Times New Roman" w:hAnsiTheme="minorEastAsia"/>
          <w:color w:val="auto"/>
          <w:sz w:val="32"/>
          <w:szCs w:val="32"/>
          <w:highlight w:val="none"/>
        </w:rPr>
        <w:sym w:font="Wingdings 2" w:char="00A3"/>
      </w:r>
      <w:r>
        <w:rPr>
          <w:rFonts w:hint="eastAsia" w:ascii="仿宋_GB2312" w:eastAsia="仿宋_GB2312" w:cs="Times New Roman" w:hAnsiTheme="minorEastAsia"/>
          <w:color w:val="auto"/>
          <w:sz w:val="32"/>
          <w:szCs w:val="32"/>
          <w:highlight w:val="none"/>
        </w:rPr>
        <w:t xml:space="preserve"> 商业或促销类型的活动进入小区产生的收益，包括摊位租金、摊位费、入场费和场地费等</w:t>
      </w:r>
      <w:r>
        <w:rPr>
          <w:rFonts w:hint="eastAsia" w:ascii="仿宋_GB2312" w:eastAsia="仿宋_GB2312" w:cs="Times New Roman" w:hAnsiTheme="minorEastAsia"/>
          <w:color w:val="auto"/>
          <w:sz w:val="32"/>
          <w:szCs w:val="32"/>
          <w:highlight w:val="none"/>
          <w:u w:val="single"/>
        </w:rPr>
        <w:t xml:space="preserve">    </w:t>
      </w:r>
      <w:r>
        <w:rPr>
          <w:rFonts w:hint="eastAsia" w:ascii="仿宋_GB2312" w:eastAsia="仿宋_GB2312" w:cs="Times New Roman" w:hAnsiTheme="minorEastAsia"/>
          <w:color w:val="auto"/>
          <w:sz w:val="32"/>
          <w:szCs w:val="32"/>
          <w:highlight w:val="none"/>
          <w:u w:val="single"/>
          <w:lang w:val="en-US" w:eastAsia="zh-CN"/>
        </w:rPr>
        <w:t xml:space="preserve">    </w:t>
      </w:r>
      <w:r>
        <w:rPr>
          <w:rFonts w:hint="eastAsia" w:ascii="仿宋_GB2312" w:eastAsia="仿宋_GB2312" w:cs="Times New Roman" w:hAnsiTheme="minorEastAsia"/>
          <w:color w:val="auto"/>
          <w:sz w:val="32"/>
          <w:szCs w:val="32"/>
          <w:highlight w:val="none"/>
          <w:u w:val="single"/>
        </w:rPr>
        <w:t xml:space="preserve">        </w:t>
      </w:r>
      <w:r>
        <w:rPr>
          <w:rFonts w:hint="eastAsia" w:ascii="仿宋_GB2312" w:eastAsia="仿宋_GB2312" w:cs="Times New Roman" w:hAnsiTheme="minorEastAsia"/>
          <w:color w:val="auto"/>
          <w:sz w:val="32"/>
          <w:szCs w:val="32"/>
          <w:highlight w:val="none"/>
          <w:u w:val="none"/>
        </w:rPr>
        <w:t>；</w:t>
      </w:r>
    </w:p>
    <w:p>
      <w:pPr>
        <w:spacing w:line="360" w:lineRule="auto"/>
        <w:ind w:right="210" w:rightChars="100" w:firstLine="640" w:firstLineChars="200"/>
        <w:rPr>
          <w:rFonts w:ascii="仿宋_GB2312" w:eastAsia="仿宋_GB2312" w:cs="Times New Roman" w:hAnsiTheme="minorEastAsia"/>
          <w:color w:val="auto"/>
          <w:sz w:val="32"/>
          <w:szCs w:val="32"/>
          <w:highlight w:val="none"/>
          <w:u w:val="none"/>
        </w:rPr>
      </w:pPr>
      <w:r>
        <w:rPr>
          <w:rFonts w:hint="eastAsia" w:ascii="仿宋_GB2312" w:eastAsia="仿宋_GB2312" w:cs="Times New Roman" w:hAnsiTheme="minorEastAsia"/>
          <w:color w:val="auto"/>
          <w:sz w:val="32"/>
          <w:szCs w:val="32"/>
          <w:highlight w:val="none"/>
        </w:rPr>
        <w:t>□ 地下室等物业共用部位及属于全体业主共有的商业用房出租产生的租赁费</w:t>
      </w:r>
      <w:r>
        <w:rPr>
          <w:rFonts w:hint="eastAsia" w:ascii="仿宋_GB2312" w:eastAsia="仿宋_GB2312" w:cs="Times New Roman" w:hAnsiTheme="minorEastAsia"/>
          <w:color w:val="auto"/>
          <w:sz w:val="32"/>
          <w:szCs w:val="32"/>
          <w:highlight w:val="none"/>
          <w:u w:val="single"/>
        </w:rPr>
        <w:t xml:space="preserve">                      </w:t>
      </w:r>
      <w:r>
        <w:rPr>
          <w:rFonts w:hint="eastAsia" w:ascii="仿宋_GB2312" w:eastAsia="仿宋_GB2312" w:cs="Times New Roman" w:hAnsiTheme="minorEastAsia"/>
          <w:color w:val="auto"/>
          <w:sz w:val="32"/>
          <w:szCs w:val="32"/>
          <w:highlight w:val="none"/>
          <w:u w:val="single"/>
          <w:lang w:val="en-US" w:eastAsia="zh-CN"/>
        </w:rPr>
        <w:t xml:space="preserve">       </w:t>
      </w:r>
      <w:r>
        <w:rPr>
          <w:rFonts w:hint="eastAsia" w:ascii="仿宋_GB2312" w:eastAsia="仿宋_GB2312" w:cs="Times New Roman" w:hAnsiTheme="minorEastAsia"/>
          <w:color w:val="auto"/>
          <w:sz w:val="32"/>
          <w:szCs w:val="32"/>
          <w:highlight w:val="none"/>
          <w:u w:val="single"/>
        </w:rPr>
        <w:t xml:space="preserve"> </w:t>
      </w:r>
      <w:r>
        <w:rPr>
          <w:rFonts w:hint="eastAsia" w:ascii="仿宋_GB2312" w:eastAsia="仿宋_GB2312" w:cs="Times New Roman" w:hAnsiTheme="minorEastAsia"/>
          <w:color w:val="auto"/>
          <w:sz w:val="32"/>
          <w:szCs w:val="32"/>
          <w:highlight w:val="none"/>
          <w:u w:val="none"/>
        </w:rPr>
        <w:t>；</w:t>
      </w:r>
    </w:p>
    <w:p>
      <w:pPr>
        <w:spacing w:line="360" w:lineRule="auto"/>
        <w:ind w:right="210" w:rightChars="100" w:firstLine="640" w:firstLineChars="200"/>
        <w:rPr>
          <w:rFonts w:ascii="仿宋_GB2312" w:eastAsia="仿宋_GB2312" w:cs="Times New Roman" w:hAnsiTheme="minorEastAsia"/>
          <w:color w:val="auto"/>
          <w:sz w:val="32"/>
          <w:szCs w:val="32"/>
          <w:highlight w:val="none"/>
        </w:rPr>
      </w:pPr>
      <w:r>
        <w:rPr>
          <w:rFonts w:hint="eastAsia" w:ascii="仿宋_GB2312" w:eastAsia="仿宋_GB2312" w:cs="Times New Roman" w:hAnsiTheme="minorEastAsia"/>
          <w:color w:val="auto"/>
          <w:sz w:val="32"/>
          <w:szCs w:val="32"/>
          <w:highlight w:val="none"/>
        </w:rPr>
        <w:t>□ 部分通信运营管理费</w:t>
      </w:r>
      <w:r>
        <w:rPr>
          <w:rFonts w:hint="eastAsia" w:ascii="仿宋_GB2312" w:eastAsia="仿宋_GB2312" w:cs="Times New Roman" w:hAnsiTheme="minorEastAsia"/>
          <w:color w:val="auto"/>
          <w:sz w:val="32"/>
          <w:szCs w:val="32"/>
          <w:highlight w:val="none"/>
          <w:u w:val="single"/>
        </w:rPr>
        <w:t xml:space="preserve">                       ；  </w:t>
      </w:r>
    </w:p>
    <w:p>
      <w:pPr>
        <w:spacing w:line="360" w:lineRule="auto"/>
        <w:ind w:right="210" w:rightChars="100" w:firstLine="640" w:firstLineChars="200"/>
        <w:rPr>
          <w:rFonts w:ascii="仿宋_GB2312" w:eastAsia="仿宋_GB2312" w:cs="Times New Roman" w:hAnsiTheme="minorEastAsia"/>
          <w:color w:val="auto"/>
          <w:sz w:val="32"/>
          <w:szCs w:val="32"/>
          <w:highlight w:val="none"/>
        </w:rPr>
      </w:pPr>
      <w:r>
        <w:rPr>
          <w:rFonts w:hint="eastAsia" w:ascii="仿宋_GB2312" w:eastAsia="仿宋_GB2312" w:cs="Times New Roman" w:hAnsiTheme="minorEastAsia"/>
          <w:color w:val="auto"/>
          <w:sz w:val="32"/>
          <w:szCs w:val="32"/>
          <w:highlight w:val="none"/>
        </w:rPr>
        <w:t>□ 物业共用部位和共用设施设备被损坏或违法使用得到的赔偿；</w:t>
      </w:r>
    </w:p>
    <w:p>
      <w:pPr>
        <w:spacing w:line="360" w:lineRule="auto"/>
        <w:ind w:right="210" w:rightChars="100" w:firstLine="640" w:firstLineChars="200"/>
        <w:rPr>
          <w:rFonts w:ascii="仿宋_GB2312" w:eastAsia="仿宋_GB2312" w:cs="Times New Roman" w:hAnsiTheme="minorEastAsia"/>
          <w:color w:val="auto"/>
          <w:sz w:val="32"/>
          <w:szCs w:val="32"/>
          <w:highlight w:val="none"/>
        </w:rPr>
      </w:pPr>
      <w:r>
        <w:rPr>
          <w:rFonts w:hint="eastAsia" w:ascii="仿宋_GB2312" w:eastAsia="仿宋_GB2312" w:cs="Times New Roman" w:hAnsiTheme="minorEastAsia"/>
          <w:color w:val="auto"/>
          <w:sz w:val="32"/>
          <w:szCs w:val="32"/>
          <w:highlight w:val="none"/>
        </w:rPr>
        <w:t xml:space="preserve">□ 因使用物业共用部位、共用设施设备而收取的违约金、滞纳金等；  </w:t>
      </w:r>
    </w:p>
    <w:p>
      <w:pPr>
        <w:spacing w:line="360" w:lineRule="auto"/>
        <w:ind w:right="210" w:rightChars="100" w:firstLine="640" w:firstLineChars="200"/>
        <w:rPr>
          <w:rFonts w:ascii="仿宋_GB2312" w:eastAsia="仿宋_GB2312" w:cs="Times New Roman" w:hAnsiTheme="minorEastAsia"/>
          <w:color w:val="auto"/>
          <w:sz w:val="32"/>
          <w:szCs w:val="32"/>
          <w:highlight w:val="none"/>
        </w:rPr>
      </w:pPr>
      <w:r>
        <w:rPr>
          <w:rFonts w:hint="eastAsia" w:ascii="仿宋_GB2312" w:eastAsia="仿宋_GB2312" w:cs="Times New Roman" w:hAnsiTheme="minorEastAsia"/>
          <w:color w:val="auto"/>
          <w:sz w:val="32"/>
          <w:szCs w:val="32"/>
          <w:highlight w:val="none"/>
        </w:rPr>
        <w:t>□ 其他利用物业共用部位、共用设施设备经营产生的收益。</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（二）物业专项维修资金；</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（三）物业管理费；</w:t>
      </w:r>
    </w:p>
    <w:p>
      <w:pPr>
        <w:spacing w:line="360" w:lineRule="auto"/>
        <w:ind w:right="210" w:rightChars="100" w:firstLine="640" w:firstLineChars="200"/>
        <w:rPr>
          <w:rFonts w:ascii="仿宋_GB2312" w:eastAsia="仿宋_GB2312" w:hAnsiTheme="minorEastAsia"/>
          <w:color w:val="auto"/>
          <w:sz w:val="32"/>
          <w:szCs w:val="32"/>
          <w:highlight w:val="none"/>
          <w:u w:val="single"/>
        </w:rPr>
      </w:pPr>
      <w:r>
        <w:rPr>
          <w:rFonts w:hint="eastAsia" w:ascii="仿宋_GB2312" w:eastAsia="仿宋_GB2312" w:cs="Gungsuh" w:hAnsiTheme="minorEastAsia"/>
          <w:color w:val="auto"/>
          <w:sz w:val="32"/>
          <w:szCs w:val="32"/>
          <w:highlight w:val="none"/>
        </w:rPr>
        <w:t>（四）</w:t>
      </w:r>
      <w:r>
        <w:rPr>
          <w:rFonts w:hint="eastAsia" w:ascii="仿宋_GB2312" w:eastAsia="仿宋_GB2312" w:hAnsiTheme="minorEastAsia"/>
          <w:color w:val="auto"/>
          <w:sz w:val="32"/>
          <w:szCs w:val="32"/>
          <w:highlight w:val="none"/>
        </w:rPr>
        <w:t>业主依据管理规约或者业主大会决定分摊的费用</w:t>
      </w:r>
      <w:r>
        <w:rPr>
          <w:rFonts w:hint="eastAsia" w:ascii="仿宋_GB2312" w:eastAsia="仿宋_GB2312" w:cs="Gungsuh" w:hAnsiTheme="minorEastAsia"/>
          <w:color w:val="auto"/>
          <w:sz w:val="32"/>
          <w:szCs w:val="32"/>
          <w:highlight w:val="none"/>
        </w:rPr>
        <w:t>，包括以下：</w:t>
      </w:r>
    </w:p>
    <w:p>
      <w:pPr>
        <w:spacing w:line="360" w:lineRule="auto"/>
        <w:ind w:right="210" w:rightChars="100" w:firstLine="640" w:firstLineChars="200"/>
        <w:rPr>
          <w:rFonts w:ascii="仿宋_GB2312" w:eastAsia="仿宋_GB2312" w:cs="Times New Roman" w:hAnsiTheme="minorEastAsia"/>
          <w:color w:val="auto"/>
          <w:sz w:val="32"/>
          <w:szCs w:val="32"/>
          <w:highlight w:val="none"/>
        </w:rPr>
      </w:pPr>
      <w:r>
        <w:rPr>
          <w:rFonts w:hint="eastAsia" w:ascii="仿宋_GB2312" w:eastAsia="仿宋_GB2312" w:cs="Times New Roman" w:hAnsiTheme="minorEastAsia"/>
          <w:color w:val="auto"/>
          <w:sz w:val="32"/>
          <w:szCs w:val="32"/>
          <w:highlight w:val="none"/>
        </w:rPr>
        <w:t xml:space="preserve">□ </w:t>
      </w:r>
      <w:r>
        <w:rPr>
          <w:rFonts w:hint="eastAsia" w:ascii="仿宋_GB2312" w:eastAsia="仿宋_GB2312" w:cs="Times New Roman" w:hAnsiTheme="minorEastAsia"/>
          <w:color w:val="auto"/>
          <w:sz w:val="32"/>
          <w:szCs w:val="32"/>
          <w:highlight w:val="none"/>
          <w:u w:val="single"/>
        </w:rPr>
        <w:t xml:space="preserve">                                    </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Times New Roman" w:hAnsiTheme="minorEastAsia"/>
          <w:color w:val="auto"/>
          <w:sz w:val="32"/>
          <w:szCs w:val="32"/>
          <w:highlight w:val="none"/>
        </w:rPr>
        <w:t xml:space="preserve">□ </w:t>
      </w:r>
      <w:r>
        <w:rPr>
          <w:rFonts w:hint="eastAsia" w:ascii="仿宋_GB2312" w:eastAsia="仿宋_GB2312" w:cs="Times New Roman" w:hAnsiTheme="minorEastAsia"/>
          <w:color w:val="auto"/>
          <w:sz w:val="32"/>
          <w:szCs w:val="32"/>
          <w:highlight w:val="none"/>
          <w:u w:val="single"/>
        </w:rPr>
        <w:t xml:space="preserve">                                    </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（五）本办法所称共有资金的其他合法收入包括：</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Times New Roman" w:hAnsiTheme="minorEastAsia"/>
          <w:color w:val="auto"/>
          <w:sz w:val="32"/>
          <w:szCs w:val="32"/>
          <w:highlight w:val="none"/>
        </w:rPr>
        <w:t>□</w:t>
      </w:r>
      <w:r>
        <w:rPr>
          <w:rFonts w:hint="eastAsia" w:ascii="仿宋_GB2312" w:eastAsia="仿宋_GB2312" w:cs="Gungsuh" w:hAnsiTheme="minorEastAsia"/>
          <w:color w:val="auto"/>
          <w:sz w:val="32"/>
          <w:szCs w:val="32"/>
          <w:highlight w:val="none"/>
        </w:rPr>
        <w:t>孳息及合法投资产生的收益；</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Times New Roman" w:hAnsiTheme="minorEastAsia"/>
          <w:color w:val="auto"/>
          <w:sz w:val="32"/>
          <w:szCs w:val="32"/>
          <w:highlight w:val="none"/>
        </w:rPr>
        <w:t>□</w:t>
      </w:r>
      <w:r>
        <w:rPr>
          <w:rFonts w:hint="eastAsia" w:ascii="仿宋_GB2312" w:eastAsia="仿宋_GB2312" w:cs="Gungsuh" w:hAnsiTheme="minorEastAsia"/>
          <w:color w:val="auto"/>
          <w:sz w:val="32"/>
          <w:szCs w:val="32"/>
          <w:highlight w:val="none"/>
        </w:rPr>
        <w:t>物业服务企业（其他管理人）违反物业服务合同约定所支付的违约金和赔偿金；</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Times New Roman" w:hAnsiTheme="minorEastAsia"/>
          <w:color w:val="auto"/>
          <w:sz w:val="32"/>
          <w:szCs w:val="32"/>
          <w:highlight w:val="none"/>
        </w:rPr>
        <w:t>□</w:t>
      </w:r>
      <w:r>
        <w:rPr>
          <w:rFonts w:hint="eastAsia" w:ascii="仿宋_GB2312" w:eastAsia="仿宋_GB2312" w:cs="Gungsuh" w:hAnsiTheme="minorEastAsia"/>
          <w:color w:val="auto"/>
          <w:sz w:val="32"/>
          <w:szCs w:val="32"/>
          <w:highlight w:val="none"/>
          <w:u w:val="single"/>
        </w:rPr>
        <w:t xml:space="preserve">                                    </w:t>
      </w:r>
    </w:p>
    <w:p>
      <w:pPr>
        <w:spacing w:line="360" w:lineRule="auto"/>
        <w:ind w:left="0" w:leftChars="0" w:right="210" w:rightChars="100" w:firstLine="642" w:firstLineChars="200"/>
        <w:rPr>
          <w:rFonts w:ascii="仿宋_GB2312" w:eastAsia="仿宋_GB2312" w:cs="Gungsuh" w:hAnsiTheme="minorEastAsia"/>
          <w:color w:val="auto"/>
          <w:sz w:val="32"/>
          <w:szCs w:val="32"/>
          <w:highlight w:val="none"/>
        </w:rPr>
      </w:pPr>
      <w:r>
        <w:rPr>
          <w:rFonts w:hint="eastAsia" w:ascii="仿宋_GB2312" w:eastAsia="仿宋_GB2312" w:cs="宋体" w:hAnsiTheme="minorEastAsia"/>
          <w:b/>
          <w:color w:val="auto"/>
          <w:sz w:val="32"/>
          <w:szCs w:val="32"/>
          <w:highlight w:val="none"/>
        </w:rPr>
        <w:t xml:space="preserve">第五条 </w:t>
      </w:r>
      <w:r>
        <w:rPr>
          <w:rFonts w:hint="eastAsia" w:ascii="仿宋_GB2312" w:eastAsia="仿宋_GB2312" w:cs="宋体" w:hAnsiTheme="minorEastAsia"/>
          <w:b/>
          <w:color w:val="auto"/>
          <w:sz w:val="32"/>
          <w:szCs w:val="32"/>
          <w:highlight w:val="none"/>
          <w:lang w:val="en-US" w:eastAsia="zh-CN"/>
        </w:rPr>
        <w:t xml:space="preserve"> </w:t>
      </w:r>
      <w:r>
        <w:rPr>
          <w:rFonts w:hint="eastAsia" w:ascii="仿宋_GB2312" w:eastAsia="仿宋_GB2312" w:cs="Gungsuh" w:hAnsiTheme="minorEastAsia"/>
          <w:color w:val="auto"/>
          <w:sz w:val="32"/>
          <w:szCs w:val="32"/>
          <w:highlight w:val="none"/>
        </w:rPr>
        <w:t>共有物业和业主共有资金的使用与管理实行业主决策、利益共享、公开透明、全程监督的原则。</w:t>
      </w:r>
    </w:p>
    <w:p>
      <w:pPr>
        <w:spacing w:line="360" w:lineRule="auto"/>
        <w:ind w:left="0" w:leftChars="0" w:right="210" w:rightChars="100" w:firstLine="642" w:firstLineChars="200"/>
        <w:rPr>
          <w:rFonts w:ascii="仿宋_GB2312" w:eastAsia="仿宋_GB2312" w:cs="Gungsuh" w:hAnsiTheme="minorEastAsia"/>
          <w:color w:val="auto"/>
          <w:sz w:val="32"/>
          <w:szCs w:val="32"/>
          <w:highlight w:val="none"/>
        </w:rPr>
      </w:pPr>
      <w:r>
        <w:rPr>
          <w:rFonts w:hint="eastAsia" w:ascii="仿宋_GB2312" w:eastAsia="仿宋_GB2312" w:cs="宋体" w:hAnsiTheme="minorEastAsia"/>
          <w:b/>
          <w:color w:val="auto"/>
          <w:sz w:val="32"/>
          <w:szCs w:val="32"/>
          <w:highlight w:val="none"/>
        </w:rPr>
        <w:t xml:space="preserve">第六条 </w:t>
      </w:r>
      <w:r>
        <w:rPr>
          <w:rFonts w:hint="eastAsia" w:ascii="仿宋_GB2312" w:eastAsia="仿宋_GB2312" w:cs="宋体" w:hAnsiTheme="minorEastAsia"/>
          <w:b/>
          <w:color w:val="auto"/>
          <w:sz w:val="32"/>
          <w:szCs w:val="32"/>
          <w:highlight w:val="none"/>
          <w:lang w:val="en-US" w:eastAsia="zh-CN"/>
        </w:rPr>
        <w:t xml:space="preserve"> </w:t>
      </w:r>
      <w:r>
        <w:rPr>
          <w:rFonts w:hint="eastAsia" w:ascii="仿宋_GB2312" w:eastAsia="仿宋_GB2312" w:hAnsiTheme="minorEastAsia"/>
          <w:color w:val="auto"/>
          <w:sz w:val="32"/>
          <w:szCs w:val="32"/>
          <w:highlight w:val="none"/>
        </w:rPr>
        <w:t>业主、业主委员会、监事会或监事依照法律法规对本小区的共有物业和业主共有资金使用与管理进行监督。</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outlineLvl w:val="9"/>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第二章　共有物业的使用与管理</w:t>
      </w:r>
    </w:p>
    <w:p>
      <w:pPr>
        <w:spacing w:line="360" w:lineRule="auto"/>
        <w:ind w:left="0" w:leftChars="0" w:right="210" w:rightChars="100" w:firstLine="642" w:firstLineChars="200"/>
        <w:rPr>
          <w:rFonts w:ascii="仿宋_GB2312" w:eastAsia="仿宋_GB2312" w:cs="Gungsuh" w:hAnsiTheme="minorEastAsia"/>
          <w:color w:val="auto"/>
          <w:sz w:val="32"/>
          <w:szCs w:val="32"/>
          <w:highlight w:val="none"/>
        </w:rPr>
      </w:pPr>
      <w:r>
        <w:rPr>
          <w:rFonts w:hint="eastAsia" w:ascii="仿宋_GB2312" w:eastAsia="仿宋_GB2312" w:cs="宋体" w:hAnsiTheme="minorEastAsia"/>
          <w:b/>
          <w:color w:val="auto"/>
          <w:sz w:val="32"/>
          <w:szCs w:val="32"/>
          <w:highlight w:val="none"/>
        </w:rPr>
        <w:t>第七条</w:t>
      </w:r>
      <w:r>
        <w:rPr>
          <w:rFonts w:hint="eastAsia" w:ascii="仿宋_GB2312" w:eastAsia="仿宋_GB2312" w:cs="宋体" w:hAnsiTheme="minorEastAsia"/>
          <w:b/>
          <w:color w:val="auto"/>
          <w:sz w:val="32"/>
          <w:szCs w:val="32"/>
          <w:highlight w:val="none"/>
          <w:lang w:val="en-US" w:eastAsia="zh-CN"/>
        </w:rPr>
        <w:t xml:space="preserve"> </w:t>
      </w:r>
      <w:r>
        <w:rPr>
          <w:rFonts w:hint="eastAsia" w:ascii="仿宋_GB2312" w:eastAsia="仿宋_GB2312" w:cs="Gungsuh" w:hAnsiTheme="minorEastAsia"/>
          <w:color w:val="auto"/>
          <w:sz w:val="32"/>
          <w:szCs w:val="32"/>
          <w:highlight w:val="none"/>
        </w:rPr>
        <w:t>本物业管理区域内共有物业归业主共有，禁止任何单位、个人侵占、处分或者未经业主大会同意改作他用。</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业主对共有物业享有权利，承担义务，不得以放弃权利</w:t>
      </w:r>
      <w:r>
        <w:rPr>
          <w:rFonts w:hint="eastAsia" w:ascii="仿宋_GB2312" w:eastAsia="仿宋_GB2312" w:cs="Gungsuh" w:hAnsiTheme="minorEastAsia"/>
          <w:color w:val="auto"/>
          <w:sz w:val="32"/>
          <w:szCs w:val="32"/>
          <w:highlight w:val="none"/>
          <w:lang w:eastAsia="zh-CN"/>
        </w:rPr>
        <w:t>为由</w:t>
      </w:r>
      <w:r>
        <w:rPr>
          <w:rFonts w:hint="eastAsia" w:ascii="仿宋_GB2312" w:eastAsia="仿宋_GB2312" w:cs="Gungsuh" w:hAnsiTheme="minorEastAsia"/>
          <w:color w:val="auto"/>
          <w:sz w:val="32"/>
          <w:szCs w:val="32"/>
          <w:highlight w:val="none"/>
        </w:rPr>
        <w:t>而不履行义务。</w:t>
      </w:r>
    </w:p>
    <w:p>
      <w:pPr>
        <w:spacing w:line="360" w:lineRule="auto"/>
        <w:ind w:left="0" w:leftChars="0" w:right="210" w:rightChars="100" w:firstLine="642" w:firstLineChars="200"/>
        <w:rPr>
          <w:rFonts w:ascii="仿宋_GB2312" w:eastAsia="仿宋_GB2312" w:cs="Gungsuh" w:hAnsiTheme="minorEastAsia"/>
          <w:color w:val="auto"/>
          <w:sz w:val="32"/>
          <w:szCs w:val="32"/>
          <w:highlight w:val="none"/>
        </w:rPr>
      </w:pPr>
      <w:r>
        <w:rPr>
          <w:rFonts w:hint="eastAsia" w:ascii="仿宋_GB2312" w:eastAsia="仿宋_GB2312" w:cs="宋体" w:hAnsiTheme="minorEastAsia"/>
          <w:b/>
          <w:bCs w:val="0"/>
          <w:color w:val="auto"/>
          <w:sz w:val="32"/>
          <w:szCs w:val="32"/>
          <w:highlight w:val="none"/>
        </w:rPr>
        <w:t>第八条</w:t>
      </w:r>
      <w:r>
        <w:rPr>
          <w:rFonts w:hint="eastAsia" w:ascii="仿宋_GB2312" w:eastAsia="仿宋_GB2312" w:cs="宋体" w:hAnsiTheme="minorEastAsia"/>
          <w:b/>
          <w:color w:val="auto"/>
          <w:sz w:val="32"/>
          <w:szCs w:val="32"/>
          <w:highlight w:val="none"/>
        </w:rPr>
        <w:t xml:space="preserve"> </w:t>
      </w:r>
      <w:r>
        <w:rPr>
          <w:rFonts w:hint="eastAsia" w:ascii="仿宋_GB2312" w:eastAsia="仿宋_GB2312" w:cs="Gungsuh" w:hAnsiTheme="minorEastAsia"/>
          <w:color w:val="auto"/>
          <w:sz w:val="32"/>
          <w:szCs w:val="32"/>
          <w:highlight w:val="none"/>
        </w:rPr>
        <w:t>业主大会在物业服务合同终止后与物业服务企业（</w:t>
      </w:r>
      <w:r>
        <w:rPr>
          <w:rFonts w:hint="eastAsia" w:ascii="仿宋_GB2312" w:eastAsia="仿宋_GB2312" w:cs="Gungsuh" w:hAnsiTheme="minorEastAsia"/>
          <w:color w:val="auto"/>
          <w:sz w:val="32"/>
          <w:szCs w:val="32"/>
          <w:highlight w:val="none"/>
          <w:lang w:eastAsia="zh-CN"/>
        </w:rPr>
        <w:t>或</w:t>
      </w:r>
      <w:r>
        <w:rPr>
          <w:rFonts w:hint="eastAsia" w:ascii="仿宋_GB2312" w:eastAsia="仿宋_GB2312" w:cs="Gungsuh" w:hAnsiTheme="minorEastAsia"/>
          <w:color w:val="auto"/>
          <w:sz w:val="32"/>
          <w:szCs w:val="32"/>
          <w:highlight w:val="none"/>
        </w:rPr>
        <w:t xml:space="preserve">其他管理人）办理交接时，由业主委员会组织查验共有物业，对利用共有物业经营的相关资料、公共水电分摊费用缴纳记录和物业服务期间形成的有关物业及设施设备改造、维修、运行、保养的有关完整资料进行妥善接收。 </w:t>
      </w:r>
    </w:p>
    <w:p>
      <w:pPr>
        <w:spacing w:line="360" w:lineRule="auto"/>
        <w:ind w:left="0" w:leftChars="0" w:right="210" w:rightChars="100" w:firstLine="642" w:firstLineChars="200"/>
        <w:rPr>
          <w:rFonts w:ascii="仿宋_GB2312" w:eastAsia="仿宋_GB2312" w:cs="Gungsuh" w:hAnsiTheme="minorEastAsia"/>
          <w:color w:val="auto"/>
          <w:sz w:val="32"/>
          <w:szCs w:val="32"/>
          <w:highlight w:val="none"/>
        </w:rPr>
      </w:pPr>
      <w:r>
        <w:rPr>
          <w:rFonts w:hint="eastAsia" w:ascii="仿宋_GB2312" w:eastAsia="仿宋_GB2312" w:cs="宋体" w:hAnsiTheme="minorEastAsia"/>
          <w:b/>
          <w:color w:val="auto"/>
          <w:sz w:val="32"/>
          <w:szCs w:val="32"/>
          <w:highlight w:val="none"/>
        </w:rPr>
        <w:t>第九条</w:t>
      </w:r>
      <w:r>
        <w:rPr>
          <w:rFonts w:hint="eastAsia" w:ascii="仿宋_GB2312" w:eastAsia="仿宋_GB2312" w:cs="宋体" w:hAnsiTheme="minorEastAsia"/>
          <w:b/>
          <w:color w:val="auto"/>
          <w:sz w:val="32"/>
          <w:szCs w:val="32"/>
          <w:highlight w:val="none"/>
          <w:lang w:val="en-US" w:eastAsia="zh-CN"/>
        </w:rPr>
        <w:t xml:space="preserve"> </w:t>
      </w:r>
      <w:r>
        <w:rPr>
          <w:rFonts w:hint="eastAsia" w:ascii="仿宋_GB2312" w:eastAsia="仿宋_GB2312" w:cs="Gungsuh" w:hAnsiTheme="minorEastAsia"/>
          <w:color w:val="auto"/>
          <w:sz w:val="32"/>
          <w:szCs w:val="32"/>
          <w:highlight w:val="none"/>
        </w:rPr>
        <w:t>业主、物业使用人、物业服务企业（或其他管理人）应当遵守管理规约及物业管理区域车辆停放、电梯使用、空调安装、垃圾投放等管理制度和约定，不得损害全体业主或任何第三方的合法权益。</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业主、物业使用人、物业服务企业（或其他管理人）使用建筑区划内的共有物业应当遵守法律、法规、规章和本物业管理区域的管理规约，按照有利于物业使用、安全以及公平、合理的原则，正确处理供水、排水、通行、通风、采光、噪音、维修、装饰装修、环境卫生、环境保护等方面的关系。</w:t>
      </w:r>
    </w:p>
    <w:p>
      <w:pPr>
        <w:spacing w:line="360" w:lineRule="auto"/>
        <w:ind w:left="0" w:leftChars="0" w:right="210" w:rightChars="100" w:firstLine="642" w:firstLineChars="200"/>
        <w:rPr>
          <w:rFonts w:ascii="仿宋_GB2312" w:eastAsia="仿宋_GB2312" w:cs="Gungsuh" w:hAnsiTheme="minorEastAsia"/>
          <w:color w:val="auto"/>
          <w:sz w:val="32"/>
          <w:szCs w:val="32"/>
          <w:highlight w:val="none"/>
        </w:rPr>
      </w:pPr>
      <w:r>
        <w:rPr>
          <w:rFonts w:hint="eastAsia" w:ascii="仿宋_GB2312" w:eastAsia="仿宋_GB2312" w:cs="宋体" w:hAnsiTheme="minorEastAsia"/>
          <w:b/>
          <w:color w:val="auto"/>
          <w:sz w:val="32"/>
          <w:szCs w:val="32"/>
          <w:highlight w:val="none"/>
        </w:rPr>
        <w:t xml:space="preserve">第十条 </w:t>
      </w:r>
      <w:r>
        <w:rPr>
          <w:rFonts w:hint="eastAsia" w:ascii="仿宋_GB2312" w:eastAsia="仿宋_GB2312" w:cs="宋体" w:hAnsiTheme="minorEastAsia"/>
          <w:b/>
          <w:color w:val="auto"/>
          <w:sz w:val="32"/>
          <w:szCs w:val="32"/>
          <w:highlight w:val="none"/>
          <w:lang w:val="en-US" w:eastAsia="zh-CN"/>
        </w:rPr>
        <w:t xml:space="preserve"> </w:t>
      </w:r>
      <w:r>
        <w:rPr>
          <w:rFonts w:hint="eastAsia" w:ascii="仿宋_GB2312" w:eastAsia="仿宋_GB2312" w:cs="Gungsuh" w:hAnsiTheme="minorEastAsia"/>
          <w:color w:val="auto"/>
          <w:sz w:val="32"/>
          <w:szCs w:val="32"/>
          <w:highlight w:val="none"/>
        </w:rPr>
        <w:t>利用物业共用部分经营的，应当符合法律、法规</w:t>
      </w:r>
      <w:r>
        <w:rPr>
          <w:rFonts w:hint="eastAsia" w:ascii="仿宋_GB2312" w:eastAsia="仿宋_GB2312" w:cs="Gungsuh" w:hAnsiTheme="minorEastAsia"/>
          <w:color w:val="auto"/>
          <w:sz w:val="32"/>
          <w:szCs w:val="32"/>
          <w:highlight w:val="none"/>
          <w:lang w:eastAsia="zh-CN"/>
        </w:rPr>
        <w:t>、管理规约</w:t>
      </w:r>
      <w:r>
        <w:rPr>
          <w:rFonts w:hint="eastAsia" w:ascii="仿宋_GB2312" w:eastAsia="仿宋_GB2312" w:cs="Gungsuh" w:hAnsiTheme="minorEastAsia"/>
          <w:color w:val="auto"/>
          <w:sz w:val="32"/>
          <w:szCs w:val="32"/>
          <w:highlight w:val="none"/>
        </w:rPr>
        <w:t>和本办法的规定，并经本住宅小区的业主大会表决同意。</w:t>
      </w:r>
    </w:p>
    <w:p>
      <w:pPr>
        <w:spacing w:line="360" w:lineRule="auto"/>
        <w:ind w:left="0" w:leftChars="0" w:right="210" w:rightChars="100" w:firstLine="642" w:firstLineChars="200"/>
        <w:rPr>
          <w:rFonts w:ascii="仿宋_GB2312" w:eastAsia="仿宋_GB2312" w:cs="Times New Roman" w:hAnsiTheme="minorEastAsia"/>
          <w:color w:val="auto"/>
          <w:sz w:val="32"/>
          <w:szCs w:val="32"/>
          <w:highlight w:val="none"/>
        </w:rPr>
      </w:pPr>
      <w:r>
        <w:rPr>
          <w:rFonts w:hint="eastAsia" w:ascii="仿宋_GB2312" w:eastAsia="仿宋_GB2312" w:cs="宋体" w:hAnsiTheme="minorEastAsia"/>
          <w:b/>
          <w:color w:val="auto"/>
          <w:sz w:val="32"/>
          <w:szCs w:val="32"/>
          <w:highlight w:val="none"/>
        </w:rPr>
        <w:t xml:space="preserve">第十一条 </w:t>
      </w:r>
      <w:r>
        <w:rPr>
          <w:rFonts w:hint="eastAsia" w:ascii="仿宋_GB2312" w:eastAsia="仿宋_GB2312" w:cs="宋体" w:hAnsiTheme="minorEastAsia"/>
          <w:b/>
          <w:color w:val="auto"/>
          <w:sz w:val="32"/>
          <w:szCs w:val="32"/>
          <w:highlight w:val="none"/>
          <w:lang w:val="en-US" w:eastAsia="zh-CN"/>
        </w:rPr>
        <w:t xml:space="preserve"> </w:t>
      </w:r>
      <w:r>
        <w:rPr>
          <w:rFonts w:hint="eastAsia" w:ascii="仿宋_GB2312" w:eastAsia="仿宋_GB2312" w:cs="Gungsuh" w:hAnsiTheme="minorEastAsia"/>
          <w:color w:val="auto"/>
          <w:sz w:val="32"/>
          <w:szCs w:val="32"/>
          <w:highlight w:val="none"/>
        </w:rPr>
        <w:t>本物业管理区域共有物业的管理包括：</w:t>
      </w:r>
    </w:p>
    <w:p>
      <w:pPr>
        <w:spacing w:line="360" w:lineRule="auto"/>
        <w:ind w:right="210" w:rightChars="100" w:firstLine="640" w:firstLineChars="200"/>
        <w:rPr>
          <w:rFonts w:ascii="仿宋_GB2312" w:eastAsia="仿宋_GB2312" w:hAnsiTheme="minorEastAsia"/>
          <w:color w:val="auto"/>
          <w:sz w:val="32"/>
          <w:szCs w:val="32"/>
          <w:highlight w:val="none"/>
        </w:rPr>
      </w:pPr>
      <w:r>
        <w:rPr>
          <w:rFonts w:hint="eastAsia" w:ascii="仿宋_GB2312" w:eastAsia="仿宋_GB2312" w:hAnsiTheme="minorEastAsia"/>
          <w:color w:val="auto"/>
          <w:sz w:val="32"/>
          <w:szCs w:val="32"/>
          <w:highlight w:val="none"/>
        </w:rPr>
        <w:t>（一）对共有物业及相关资料物品等进行交接；</w:t>
      </w:r>
    </w:p>
    <w:p>
      <w:pPr>
        <w:spacing w:line="360" w:lineRule="auto"/>
        <w:ind w:right="210" w:rightChars="100" w:firstLine="640" w:firstLineChars="200"/>
        <w:rPr>
          <w:rFonts w:ascii="仿宋_GB2312" w:eastAsia="仿宋_GB2312" w:hAnsiTheme="minorEastAsia"/>
          <w:color w:val="auto"/>
          <w:sz w:val="32"/>
          <w:szCs w:val="32"/>
          <w:highlight w:val="none"/>
        </w:rPr>
      </w:pPr>
      <w:r>
        <w:rPr>
          <w:rFonts w:hint="eastAsia" w:ascii="仿宋_GB2312" w:eastAsia="仿宋_GB2312" w:hAnsiTheme="minorEastAsia"/>
          <w:color w:val="auto"/>
          <w:sz w:val="32"/>
          <w:szCs w:val="32"/>
          <w:highlight w:val="none"/>
        </w:rPr>
        <w:t>（二）对共有物业进行维修养护；</w:t>
      </w:r>
    </w:p>
    <w:p>
      <w:pPr>
        <w:spacing w:line="360" w:lineRule="auto"/>
        <w:ind w:right="210" w:rightChars="100" w:firstLine="640" w:firstLineChars="200"/>
        <w:rPr>
          <w:rFonts w:ascii="仿宋_GB2312" w:eastAsia="仿宋_GB2312" w:hAnsiTheme="minorEastAsia"/>
          <w:color w:val="auto"/>
          <w:sz w:val="32"/>
          <w:szCs w:val="32"/>
          <w:highlight w:val="none"/>
        </w:rPr>
      </w:pPr>
      <w:r>
        <w:rPr>
          <w:rFonts w:hint="eastAsia" w:ascii="仿宋_GB2312" w:eastAsia="仿宋_GB2312" w:hAnsiTheme="minorEastAsia"/>
          <w:color w:val="auto"/>
          <w:sz w:val="32"/>
          <w:szCs w:val="32"/>
          <w:highlight w:val="none"/>
        </w:rPr>
        <w:t>（三）对共有物业进行改建或重建；</w:t>
      </w:r>
    </w:p>
    <w:p>
      <w:pPr>
        <w:spacing w:line="360" w:lineRule="auto"/>
        <w:ind w:right="210" w:rightChars="100" w:firstLine="640" w:firstLineChars="200"/>
        <w:rPr>
          <w:rFonts w:ascii="仿宋_GB2312" w:eastAsia="仿宋_GB2312" w:hAnsiTheme="minorEastAsia"/>
          <w:color w:val="auto"/>
          <w:sz w:val="32"/>
          <w:szCs w:val="32"/>
          <w:highlight w:val="none"/>
        </w:rPr>
      </w:pPr>
      <w:r>
        <w:rPr>
          <w:rFonts w:hint="eastAsia" w:ascii="仿宋_GB2312" w:eastAsia="仿宋_GB2312" w:hAnsiTheme="minorEastAsia"/>
          <w:color w:val="auto"/>
          <w:sz w:val="32"/>
          <w:szCs w:val="32"/>
          <w:highlight w:val="none"/>
        </w:rPr>
        <w:t>（四）改变共有物业的用途；</w:t>
      </w:r>
    </w:p>
    <w:p>
      <w:pPr>
        <w:spacing w:line="360" w:lineRule="auto"/>
        <w:ind w:right="210" w:rightChars="100" w:firstLine="640" w:firstLineChars="200"/>
        <w:rPr>
          <w:rFonts w:ascii="仿宋_GB2312" w:eastAsia="仿宋_GB2312" w:hAnsiTheme="minorEastAsia"/>
          <w:color w:val="auto"/>
          <w:sz w:val="32"/>
          <w:szCs w:val="32"/>
          <w:highlight w:val="none"/>
        </w:rPr>
      </w:pPr>
      <w:r>
        <w:rPr>
          <w:rFonts w:hint="eastAsia" w:ascii="仿宋_GB2312" w:eastAsia="仿宋_GB2312" w:hAnsiTheme="minorEastAsia"/>
          <w:color w:val="auto"/>
          <w:sz w:val="32"/>
          <w:szCs w:val="32"/>
          <w:highlight w:val="none"/>
        </w:rPr>
        <w:t>（五）利用共有物业从事经营活动；</w:t>
      </w:r>
    </w:p>
    <w:p>
      <w:pPr>
        <w:spacing w:line="360" w:lineRule="auto"/>
        <w:ind w:right="210" w:rightChars="100" w:firstLine="640" w:firstLineChars="200"/>
        <w:rPr>
          <w:rFonts w:ascii="仿宋_GB2312" w:eastAsia="仿宋_GB2312" w:hAnsiTheme="minorEastAsia"/>
          <w:color w:val="auto"/>
          <w:sz w:val="32"/>
          <w:szCs w:val="32"/>
          <w:highlight w:val="none"/>
        </w:rPr>
      </w:pPr>
      <w:r>
        <w:rPr>
          <w:rFonts w:hint="eastAsia" w:ascii="仿宋_GB2312" w:eastAsia="仿宋_GB2312" w:hAnsiTheme="minorEastAsia"/>
          <w:color w:val="auto"/>
          <w:sz w:val="32"/>
          <w:szCs w:val="32"/>
          <w:highlight w:val="none"/>
        </w:rPr>
        <w:t>（六）</w:t>
      </w:r>
      <w:r>
        <w:rPr>
          <w:rFonts w:hint="eastAsia" w:ascii="仿宋_GB2312" w:eastAsia="仿宋_GB2312" w:hAnsiTheme="minorEastAsia"/>
          <w:color w:val="auto"/>
          <w:sz w:val="32"/>
          <w:szCs w:val="32"/>
          <w:highlight w:val="none"/>
          <w:u w:val="single"/>
        </w:rPr>
        <w:t xml:space="preserve">                                    </w:t>
      </w:r>
    </w:p>
    <w:p>
      <w:pPr>
        <w:spacing w:line="360" w:lineRule="auto"/>
        <w:ind w:left="0" w:leftChars="0" w:right="210" w:rightChars="100" w:firstLine="642" w:firstLineChars="200"/>
        <w:rPr>
          <w:rFonts w:ascii="仿宋_GB2312" w:eastAsia="仿宋_GB2312" w:cs="Gungsuh" w:hAnsiTheme="minorEastAsia"/>
          <w:color w:val="auto"/>
          <w:sz w:val="32"/>
          <w:szCs w:val="32"/>
          <w:highlight w:val="none"/>
        </w:rPr>
      </w:pPr>
      <w:r>
        <w:rPr>
          <w:rFonts w:hint="eastAsia" w:ascii="仿宋_GB2312" w:eastAsia="仿宋_GB2312" w:cs="宋体" w:hAnsiTheme="minorEastAsia"/>
          <w:b/>
          <w:color w:val="auto"/>
          <w:sz w:val="32"/>
          <w:szCs w:val="32"/>
          <w:highlight w:val="none"/>
        </w:rPr>
        <w:t xml:space="preserve">第十二条 </w:t>
      </w:r>
      <w:r>
        <w:rPr>
          <w:rFonts w:hint="eastAsia" w:ascii="仿宋_GB2312" w:eastAsia="仿宋_GB2312" w:cs="宋体" w:hAnsiTheme="minorEastAsia"/>
          <w:b/>
          <w:color w:val="auto"/>
          <w:sz w:val="32"/>
          <w:szCs w:val="32"/>
          <w:highlight w:val="none"/>
          <w:lang w:val="en-US" w:eastAsia="zh-CN"/>
        </w:rPr>
        <w:t xml:space="preserve"> </w:t>
      </w:r>
      <w:r>
        <w:rPr>
          <w:rFonts w:hint="eastAsia" w:ascii="仿宋_GB2312" w:eastAsia="仿宋_GB2312" w:cs="Gungsuh" w:hAnsiTheme="minorEastAsia"/>
          <w:color w:val="auto"/>
          <w:sz w:val="32"/>
          <w:szCs w:val="32"/>
          <w:highlight w:val="none"/>
        </w:rPr>
        <w:t>本物业管理区域内的共有物业由业主大会：</w:t>
      </w:r>
    </w:p>
    <w:p>
      <w:pPr>
        <w:spacing w:line="360" w:lineRule="auto"/>
        <w:ind w:right="210" w:rightChars="1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 xml:space="preserve">    </w:t>
      </w:r>
      <w:r>
        <w:rPr>
          <w:rFonts w:hint="eastAsia" w:ascii="仿宋_GB2312" w:eastAsia="仿宋_GB2312" w:cs="Times New Roman" w:hAnsiTheme="minorEastAsia"/>
          <w:color w:val="auto"/>
          <w:sz w:val="32"/>
          <w:szCs w:val="32"/>
          <w:highlight w:val="none"/>
        </w:rPr>
        <w:t>○根据业主自行管理方案自行管理。</w:t>
      </w:r>
    </w:p>
    <w:p>
      <w:pPr>
        <w:spacing w:line="360" w:lineRule="auto"/>
        <w:ind w:right="210" w:rightChars="100"/>
        <w:rPr>
          <w:rFonts w:ascii="仿宋_GB2312" w:eastAsia="仿宋_GB2312" w:cs="Times New Roman" w:hAnsiTheme="minorEastAsia"/>
          <w:color w:val="auto"/>
          <w:sz w:val="32"/>
          <w:szCs w:val="32"/>
          <w:highlight w:val="none"/>
        </w:rPr>
      </w:pPr>
      <w:r>
        <w:rPr>
          <w:rFonts w:hint="eastAsia" w:ascii="仿宋_GB2312" w:eastAsia="仿宋_GB2312" w:cs="Gungsuh" w:hAnsiTheme="minorEastAsia"/>
          <w:color w:val="auto"/>
          <w:sz w:val="32"/>
          <w:szCs w:val="32"/>
          <w:highlight w:val="none"/>
        </w:rPr>
        <w:t xml:space="preserve">    </w:t>
      </w:r>
      <w:r>
        <w:rPr>
          <w:rFonts w:hint="eastAsia" w:ascii="仿宋_GB2312" w:eastAsia="仿宋_GB2312" w:cs="Times New Roman" w:hAnsiTheme="minorEastAsia"/>
          <w:color w:val="auto"/>
          <w:sz w:val="32"/>
          <w:szCs w:val="32"/>
          <w:highlight w:val="none"/>
        </w:rPr>
        <w:t>○委托物业服务企业</w:t>
      </w:r>
      <w:r>
        <w:rPr>
          <w:rFonts w:hint="eastAsia" w:ascii="仿宋_GB2312" w:eastAsia="仿宋_GB2312" w:cs="Times New Roman" w:hAnsiTheme="minorEastAsia"/>
          <w:color w:val="auto"/>
          <w:sz w:val="32"/>
          <w:szCs w:val="32"/>
          <w:highlight w:val="none"/>
          <w:lang w:eastAsia="zh-CN"/>
        </w:rPr>
        <w:t>作</w:t>
      </w:r>
      <w:r>
        <w:rPr>
          <w:rFonts w:hint="eastAsia" w:ascii="仿宋_GB2312" w:eastAsia="仿宋_GB2312" w:cs="Times New Roman" w:hAnsiTheme="minorEastAsia"/>
          <w:color w:val="auto"/>
          <w:sz w:val="32"/>
          <w:szCs w:val="32"/>
          <w:highlight w:val="none"/>
        </w:rPr>
        <w:t>为共有物业管理人进行管理。</w:t>
      </w:r>
    </w:p>
    <w:p>
      <w:pPr>
        <w:spacing w:line="360" w:lineRule="auto"/>
        <w:ind w:right="210" w:rightChars="100"/>
        <w:rPr>
          <w:rFonts w:ascii="仿宋_GB2312" w:eastAsia="仿宋_GB2312" w:cs="Gungsuh" w:hAnsiTheme="minorEastAsia"/>
          <w:color w:val="auto"/>
          <w:sz w:val="32"/>
          <w:szCs w:val="32"/>
          <w:highlight w:val="none"/>
        </w:rPr>
      </w:pPr>
      <w:r>
        <w:rPr>
          <w:rFonts w:hint="eastAsia" w:ascii="仿宋_GB2312" w:eastAsia="仿宋_GB2312" w:cs="Times New Roman" w:hAnsiTheme="minorEastAsia"/>
          <w:color w:val="auto"/>
          <w:sz w:val="32"/>
          <w:szCs w:val="32"/>
          <w:highlight w:val="none"/>
        </w:rPr>
        <w:t xml:space="preserve">    ○委托其他管理人</w:t>
      </w:r>
      <w:r>
        <w:rPr>
          <w:rFonts w:ascii="仿宋_GB2312" w:eastAsia="仿宋_GB2312" w:cs="Times New Roman" w:hAnsiTheme="minorEastAsia"/>
          <w:color w:val="auto"/>
          <w:sz w:val="32"/>
          <w:szCs w:val="32"/>
          <w:highlight w:val="none"/>
          <w:u w:val="single"/>
        </w:rPr>
        <w:t xml:space="preserve">       </w:t>
      </w:r>
      <w:r>
        <w:rPr>
          <w:rFonts w:hint="eastAsia" w:ascii="仿宋_GB2312" w:eastAsia="仿宋_GB2312" w:cs="Times New Roman" w:hAnsiTheme="minorEastAsia"/>
          <w:color w:val="auto"/>
          <w:sz w:val="32"/>
          <w:szCs w:val="32"/>
          <w:highlight w:val="none"/>
          <w:u w:val="none"/>
          <w:lang w:eastAsia="zh-CN"/>
        </w:rPr>
        <w:t>作</w:t>
      </w:r>
      <w:r>
        <w:rPr>
          <w:rFonts w:hint="eastAsia" w:ascii="仿宋_GB2312" w:eastAsia="仿宋_GB2312" w:cs="Times New Roman" w:hAnsiTheme="minorEastAsia"/>
          <w:color w:val="auto"/>
          <w:sz w:val="32"/>
          <w:szCs w:val="32"/>
          <w:highlight w:val="none"/>
        </w:rPr>
        <w:t>为共有物业管理人</w:t>
      </w:r>
      <w:r>
        <w:rPr>
          <w:rFonts w:hint="eastAsia" w:ascii="仿宋_GB2312" w:eastAsia="仿宋_GB2312" w:cs="Gungsuh" w:hAnsiTheme="minorEastAsia"/>
          <w:color w:val="auto"/>
          <w:sz w:val="32"/>
          <w:szCs w:val="32"/>
          <w:highlight w:val="none"/>
        </w:rPr>
        <w:t>进行管理。</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共有物业管理人、使用人对其所管理或使用的共有物业的窗户、阳台、搁置物、悬挂物等可能影响公共安全的物品和设施承担安全管理责任。</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共有物业管理人应当加强对共有物业天面、外墙、楼梯间等物业共用部位的日常巡查。发现安全隐患的，应当及时处理；发现存在影响市政专营设施安全的情况的，应当及时报告市政专营单位；发现电梯、消防设施故障、外墙墙面存在脱落危险、屋顶或者外墙出现渗漏等危及物业安全的紧急情况的，应进行应急维修。</w:t>
      </w:r>
    </w:p>
    <w:p>
      <w:pPr>
        <w:spacing w:line="360" w:lineRule="auto"/>
        <w:ind w:right="210" w:rightChars="100" w:firstLine="640" w:firstLineChars="200"/>
        <w:rPr>
          <w:rFonts w:ascii="仿宋_GB2312" w:eastAsia="仿宋_GB2312" w:cs="Gungsuh" w:hAnsiTheme="minorEastAsia"/>
          <w:color w:val="auto"/>
          <w:sz w:val="32"/>
          <w:szCs w:val="32"/>
          <w:highlight w:val="none"/>
          <w:lang w:val="en-GB"/>
        </w:rPr>
      </w:pPr>
      <w:r>
        <w:rPr>
          <w:rFonts w:hint="eastAsia" w:ascii="仿宋_GB2312" w:eastAsia="仿宋_GB2312" w:cs="Gungsuh" w:hAnsiTheme="minorEastAsia"/>
          <w:color w:val="auto"/>
          <w:sz w:val="32"/>
          <w:szCs w:val="32"/>
          <w:highlight w:val="none"/>
        </w:rPr>
        <w:t>业主委员会、共有物业管理人对维护保养、改造物业及配置固定设施设备而形成的资料，应当妥善保管并建立档案。</w:t>
      </w:r>
    </w:p>
    <w:p>
      <w:pPr>
        <w:spacing w:line="360" w:lineRule="auto"/>
        <w:ind w:right="210" w:rightChars="100" w:firstLine="642" w:firstLineChars="200"/>
        <w:rPr>
          <w:rFonts w:hint="eastAsia" w:ascii="仿宋_GB2312" w:eastAsia="仿宋_GB2312" w:cs="Gungsuh" w:hAnsiTheme="minorEastAsia"/>
          <w:color w:val="auto"/>
          <w:sz w:val="32"/>
          <w:szCs w:val="32"/>
          <w:highlight w:val="none"/>
        </w:rPr>
      </w:pPr>
      <w:r>
        <w:rPr>
          <w:rFonts w:hint="eastAsia" w:ascii="仿宋_GB2312" w:eastAsia="仿宋_GB2312" w:cs="Gungsuh" w:hAnsiTheme="minorEastAsia"/>
          <w:b/>
          <w:bCs/>
          <w:color w:val="auto"/>
          <w:sz w:val="32"/>
          <w:szCs w:val="32"/>
          <w:highlight w:val="none"/>
          <w:lang w:eastAsia="zh-CN"/>
        </w:rPr>
        <w:t>第十三条</w:t>
      </w:r>
      <w:r>
        <w:rPr>
          <w:rFonts w:hint="eastAsia" w:ascii="仿宋_GB2312" w:eastAsia="仿宋_GB2312" w:cs="Gungsuh" w:hAnsiTheme="minorEastAsia"/>
          <w:color w:val="auto"/>
          <w:sz w:val="32"/>
          <w:szCs w:val="32"/>
          <w:highlight w:val="none"/>
          <w:lang w:val="en-US" w:eastAsia="zh-CN"/>
        </w:rPr>
        <w:t xml:space="preserve"> </w:t>
      </w:r>
      <w:r>
        <w:rPr>
          <w:rFonts w:hint="eastAsia" w:ascii="仿宋_GB2312" w:eastAsia="仿宋_GB2312" w:cs="Gungsuh" w:hAnsiTheme="minorEastAsia"/>
          <w:color w:val="auto"/>
          <w:sz w:val="32"/>
          <w:szCs w:val="32"/>
          <w:highlight w:val="none"/>
        </w:rPr>
        <w:t>本物业管理区域</w:t>
      </w:r>
      <w:r>
        <w:rPr>
          <w:rFonts w:hint="eastAsia" w:ascii="仿宋_GB2312" w:eastAsia="仿宋_GB2312" w:cs="Gungsuh" w:hAnsiTheme="minorEastAsia"/>
          <w:color w:val="auto"/>
          <w:sz w:val="32"/>
          <w:szCs w:val="32"/>
          <w:highlight w:val="none"/>
          <w:lang w:eastAsia="zh-CN"/>
        </w:rPr>
        <w:t>业主大会</w:t>
      </w:r>
      <w:r>
        <w:rPr>
          <w:rFonts w:hint="eastAsia" w:ascii="仿宋_GB2312" w:eastAsia="仿宋_GB2312" w:cs="Gungsuh" w:hAnsiTheme="minorEastAsia"/>
          <w:color w:val="auto"/>
          <w:sz w:val="32"/>
          <w:szCs w:val="32"/>
          <w:highlight w:val="none"/>
        </w:rPr>
        <w:t>表决同意为物业共用部位、共用设施设备购买物业安全、房屋及公共设施维修保险，费用在年度预算中列支。具体投保的保险险种为</w:t>
      </w:r>
      <w:r>
        <w:rPr>
          <w:rFonts w:hint="eastAsia" w:ascii="仿宋_GB2312" w:eastAsia="仿宋_GB2312" w:cs="Gungsuh" w:hAnsiTheme="minorEastAsia"/>
          <w:color w:val="auto"/>
          <w:sz w:val="32"/>
          <w:szCs w:val="32"/>
          <w:highlight w:val="none"/>
          <w:u w:val="single"/>
        </w:rPr>
        <w:t xml:space="preserve">         </w:t>
      </w:r>
      <w:r>
        <w:rPr>
          <w:rFonts w:hint="eastAsia" w:ascii="仿宋_GB2312" w:eastAsia="仿宋_GB2312" w:cs="Gungsuh" w:hAnsiTheme="minorEastAsia"/>
          <w:color w:val="auto"/>
          <w:sz w:val="32"/>
          <w:szCs w:val="32"/>
          <w:highlight w:val="none"/>
          <w:u w:val="single"/>
          <w:lang w:val="en-US" w:eastAsia="zh-CN"/>
        </w:rPr>
        <w:t xml:space="preserve">   </w:t>
      </w:r>
      <w:r>
        <w:rPr>
          <w:rFonts w:hint="eastAsia" w:ascii="仿宋_GB2312" w:eastAsia="仿宋_GB2312" w:cs="Gungsuh" w:hAnsiTheme="minorEastAsia"/>
          <w:color w:val="auto"/>
          <w:sz w:val="32"/>
          <w:szCs w:val="32"/>
          <w:highlight w:val="none"/>
          <w:u w:val="single"/>
        </w:rPr>
        <w:t xml:space="preserve">   </w:t>
      </w:r>
      <w:r>
        <w:rPr>
          <w:rFonts w:hint="eastAsia" w:ascii="仿宋_GB2312" w:eastAsia="仿宋_GB2312" w:cs="Gungsuh" w:hAnsiTheme="minorEastAsia"/>
          <w:color w:val="auto"/>
          <w:sz w:val="32"/>
          <w:szCs w:val="32"/>
          <w:highlight w:val="none"/>
        </w:rPr>
        <w:t>，</w:t>
      </w:r>
      <w:r>
        <w:rPr>
          <w:rFonts w:hint="eastAsia" w:ascii="仿宋_GB2312" w:eastAsia="仿宋_GB2312" w:cs="Gungsuh" w:hAnsiTheme="minorEastAsia"/>
          <w:color w:val="auto"/>
          <w:sz w:val="32"/>
          <w:szCs w:val="32"/>
          <w:highlight w:val="none"/>
          <w:lang w:eastAsia="zh-CN"/>
        </w:rPr>
        <w:t>由</w:t>
      </w:r>
      <w:r>
        <w:rPr>
          <w:rFonts w:hint="eastAsia" w:ascii="仿宋_GB2312" w:eastAsia="仿宋_GB2312" w:cs="Gungsuh" w:hAnsiTheme="minorEastAsia"/>
          <w:color w:val="auto"/>
          <w:sz w:val="32"/>
          <w:szCs w:val="32"/>
          <w:highlight w:val="none"/>
        </w:rPr>
        <w:t>○</w:t>
      </w:r>
      <w:r>
        <w:rPr>
          <w:rFonts w:hint="eastAsia" w:ascii="仿宋_GB2312" w:eastAsia="仿宋_GB2312" w:cs="Gungsuh" w:hAnsiTheme="minorEastAsia"/>
          <w:color w:val="auto"/>
          <w:sz w:val="32"/>
          <w:szCs w:val="32"/>
          <w:highlight w:val="none"/>
          <w:lang w:eastAsia="zh-CN"/>
        </w:rPr>
        <w:t>业主委员会办理</w:t>
      </w:r>
      <w:r>
        <w:rPr>
          <w:rFonts w:hint="eastAsia" w:ascii="仿宋_GB2312" w:eastAsia="仿宋_GB2312" w:cs="Gungsuh" w:hAnsiTheme="minorEastAsia"/>
          <w:color w:val="auto"/>
          <w:sz w:val="32"/>
          <w:szCs w:val="32"/>
          <w:highlight w:val="none"/>
        </w:rPr>
        <w:t>○物业服务企业代办。</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outlineLvl w:val="9"/>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eastAsia="zh-CN"/>
        </w:rPr>
        <w:t>第三章</w:t>
      </w:r>
      <w:r>
        <w:rPr>
          <w:rFonts w:hint="eastAsia" w:ascii="黑体" w:hAnsi="黑体" w:eastAsia="黑体" w:cs="黑体"/>
          <w:b w:val="0"/>
          <w:bCs/>
          <w:color w:val="auto"/>
          <w:sz w:val="32"/>
          <w:szCs w:val="32"/>
          <w:highlight w:val="none"/>
          <w:lang w:val="en-US" w:eastAsia="zh-CN"/>
        </w:rPr>
        <w:t xml:space="preserve"> </w:t>
      </w:r>
      <w:r>
        <w:rPr>
          <w:rFonts w:hint="eastAsia" w:ascii="黑体" w:hAnsi="黑体" w:eastAsia="黑体" w:cs="黑体"/>
          <w:b w:val="0"/>
          <w:bCs/>
          <w:color w:val="auto"/>
          <w:sz w:val="32"/>
          <w:szCs w:val="32"/>
          <w:highlight w:val="none"/>
        </w:rPr>
        <w:t>共有资金的使用与管理</w:t>
      </w:r>
    </w:p>
    <w:p>
      <w:pPr>
        <w:widowControl/>
        <w:spacing w:line="360" w:lineRule="auto"/>
        <w:ind w:left="0" w:leftChars="0" w:right="210" w:rightChars="100" w:firstLine="642" w:firstLineChars="200"/>
        <w:rPr>
          <w:rFonts w:ascii="仿宋_GB2312" w:eastAsia="仿宋_GB2312" w:cs="Gungsuh" w:hAnsiTheme="minorEastAsia"/>
          <w:color w:val="auto"/>
          <w:sz w:val="32"/>
          <w:szCs w:val="32"/>
          <w:highlight w:val="none"/>
        </w:rPr>
      </w:pPr>
      <w:r>
        <w:rPr>
          <w:rFonts w:hint="eastAsia" w:ascii="仿宋_GB2312" w:eastAsia="仿宋_GB2312" w:cs="宋体" w:hAnsiTheme="minorEastAsia"/>
          <w:b/>
          <w:color w:val="auto"/>
          <w:sz w:val="32"/>
          <w:szCs w:val="32"/>
          <w:highlight w:val="none"/>
        </w:rPr>
        <w:t>第十</w:t>
      </w:r>
      <w:r>
        <w:rPr>
          <w:rFonts w:hint="eastAsia" w:ascii="仿宋_GB2312" w:eastAsia="仿宋_GB2312" w:cs="宋体" w:hAnsiTheme="minorEastAsia"/>
          <w:b/>
          <w:color w:val="auto"/>
          <w:sz w:val="32"/>
          <w:szCs w:val="32"/>
          <w:highlight w:val="none"/>
          <w:lang w:eastAsia="zh-CN"/>
        </w:rPr>
        <w:t>四</w:t>
      </w:r>
      <w:r>
        <w:rPr>
          <w:rFonts w:hint="eastAsia" w:ascii="仿宋_GB2312" w:eastAsia="仿宋_GB2312" w:cs="宋体" w:hAnsiTheme="minorEastAsia"/>
          <w:b/>
          <w:color w:val="auto"/>
          <w:sz w:val="32"/>
          <w:szCs w:val="32"/>
          <w:highlight w:val="none"/>
        </w:rPr>
        <w:t xml:space="preserve">条 </w:t>
      </w:r>
      <w:r>
        <w:rPr>
          <w:rFonts w:hint="eastAsia" w:ascii="仿宋_GB2312" w:eastAsia="仿宋_GB2312" w:cs="宋体" w:hAnsiTheme="minorEastAsia"/>
          <w:b/>
          <w:color w:val="auto"/>
          <w:sz w:val="32"/>
          <w:szCs w:val="32"/>
          <w:highlight w:val="none"/>
          <w:lang w:val="en-US" w:eastAsia="zh-CN"/>
        </w:rPr>
        <w:t xml:space="preserve"> </w:t>
      </w:r>
      <w:r>
        <w:rPr>
          <w:rFonts w:hint="eastAsia" w:ascii="仿宋_GB2312" w:eastAsia="仿宋_GB2312" w:cs="Gungsuh" w:hAnsiTheme="minorEastAsia"/>
          <w:color w:val="auto"/>
          <w:sz w:val="32"/>
          <w:szCs w:val="32"/>
          <w:highlight w:val="none"/>
        </w:rPr>
        <w:t>本物业管理区域业主大会决定：</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Times New Roman" w:hAnsiTheme="minorEastAsia"/>
          <w:color w:val="auto"/>
          <w:sz w:val="32"/>
          <w:szCs w:val="32"/>
          <w:highlight w:val="none"/>
        </w:rPr>
        <w:t>○</w:t>
      </w:r>
      <w:r>
        <w:rPr>
          <w:rFonts w:hint="eastAsia" w:ascii="仿宋_GB2312" w:eastAsia="仿宋_GB2312" w:cs="Gungsuh" w:hAnsiTheme="minorEastAsia"/>
          <w:color w:val="auto"/>
          <w:sz w:val="32"/>
          <w:szCs w:val="32"/>
          <w:highlight w:val="none"/>
        </w:rPr>
        <w:t>开设业主共有资金基本账户，授权业主委员会掌管账户信息，并依照</w:t>
      </w:r>
      <w:r>
        <w:rPr>
          <w:rFonts w:hint="eastAsia" w:ascii="仿宋_GB2312" w:eastAsia="仿宋_GB2312" w:cs="Gungsuh" w:hAnsiTheme="minorEastAsia"/>
          <w:color w:val="auto"/>
          <w:sz w:val="32"/>
          <w:szCs w:val="32"/>
          <w:highlight w:val="none"/>
          <w:lang w:eastAsia="zh-CN"/>
        </w:rPr>
        <w:t>《条例》和《办法》等</w:t>
      </w:r>
      <w:r>
        <w:rPr>
          <w:rFonts w:hint="eastAsia" w:ascii="仿宋_GB2312" w:eastAsia="仿宋_GB2312" w:cs="Gungsuh" w:hAnsiTheme="minorEastAsia"/>
          <w:color w:val="auto"/>
          <w:sz w:val="32"/>
          <w:szCs w:val="32"/>
          <w:highlight w:val="none"/>
        </w:rPr>
        <w:t>法律法规和</w:t>
      </w:r>
      <w:r>
        <w:rPr>
          <w:rFonts w:hint="eastAsia" w:ascii="仿宋_GB2312" w:eastAsia="仿宋_GB2312" w:cs="Gungsuh" w:hAnsiTheme="minorEastAsia"/>
          <w:color w:val="auto"/>
          <w:sz w:val="32"/>
          <w:szCs w:val="32"/>
          <w:highlight w:val="none"/>
          <w:lang w:eastAsia="zh-CN"/>
        </w:rPr>
        <w:t>规范性文件规定</w:t>
      </w:r>
      <w:r>
        <w:rPr>
          <w:rFonts w:hint="eastAsia" w:ascii="仿宋_GB2312" w:eastAsia="仿宋_GB2312" w:cs="Gungsuh" w:hAnsiTheme="minorEastAsia"/>
          <w:color w:val="auto"/>
          <w:sz w:val="32"/>
          <w:szCs w:val="32"/>
          <w:highlight w:val="none"/>
        </w:rPr>
        <w:t>进行管理。由业主大会与开设共有资金基本账户的数据共享银行签订</w:t>
      </w:r>
      <w:r>
        <w:rPr>
          <w:rFonts w:hint="eastAsia" w:ascii="仿宋_GB2312" w:eastAsia="仿宋_GB2312" w:cs="Gungsuh" w:hAnsiTheme="minorEastAsia"/>
          <w:color w:val="auto"/>
          <w:sz w:val="32"/>
          <w:szCs w:val="32"/>
          <w:highlight w:val="none"/>
          <w:lang w:eastAsia="zh-CN"/>
        </w:rPr>
        <w:t>业主共有</w:t>
      </w:r>
      <w:r>
        <w:rPr>
          <w:rFonts w:hint="eastAsia" w:ascii="仿宋_GB2312" w:eastAsia="仿宋_GB2312" w:cs="Gungsuh" w:hAnsiTheme="minorEastAsia"/>
          <w:color w:val="auto"/>
          <w:sz w:val="32"/>
          <w:szCs w:val="32"/>
          <w:highlight w:val="none"/>
        </w:rPr>
        <w:t>资金监管协议，约定资金监管的权利和义务。</w:t>
      </w:r>
    </w:p>
    <w:p>
      <w:pPr>
        <w:spacing w:line="360" w:lineRule="auto"/>
        <w:ind w:right="210" w:rightChars="100" w:firstLine="560"/>
        <w:rPr>
          <w:rFonts w:ascii="仿宋_GB2312" w:eastAsia="仿宋_GB2312" w:cs="Gungsuh" w:hAnsiTheme="minorEastAsia"/>
          <w:color w:val="auto"/>
          <w:sz w:val="32"/>
          <w:szCs w:val="32"/>
          <w:highlight w:val="none"/>
        </w:rPr>
      </w:pPr>
      <w:r>
        <w:rPr>
          <w:rFonts w:hint="eastAsia" w:ascii="仿宋_GB2312" w:eastAsia="仿宋_GB2312" w:cs="Times New Roman" w:hAnsiTheme="minorEastAsia"/>
          <w:color w:val="auto"/>
          <w:sz w:val="32"/>
          <w:szCs w:val="32"/>
          <w:highlight w:val="none"/>
        </w:rPr>
        <w:t>○</w:t>
      </w:r>
      <w:r>
        <w:rPr>
          <w:rFonts w:hint="eastAsia" w:ascii="仿宋_GB2312" w:eastAsia="仿宋_GB2312" w:cs="Gungsuh" w:hAnsiTheme="minorEastAsia"/>
          <w:color w:val="auto"/>
          <w:sz w:val="32"/>
          <w:szCs w:val="32"/>
          <w:highlight w:val="none"/>
        </w:rPr>
        <w:t>业主大会委托物业服务企业</w:t>
      </w:r>
      <w:r>
        <w:rPr>
          <w:rFonts w:hint="eastAsia" w:ascii="仿宋_GB2312" w:eastAsia="仿宋_GB2312" w:cs="Gungsuh" w:hAnsiTheme="minorEastAsia"/>
          <w:color w:val="auto"/>
          <w:sz w:val="32"/>
          <w:szCs w:val="32"/>
          <w:highlight w:val="none"/>
          <w:lang w:eastAsia="zh-CN"/>
        </w:rPr>
        <w:t>（或</w:t>
      </w:r>
      <w:r>
        <w:rPr>
          <w:rFonts w:hint="eastAsia" w:ascii="仿宋_GB2312" w:eastAsia="仿宋_GB2312" w:cs="Times New Roman" w:hAnsiTheme="minorEastAsia"/>
          <w:color w:val="auto"/>
          <w:sz w:val="32"/>
          <w:szCs w:val="32"/>
          <w:highlight w:val="none"/>
        </w:rPr>
        <w:t>其他管理人</w:t>
      </w:r>
      <w:r>
        <w:rPr>
          <w:rFonts w:hint="eastAsia" w:ascii="仿宋_GB2312" w:eastAsia="仿宋_GB2312" w:cs="Gungsuh" w:hAnsiTheme="minorEastAsia"/>
          <w:color w:val="auto"/>
          <w:sz w:val="32"/>
          <w:szCs w:val="32"/>
          <w:highlight w:val="none"/>
          <w:lang w:eastAsia="zh-CN"/>
        </w:rPr>
        <w:t>）</w:t>
      </w:r>
      <w:r>
        <w:rPr>
          <w:rFonts w:hint="eastAsia" w:ascii="仿宋_GB2312" w:eastAsia="仿宋_GB2312" w:cs="Gungsuh" w:hAnsiTheme="minorEastAsia"/>
          <w:color w:val="auto"/>
          <w:sz w:val="32"/>
          <w:szCs w:val="32"/>
          <w:highlight w:val="none"/>
        </w:rPr>
        <w:t>开设业主共有资金共管账户，由业主委员会与物业服务企业</w:t>
      </w:r>
      <w:r>
        <w:rPr>
          <w:rFonts w:hint="eastAsia" w:ascii="仿宋_GB2312" w:eastAsia="仿宋_GB2312" w:cs="Gungsuh" w:hAnsiTheme="minorEastAsia"/>
          <w:color w:val="auto"/>
          <w:sz w:val="32"/>
          <w:szCs w:val="32"/>
          <w:highlight w:val="none"/>
          <w:lang w:eastAsia="zh-CN"/>
        </w:rPr>
        <w:t>（或</w:t>
      </w:r>
      <w:r>
        <w:rPr>
          <w:rFonts w:hint="eastAsia" w:ascii="仿宋_GB2312" w:eastAsia="仿宋_GB2312" w:cs="Times New Roman" w:hAnsiTheme="minorEastAsia"/>
          <w:color w:val="auto"/>
          <w:sz w:val="32"/>
          <w:szCs w:val="32"/>
          <w:highlight w:val="none"/>
        </w:rPr>
        <w:t>其他管理人</w:t>
      </w:r>
      <w:r>
        <w:rPr>
          <w:rFonts w:hint="eastAsia" w:ascii="仿宋_GB2312" w:eastAsia="仿宋_GB2312" w:cs="Times New Roman" w:hAnsiTheme="minorEastAsia"/>
          <w:color w:val="auto"/>
          <w:sz w:val="32"/>
          <w:szCs w:val="32"/>
          <w:highlight w:val="none"/>
          <w:lang w:eastAsia="zh-CN"/>
        </w:rPr>
        <w:t>）</w:t>
      </w:r>
      <w:r>
        <w:rPr>
          <w:rFonts w:hint="eastAsia" w:ascii="仿宋_GB2312" w:eastAsia="仿宋_GB2312" w:cs="Gungsuh" w:hAnsiTheme="minorEastAsia"/>
          <w:color w:val="auto"/>
          <w:sz w:val="32"/>
          <w:szCs w:val="32"/>
          <w:highlight w:val="none"/>
        </w:rPr>
        <w:t>掌管账户信息，并依照</w:t>
      </w:r>
      <w:r>
        <w:rPr>
          <w:rFonts w:hint="eastAsia" w:ascii="仿宋_GB2312" w:eastAsia="仿宋_GB2312" w:cs="Gungsuh" w:hAnsiTheme="minorEastAsia"/>
          <w:color w:val="auto"/>
          <w:sz w:val="32"/>
          <w:szCs w:val="32"/>
          <w:highlight w:val="none"/>
          <w:lang w:eastAsia="zh-CN"/>
        </w:rPr>
        <w:t>《条例》和《办法》等</w:t>
      </w:r>
      <w:r>
        <w:rPr>
          <w:rFonts w:hint="eastAsia" w:ascii="仿宋_GB2312" w:eastAsia="仿宋_GB2312" w:cs="Gungsuh" w:hAnsiTheme="minorEastAsia"/>
          <w:color w:val="auto"/>
          <w:sz w:val="32"/>
          <w:szCs w:val="32"/>
          <w:highlight w:val="none"/>
        </w:rPr>
        <w:t>法律法规和</w:t>
      </w:r>
      <w:r>
        <w:rPr>
          <w:rFonts w:hint="eastAsia" w:ascii="仿宋_GB2312" w:eastAsia="仿宋_GB2312" w:cs="Gungsuh" w:hAnsiTheme="minorEastAsia"/>
          <w:color w:val="auto"/>
          <w:sz w:val="32"/>
          <w:szCs w:val="32"/>
          <w:highlight w:val="none"/>
          <w:lang w:eastAsia="zh-CN"/>
        </w:rPr>
        <w:t>规范性文件规定</w:t>
      </w:r>
      <w:r>
        <w:rPr>
          <w:rFonts w:hint="eastAsia" w:ascii="仿宋_GB2312" w:eastAsia="仿宋_GB2312" w:cs="Gungsuh" w:hAnsiTheme="minorEastAsia"/>
          <w:color w:val="auto"/>
          <w:sz w:val="32"/>
          <w:szCs w:val="32"/>
          <w:highlight w:val="none"/>
        </w:rPr>
        <w:t>进行管理。业主大会选聘新的物业服务企业，新的物业服务企业应另行开设</w:t>
      </w:r>
      <w:r>
        <w:rPr>
          <w:rFonts w:hint="eastAsia" w:ascii="仿宋_GB2312" w:eastAsia="仿宋_GB2312" w:cs="Gungsuh" w:hAnsiTheme="minorEastAsia"/>
          <w:color w:val="auto"/>
          <w:sz w:val="32"/>
          <w:szCs w:val="32"/>
          <w:highlight w:val="none"/>
          <w:lang w:eastAsia="zh-CN"/>
        </w:rPr>
        <w:t>业主</w:t>
      </w:r>
      <w:r>
        <w:rPr>
          <w:rFonts w:hint="eastAsia" w:ascii="仿宋_GB2312" w:eastAsia="仿宋_GB2312" w:cs="Gungsuh" w:hAnsiTheme="minorEastAsia"/>
          <w:color w:val="auto"/>
          <w:sz w:val="32"/>
          <w:szCs w:val="32"/>
          <w:highlight w:val="none"/>
        </w:rPr>
        <w:t>共有资金共管账户，并将共有资金转入新的共管账户，原账户注销。</w:t>
      </w:r>
    </w:p>
    <w:p>
      <w:pPr>
        <w:spacing w:line="360" w:lineRule="auto"/>
        <w:ind w:left="0" w:leftChars="0" w:right="210" w:rightChars="100" w:firstLine="642" w:firstLineChars="200"/>
        <w:rPr>
          <w:rFonts w:ascii="仿宋_GB2312" w:eastAsia="仿宋_GB2312" w:cs="Gungsuh" w:hAnsiTheme="minorEastAsia"/>
          <w:color w:val="auto"/>
          <w:sz w:val="32"/>
          <w:szCs w:val="32"/>
          <w:highlight w:val="none"/>
          <w:lang w:val="en-GB"/>
        </w:rPr>
      </w:pPr>
      <w:r>
        <w:rPr>
          <w:rFonts w:hint="eastAsia" w:ascii="仿宋_GB2312" w:eastAsia="仿宋_GB2312" w:cs="宋体" w:hAnsiTheme="minorEastAsia"/>
          <w:b/>
          <w:color w:val="auto"/>
          <w:sz w:val="32"/>
          <w:szCs w:val="32"/>
          <w:highlight w:val="none"/>
          <w:lang w:val="en-GB"/>
        </w:rPr>
        <w:t>第十</w:t>
      </w:r>
      <w:r>
        <w:rPr>
          <w:rFonts w:hint="eastAsia" w:ascii="仿宋_GB2312" w:eastAsia="仿宋_GB2312" w:cs="宋体" w:hAnsiTheme="minorEastAsia"/>
          <w:b/>
          <w:color w:val="auto"/>
          <w:sz w:val="32"/>
          <w:szCs w:val="32"/>
          <w:highlight w:val="none"/>
          <w:lang w:val="en-GB" w:eastAsia="zh-CN"/>
        </w:rPr>
        <w:t>五</w:t>
      </w:r>
      <w:r>
        <w:rPr>
          <w:rFonts w:hint="eastAsia" w:ascii="仿宋_GB2312" w:eastAsia="仿宋_GB2312" w:cs="宋体" w:hAnsiTheme="minorEastAsia"/>
          <w:b/>
          <w:color w:val="auto"/>
          <w:sz w:val="32"/>
          <w:szCs w:val="32"/>
          <w:highlight w:val="none"/>
          <w:lang w:val="en-GB"/>
        </w:rPr>
        <w:t>条</w:t>
      </w:r>
      <w:r>
        <w:rPr>
          <w:rFonts w:hint="eastAsia" w:ascii="仿宋_GB2312" w:eastAsia="仿宋_GB2312" w:cs="宋体" w:hAnsiTheme="minorEastAsia"/>
          <w:b/>
          <w:color w:val="auto"/>
          <w:sz w:val="32"/>
          <w:szCs w:val="32"/>
          <w:highlight w:val="none"/>
          <w:lang w:val="en-US" w:eastAsia="zh-CN"/>
        </w:rPr>
        <w:t xml:space="preserve"> </w:t>
      </w:r>
      <w:r>
        <w:rPr>
          <w:rFonts w:hint="eastAsia" w:ascii="仿宋_GB2312" w:eastAsia="仿宋_GB2312" w:cs="Gungsuh" w:hAnsiTheme="minorEastAsia"/>
          <w:color w:val="auto"/>
          <w:sz w:val="32"/>
          <w:szCs w:val="32"/>
          <w:highlight w:val="none"/>
          <w:lang w:val="en-GB"/>
        </w:rPr>
        <w:t>本物业管理区域内发生《条例》第八十二条规定的应急维修情形，涉及全体业主的，可以</w:t>
      </w:r>
      <w:r>
        <w:rPr>
          <w:rFonts w:hint="eastAsia" w:ascii="仿宋_GB2312" w:eastAsia="仿宋_GB2312" w:cs="Gungsuh" w:hAnsiTheme="minorEastAsia"/>
          <w:color w:val="auto"/>
          <w:sz w:val="32"/>
          <w:szCs w:val="32"/>
          <w:highlight w:val="none"/>
        </w:rPr>
        <w:t>使用</w:t>
      </w:r>
      <w:r>
        <w:rPr>
          <w:rFonts w:hint="eastAsia" w:ascii="仿宋_GB2312" w:eastAsia="仿宋_GB2312" w:cs="Gungsuh" w:hAnsiTheme="minorEastAsia"/>
          <w:color w:val="auto"/>
          <w:sz w:val="32"/>
          <w:szCs w:val="32"/>
          <w:highlight w:val="none"/>
          <w:lang w:val="en-GB"/>
        </w:rPr>
        <w:t>业主共有资金（</w:t>
      </w:r>
      <w:r>
        <w:rPr>
          <w:rFonts w:hint="eastAsia" w:ascii="仿宋_GB2312" w:eastAsia="仿宋_GB2312" w:cs="Gungsuh" w:hAnsiTheme="minorEastAsia"/>
          <w:color w:val="auto"/>
          <w:sz w:val="32"/>
          <w:szCs w:val="32"/>
          <w:highlight w:val="none"/>
        </w:rPr>
        <w:t>含</w:t>
      </w:r>
      <w:r>
        <w:rPr>
          <w:rFonts w:hint="eastAsia" w:ascii="仿宋_GB2312" w:eastAsia="仿宋_GB2312" w:cs="Gungsuh" w:hAnsiTheme="minorEastAsia"/>
          <w:color w:val="auto"/>
          <w:sz w:val="32"/>
          <w:szCs w:val="32"/>
          <w:highlight w:val="none"/>
          <w:lang w:val="en-GB"/>
        </w:rPr>
        <w:t>物业专项维修资金）；涉及部分业主的，</w:t>
      </w:r>
      <w:r>
        <w:rPr>
          <w:rFonts w:hint="eastAsia" w:ascii="仿宋_GB2312" w:eastAsia="仿宋_GB2312" w:cs="Gungsuh" w:hAnsiTheme="minorEastAsia"/>
          <w:color w:val="auto"/>
          <w:sz w:val="32"/>
          <w:szCs w:val="32"/>
          <w:highlight w:val="none"/>
        </w:rPr>
        <w:t>原则上使用</w:t>
      </w:r>
      <w:r>
        <w:rPr>
          <w:rFonts w:hint="eastAsia" w:ascii="仿宋_GB2312" w:eastAsia="仿宋_GB2312" w:cs="Gungsuh" w:hAnsiTheme="minorEastAsia"/>
          <w:color w:val="auto"/>
          <w:sz w:val="32"/>
          <w:szCs w:val="32"/>
          <w:highlight w:val="none"/>
          <w:lang w:val="en-GB"/>
        </w:rPr>
        <w:t>物业专项维修资金，</w:t>
      </w:r>
      <w:r>
        <w:rPr>
          <w:rFonts w:hint="eastAsia" w:ascii="仿宋_GB2312" w:eastAsia="仿宋_GB2312" w:cs="Gungsuh" w:hAnsiTheme="minorEastAsia"/>
          <w:color w:val="auto"/>
          <w:sz w:val="32"/>
          <w:szCs w:val="32"/>
          <w:highlight w:val="none"/>
        </w:rPr>
        <w:t>物业专项维修资金不足的，由该部分业主自行筹集</w:t>
      </w:r>
      <w:r>
        <w:rPr>
          <w:rFonts w:hint="eastAsia" w:ascii="仿宋_GB2312" w:eastAsia="仿宋_GB2312" w:cs="Gungsuh" w:hAnsiTheme="minorEastAsia"/>
          <w:color w:val="auto"/>
          <w:sz w:val="32"/>
          <w:szCs w:val="32"/>
          <w:highlight w:val="none"/>
          <w:lang w:val="en-GB"/>
        </w:rPr>
        <w:t>。</w:t>
      </w:r>
    </w:p>
    <w:p>
      <w:pPr>
        <w:spacing w:line="360" w:lineRule="auto"/>
        <w:ind w:left="0" w:leftChars="0" w:right="210" w:rightChars="100" w:firstLine="642" w:firstLineChars="200"/>
        <w:rPr>
          <w:rFonts w:ascii="仿宋_GB2312" w:eastAsia="仿宋_GB2312" w:cs="Gungsuh" w:hAnsiTheme="minorEastAsia"/>
          <w:color w:val="auto"/>
          <w:sz w:val="32"/>
          <w:szCs w:val="32"/>
          <w:highlight w:val="none"/>
        </w:rPr>
      </w:pPr>
      <w:r>
        <w:rPr>
          <w:rFonts w:hint="eastAsia" w:ascii="仿宋_GB2312" w:eastAsia="仿宋_GB2312" w:cs="宋体" w:hAnsiTheme="minorEastAsia"/>
          <w:b/>
          <w:color w:val="auto"/>
          <w:sz w:val="32"/>
          <w:szCs w:val="32"/>
          <w:highlight w:val="none"/>
        </w:rPr>
        <w:t>第十</w:t>
      </w:r>
      <w:r>
        <w:rPr>
          <w:rFonts w:hint="eastAsia" w:ascii="仿宋_GB2312" w:eastAsia="仿宋_GB2312" w:cs="宋体" w:hAnsiTheme="minorEastAsia"/>
          <w:b/>
          <w:color w:val="auto"/>
          <w:sz w:val="32"/>
          <w:szCs w:val="32"/>
          <w:highlight w:val="none"/>
          <w:lang w:eastAsia="zh-CN"/>
        </w:rPr>
        <w:t>六</w:t>
      </w:r>
      <w:r>
        <w:rPr>
          <w:rFonts w:hint="eastAsia" w:ascii="仿宋_GB2312" w:eastAsia="仿宋_GB2312" w:cs="宋体" w:hAnsiTheme="minorEastAsia"/>
          <w:b/>
          <w:color w:val="auto"/>
          <w:sz w:val="32"/>
          <w:szCs w:val="32"/>
          <w:highlight w:val="none"/>
        </w:rPr>
        <w:t xml:space="preserve">条 </w:t>
      </w:r>
      <w:r>
        <w:rPr>
          <w:rFonts w:hint="eastAsia" w:ascii="仿宋_GB2312" w:eastAsia="仿宋_GB2312" w:cs="Gungsuh" w:hAnsiTheme="minorEastAsia"/>
          <w:color w:val="auto"/>
          <w:sz w:val="32"/>
          <w:szCs w:val="32"/>
          <w:highlight w:val="none"/>
        </w:rPr>
        <w:t>业主共有资金（除物业专项维修资金外）用于：</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（一）补充相应的物业专项维修资金；</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（二）支付业主委员会委员津贴、业主大会聘用机构或人员（如执行秘书、财务人员等）的费用；</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（三）支付物业服务费用；</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（四）业主大会会议决定的年度预算支出；</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（五）财务、审计、物业服务评估、聘请专业第三方机构等产生的费用；</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（六）业主大会会议决定或者依法应当支出的其他合法费用。</w:t>
      </w:r>
    </w:p>
    <w:p>
      <w:pPr>
        <w:spacing w:line="360" w:lineRule="auto"/>
        <w:ind w:left="0" w:leftChars="0" w:right="210" w:rightChars="100" w:firstLine="642" w:firstLineChars="200"/>
        <w:rPr>
          <w:rFonts w:ascii="仿宋_GB2312" w:eastAsia="仿宋_GB2312" w:cs="Gungsuh" w:hAnsiTheme="minorEastAsia"/>
          <w:color w:val="auto"/>
          <w:sz w:val="32"/>
          <w:szCs w:val="32"/>
          <w:highlight w:val="none"/>
        </w:rPr>
      </w:pPr>
      <w:r>
        <w:rPr>
          <w:rFonts w:hint="eastAsia" w:ascii="仿宋_GB2312" w:eastAsia="仿宋_GB2312" w:cs="宋体" w:hAnsiTheme="minorEastAsia"/>
          <w:b/>
          <w:color w:val="auto"/>
          <w:sz w:val="32"/>
          <w:szCs w:val="32"/>
          <w:highlight w:val="none"/>
        </w:rPr>
        <w:t>第十</w:t>
      </w:r>
      <w:r>
        <w:rPr>
          <w:rFonts w:hint="eastAsia" w:ascii="仿宋_GB2312" w:eastAsia="仿宋_GB2312" w:cs="宋体" w:hAnsiTheme="minorEastAsia"/>
          <w:b/>
          <w:color w:val="auto"/>
          <w:sz w:val="32"/>
          <w:szCs w:val="32"/>
          <w:highlight w:val="none"/>
          <w:lang w:eastAsia="zh-CN"/>
        </w:rPr>
        <w:t>七</w:t>
      </w:r>
      <w:r>
        <w:rPr>
          <w:rFonts w:hint="eastAsia" w:ascii="仿宋_GB2312" w:eastAsia="仿宋_GB2312" w:cs="宋体" w:hAnsiTheme="minorEastAsia"/>
          <w:b/>
          <w:color w:val="auto"/>
          <w:sz w:val="32"/>
          <w:szCs w:val="32"/>
          <w:highlight w:val="none"/>
        </w:rPr>
        <w:t xml:space="preserve">条 </w:t>
      </w:r>
      <w:r>
        <w:rPr>
          <w:rFonts w:hint="eastAsia" w:ascii="仿宋_GB2312" w:eastAsia="仿宋_GB2312" w:cs="宋体" w:hAnsiTheme="minorEastAsia"/>
          <w:b/>
          <w:color w:val="auto"/>
          <w:sz w:val="32"/>
          <w:szCs w:val="32"/>
          <w:highlight w:val="none"/>
          <w:lang w:val="en-US" w:eastAsia="zh-CN"/>
        </w:rPr>
        <w:t xml:space="preserve"> </w:t>
      </w:r>
      <w:r>
        <w:rPr>
          <w:rFonts w:hint="eastAsia" w:ascii="仿宋_GB2312" w:eastAsia="仿宋_GB2312" w:cs="Gungsuh" w:hAnsiTheme="minorEastAsia"/>
          <w:color w:val="auto"/>
          <w:sz w:val="32"/>
          <w:szCs w:val="32"/>
          <w:highlight w:val="none"/>
        </w:rPr>
        <w:t>业主大会或授权的物业服务企业与数据共享银行签署业主共有资金监管协议。</w:t>
      </w:r>
    </w:p>
    <w:p>
      <w:pPr>
        <w:spacing w:line="360" w:lineRule="auto"/>
        <w:ind w:right="210" w:rightChars="100"/>
        <w:rPr>
          <w:rFonts w:hint="eastAsia" w:ascii="仿宋_GB2312" w:eastAsia="仿宋_GB2312" w:cs="Gungsuh" w:hAnsiTheme="minorEastAsia"/>
          <w:color w:val="auto"/>
          <w:sz w:val="32"/>
          <w:szCs w:val="32"/>
          <w:highlight w:val="none"/>
          <w:lang w:eastAsia="zh-CN"/>
        </w:rPr>
      </w:pPr>
      <w:r>
        <w:rPr>
          <w:rFonts w:hint="eastAsia" w:ascii="仿宋_GB2312" w:eastAsia="仿宋_GB2312" w:cs="Gungsuh" w:hAnsiTheme="minorEastAsia"/>
          <w:vanish/>
          <w:color w:val="auto"/>
          <w:sz w:val="32"/>
          <w:szCs w:val="32"/>
          <w:highlight w:val="none"/>
        </w:rPr>
        <w:cr/>
      </w:r>
      <w:r>
        <w:rPr>
          <w:rFonts w:hint="eastAsia" w:ascii="仿宋_GB2312" w:eastAsia="仿宋_GB2312" w:cs="Gungsuh" w:hAnsiTheme="minorEastAsia"/>
          <w:vanish/>
          <w:color w:val="auto"/>
          <w:sz w:val="32"/>
          <w:szCs w:val="32"/>
          <w:highlight w:val="none"/>
          <w:lang w:eastAsia="zh-CN"/>
        </w:rPr>
        <w:t>（一）</w:t>
      </w:r>
      <w:r>
        <w:rPr>
          <w:rFonts w:hint="eastAsia" w:ascii="仿宋_GB2312" w:eastAsia="仿宋_GB2312" w:cs="Gungsuh" w:hAnsiTheme="minorEastAsia"/>
          <w:color w:val="auto"/>
          <w:sz w:val="32"/>
          <w:szCs w:val="32"/>
          <w:highlight w:val="none"/>
        </w:rPr>
        <w:t>单笔支出超过</w:t>
      </w:r>
      <w:r>
        <w:rPr>
          <w:rFonts w:hint="eastAsia" w:ascii="仿宋_GB2312" w:eastAsia="仿宋_GB2312" w:cs="Gungsuh" w:hAnsiTheme="minorEastAsia"/>
          <w:color w:val="auto"/>
          <w:sz w:val="32"/>
          <w:szCs w:val="32"/>
          <w:highlight w:val="none"/>
          <w:lang w:eastAsia="zh-CN"/>
        </w:rPr>
        <w:t>：</w:t>
      </w:r>
    </w:p>
    <w:p>
      <w:pPr>
        <w:spacing w:line="360" w:lineRule="auto"/>
        <w:ind w:right="210" w:rightChars="100"/>
        <w:rPr>
          <w:rFonts w:ascii="仿宋_GB2312" w:eastAsia="仿宋_GB2312" w:cs="Gungsuh" w:hAnsiTheme="minorEastAsia"/>
          <w:color w:val="auto"/>
          <w:sz w:val="32"/>
          <w:szCs w:val="32"/>
          <w:highlight w:val="none"/>
          <w:u w:val="none"/>
        </w:rPr>
      </w:pPr>
      <w:r>
        <w:rPr>
          <w:rFonts w:hint="eastAsia" w:ascii="仿宋_GB2312" w:eastAsia="仿宋_GB2312" w:cs="Times New Roman" w:hAnsiTheme="minorEastAsia"/>
          <w:color w:val="auto"/>
          <w:sz w:val="32"/>
          <w:szCs w:val="32"/>
          <w:highlight w:val="none"/>
        </w:rPr>
        <w:t>○</w:t>
      </w:r>
      <w:r>
        <w:rPr>
          <w:rFonts w:ascii="仿宋_GB2312" w:eastAsia="仿宋_GB2312" w:cs="Times New Roman" w:hAnsiTheme="minorEastAsia"/>
          <w:color w:val="auto"/>
          <w:sz w:val="32"/>
          <w:szCs w:val="32"/>
          <w:highlight w:val="none"/>
          <w:u w:val="single"/>
        </w:rPr>
        <w:t xml:space="preserve">   </w:t>
      </w:r>
      <w:r>
        <w:rPr>
          <w:rFonts w:ascii="仿宋_GB2312" w:eastAsia="仿宋_GB2312" w:cs="Gungsuh" w:hAnsiTheme="minorEastAsia"/>
          <w:color w:val="auto"/>
          <w:sz w:val="32"/>
          <w:szCs w:val="32"/>
          <w:highlight w:val="none"/>
          <w:u w:val="single"/>
        </w:rPr>
        <w:t xml:space="preserve">   </w:t>
      </w:r>
      <w:r>
        <w:rPr>
          <w:rFonts w:hint="eastAsia" w:ascii="仿宋_GB2312" w:eastAsia="仿宋_GB2312" w:cs="Gungsuh" w:hAnsiTheme="minorEastAsia"/>
          <w:color w:val="auto"/>
          <w:sz w:val="32"/>
          <w:szCs w:val="32"/>
          <w:highlight w:val="none"/>
          <w:u w:val="single"/>
          <w:lang w:val="en-US" w:eastAsia="zh-CN"/>
        </w:rPr>
        <w:t xml:space="preserve">  </w:t>
      </w:r>
      <w:r>
        <w:rPr>
          <w:rFonts w:ascii="仿宋_GB2312" w:eastAsia="仿宋_GB2312" w:cs="Gungsuh" w:hAnsiTheme="minorEastAsia"/>
          <w:color w:val="auto"/>
          <w:sz w:val="32"/>
          <w:szCs w:val="32"/>
          <w:highlight w:val="none"/>
          <w:u w:val="single"/>
        </w:rPr>
        <w:t xml:space="preserve">   </w:t>
      </w:r>
      <w:r>
        <w:rPr>
          <w:rFonts w:hint="eastAsia" w:ascii="仿宋_GB2312" w:eastAsia="仿宋_GB2312" w:cs="Gungsuh" w:hAnsiTheme="minorEastAsia"/>
          <w:color w:val="auto"/>
          <w:sz w:val="32"/>
          <w:szCs w:val="32"/>
          <w:highlight w:val="none"/>
        </w:rPr>
        <w:t xml:space="preserve">元 </w:t>
      </w:r>
      <w:r>
        <w:rPr>
          <w:rFonts w:hint="eastAsia" w:ascii="仿宋_GB2312" w:eastAsia="仿宋_GB2312" w:cs="Gungsuh" w:hAnsiTheme="minorEastAsia"/>
          <w:color w:val="auto"/>
          <w:sz w:val="32"/>
          <w:szCs w:val="32"/>
          <w:highlight w:val="none"/>
          <w:u w:val="none"/>
        </w:rPr>
        <w:t>（所填金额少于</w:t>
      </w:r>
      <w:r>
        <w:rPr>
          <w:rFonts w:ascii="仿宋_GB2312" w:eastAsia="仿宋_GB2312" w:cs="Gungsuh" w:hAnsiTheme="minorEastAsia"/>
          <w:color w:val="auto"/>
          <w:sz w:val="32"/>
          <w:szCs w:val="32"/>
          <w:highlight w:val="none"/>
          <w:u w:val="none"/>
        </w:rPr>
        <w:t>10万元）</w:t>
      </w:r>
    </w:p>
    <w:p>
      <w:pPr>
        <w:spacing w:line="360" w:lineRule="auto"/>
        <w:ind w:right="210" w:rightChars="100"/>
        <w:rPr>
          <w:rFonts w:hint="eastAsia" w:ascii="仿宋_GB2312" w:eastAsia="仿宋_GB2312" w:cs="Times New Roman" w:hAnsiTheme="minorEastAsia"/>
          <w:color w:val="auto"/>
          <w:sz w:val="32"/>
          <w:szCs w:val="32"/>
          <w:highlight w:val="none"/>
        </w:rPr>
      </w:pPr>
      <w:r>
        <w:rPr>
          <w:rFonts w:hint="eastAsia" w:ascii="仿宋_GB2312" w:eastAsia="仿宋_GB2312" w:cs="Times New Roman" w:hAnsiTheme="minorEastAsia"/>
          <w:color w:val="auto"/>
          <w:sz w:val="32"/>
          <w:szCs w:val="32"/>
          <w:highlight w:val="none"/>
        </w:rPr>
        <w:t>○10万元（包含10万元）的资金转账</w:t>
      </w:r>
    </w:p>
    <w:p>
      <w:pPr>
        <w:ind w:right="210" w:rightChars="100"/>
        <w:rPr>
          <w:rFonts w:hint="eastAsia" w:ascii="仿宋_GB2312" w:eastAsia="仿宋_GB2312" w:cs="Times New Roman" w:hAnsiTheme="minorEastAsia"/>
          <w:color w:val="auto"/>
          <w:sz w:val="32"/>
          <w:szCs w:val="32"/>
          <w:highlight w:val="none"/>
        </w:rPr>
      </w:pPr>
      <w:r>
        <w:rPr>
          <w:rFonts w:hint="eastAsia" w:ascii="仿宋_GB2312" w:eastAsia="仿宋_GB2312" w:cs="Times New Roman" w:hAnsiTheme="minorEastAsia"/>
          <w:color w:val="auto"/>
          <w:sz w:val="32"/>
          <w:szCs w:val="32"/>
          <w:highlight w:val="none"/>
        </w:rPr>
        <w:t>（</w:t>
      </w:r>
      <w:r>
        <w:rPr>
          <w:rFonts w:hint="eastAsia" w:ascii="仿宋_GB2312" w:eastAsia="仿宋_GB2312" w:cs="Times New Roman" w:hAnsiTheme="minorEastAsia"/>
          <w:color w:val="auto"/>
          <w:sz w:val="32"/>
          <w:szCs w:val="32"/>
          <w:highlight w:val="none"/>
          <w:lang w:eastAsia="zh-CN"/>
        </w:rPr>
        <w:t>二</w:t>
      </w:r>
      <w:r>
        <w:rPr>
          <w:rFonts w:hint="eastAsia" w:ascii="仿宋_GB2312" w:eastAsia="仿宋_GB2312" w:cs="Times New Roman" w:hAnsiTheme="minorEastAsia"/>
          <w:color w:val="auto"/>
          <w:sz w:val="32"/>
          <w:szCs w:val="32"/>
          <w:highlight w:val="none"/>
        </w:rPr>
        <w:t>）</w:t>
      </w:r>
      <w:r>
        <w:rPr>
          <w:rFonts w:hint="eastAsia" w:ascii="仿宋_GB2312" w:eastAsia="仿宋_GB2312" w:cs="Times New Roman" w:hAnsiTheme="minorEastAsia"/>
          <w:color w:val="auto"/>
          <w:sz w:val="32"/>
          <w:szCs w:val="32"/>
          <w:highlight w:val="none"/>
          <w:lang w:eastAsia="zh-CN"/>
        </w:rPr>
        <w:t>基于以下原因所作出的支付</w:t>
      </w:r>
    </w:p>
    <w:p>
      <w:pPr>
        <w:ind w:right="210" w:rightChars="100"/>
        <w:rPr>
          <w:rFonts w:hint="eastAsia" w:ascii="仿宋_GB2312" w:eastAsia="仿宋_GB2312" w:cs="Times New Roman" w:hAnsiTheme="minorEastAsia"/>
          <w:color w:val="auto"/>
          <w:sz w:val="32"/>
          <w:szCs w:val="32"/>
          <w:highlight w:val="none"/>
          <w:lang w:eastAsia="zh-CN"/>
        </w:rPr>
      </w:pPr>
      <w:r>
        <w:rPr>
          <w:rFonts w:hint="eastAsia" w:ascii="仿宋_GB2312" w:eastAsia="仿宋_GB2312" w:cs="Times New Roman" w:hAnsiTheme="minorEastAsia"/>
          <w:color w:val="auto"/>
          <w:sz w:val="32"/>
          <w:szCs w:val="32"/>
          <w:highlight w:val="none"/>
        </w:rPr>
        <w:t>□</w:t>
      </w:r>
      <w:r>
        <w:rPr>
          <w:rFonts w:hint="eastAsia" w:ascii="仿宋_GB2312" w:eastAsia="仿宋_GB2312" w:cs="Times New Roman" w:hAnsiTheme="minorEastAsia"/>
          <w:color w:val="auto"/>
          <w:sz w:val="32"/>
          <w:szCs w:val="32"/>
          <w:highlight w:val="none"/>
          <w:lang w:eastAsia="zh-CN"/>
        </w:rPr>
        <w:t>对共有物业部分及设施设备改造、维修、运行、保养</w:t>
      </w:r>
    </w:p>
    <w:p>
      <w:pPr>
        <w:ind w:right="210" w:rightChars="100"/>
        <w:rPr>
          <w:rFonts w:hint="eastAsia" w:ascii="仿宋_GB2312" w:eastAsia="仿宋_GB2312" w:cs="Times New Roman" w:hAnsiTheme="minorEastAsia"/>
          <w:color w:val="auto"/>
          <w:sz w:val="32"/>
          <w:szCs w:val="32"/>
          <w:highlight w:val="none"/>
        </w:rPr>
      </w:pPr>
      <w:r>
        <w:rPr>
          <w:rFonts w:hint="eastAsia" w:ascii="仿宋_GB2312" w:eastAsia="仿宋_GB2312" w:cs="Times New Roman" w:hAnsiTheme="minorEastAsia"/>
          <w:color w:val="auto"/>
          <w:sz w:val="32"/>
          <w:szCs w:val="32"/>
          <w:highlight w:val="none"/>
        </w:rPr>
        <w:t>□</w:t>
      </w:r>
      <w:r>
        <w:rPr>
          <w:rFonts w:hint="eastAsia" w:ascii="仿宋_GB2312" w:eastAsia="仿宋_GB2312" w:cs="Times New Roman" w:hAnsiTheme="minorEastAsia"/>
          <w:color w:val="auto"/>
          <w:sz w:val="32"/>
          <w:szCs w:val="32"/>
          <w:highlight w:val="none"/>
          <w:lang w:eastAsia="zh-CN"/>
        </w:rPr>
        <w:t>为履行判决书、裁定书、裁决书等生效法律文书所确定的给付义务</w:t>
      </w:r>
      <w:r>
        <w:rPr>
          <w:rFonts w:hint="eastAsia" w:ascii="仿宋_GB2312" w:eastAsia="仿宋_GB2312" w:cs="Times New Roman" w:hAnsiTheme="minorEastAsia"/>
          <w:color w:val="auto"/>
          <w:sz w:val="32"/>
          <w:szCs w:val="32"/>
          <w:highlight w:val="none"/>
        </w:rPr>
        <w:t>；</w:t>
      </w:r>
    </w:p>
    <w:p>
      <w:pPr>
        <w:ind w:right="210" w:rightChars="100"/>
        <w:rPr>
          <w:rFonts w:hint="eastAsia" w:ascii="仿宋_GB2312" w:eastAsia="仿宋_GB2312" w:cs="Times New Roman" w:hAnsiTheme="minorEastAsia"/>
          <w:color w:val="auto"/>
          <w:sz w:val="32"/>
          <w:szCs w:val="32"/>
          <w:highlight w:val="none"/>
          <w:u w:val="single"/>
        </w:rPr>
      </w:pPr>
      <w:r>
        <w:rPr>
          <w:rFonts w:hint="eastAsia" w:ascii="仿宋_GB2312" w:eastAsia="仿宋_GB2312" w:cs="Times New Roman" w:hAnsiTheme="minorEastAsia"/>
          <w:color w:val="auto"/>
          <w:sz w:val="32"/>
          <w:szCs w:val="32"/>
          <w:highlight w:val="none"/>
        </w:rPr>
        <w:t>□</w:t>
      </w:r>
      <w:r>
        <w:rPr>
          <w:rFonts w:hint="eastAsia" w:ascii="仿宋_GB2312" w:eastAsia="仿宋_GB2312" w:cs="Times New Roman" w:hAnsiTheme="minorEastAsia"/>
          <w:color w:val="auto"/>
          <w:sz w:val="32"/>
          <w:szCs w:val="32"/>
          <w:highlight w:val="none"/>
          <w:u w:val="single"/>
        </w:rPr>
        <w:t xml:space="preserve"> </w:t>
      </w:r>
      <w:r>
        <w:rPr>
          <w:rFonts w:hint="eastAsia" w:ascii="仿宋_GB2312" w:eastAsia="仿宋_GB2312" w:cs="Times New Roman" w:hAnsiTheme="minorEastAsia"/>
          <w:color w:val="auto"/>
          <w:sz w:val="32"/>
          <w:szCs w:val="32"/>
          <w:highlight w:val="none"/>
          <w:u w:val="single"/>
          <w:lang w:eastAsia="zh-CN"/>
        </w:rPr>
        <w:t>进行应急维修</w:t>
      </w:r>
      <w:r>
        <w:rPr>
          <w:rFonts w:hint="eastAsia" w:ascii="仿宋_GB2312" w:eastAsia="仿宋_GB2312" w:cs="Times New Roman" w:hAnsiTheme="minorEastAsia"/>
          <w:color w:val="auto"/>
          <w:sz w:val="32"/>
          <w:szCs w:val="32"/>
          <w:highlight w:val="none"/>
          <w:u w:val="single"/>
        </w:rPr>
        <w:t xml:space="preserve">  </w:t>
      </w:r>
    </w:p>
    <w:p>
      <w:pPr>
        <w:ind w:right="210" w:rightChars="100"/>
        <w:rPr>
          <w:rFonts w:hint="default" w:ascii="仿宋_GB2312" w:eastAsia="仿宋_GB2312" w:cs="Times New Roman" w:hAnsiTheme="minorEastAsia"/>
          <w:color w:val="auto"/>
          <w:sz w:val="32"/>
          <w:szCs w:val="32"/>
          <w:highlight w:val="none"/>
          <w:u w:val="single"/>
        </w:rPr>
      </w:pPr>
      <w:r>
        <w:rPr>
          <w:rFonts w:hint="eastAsia" w:ascii="仿宋_GB2312" w:eastAsia="仿宋_GB2312" w:cs="Times New Roman" w:hAnsiTheme="minorEastAsia"/>
          <w:color w:val="auto"/>
          <w:sz w:val="32"/>
          <w:szCs w:val="32"/>
          <w:highlight w:val="none"/>
        </w:rPr>
        <w:t xml:space="preserve">□ </w:t>
      </w:r>
      <w:r>
        <w:rPr>
          <w:rFonts w:hint="eastAsia" w:ascii="仿宋_GB2312" w:eastAsia="仿宋_GB2312" w:cs="Times New Roman" w:hAnsiTheme="minorEastAsia"/>
          <w:color w:val="auto"/>
          <w:sz w:val="32"/>
          <w:szCs w:val="32"/>
          <w:highlight w:val="none"/>
          <w:u w:val="single"/>
          <w:lang w:val="en-US" w:eastAsia="zh-CN"/>
        </w:rPr>
        <w:t xml:space="preserve">                           </w:t>
      </w:r>
    </w:p>
    <w:p>
      <w:pPr>
        <w:spacing w:line="360" w:lineRule="auto"/>
        <w:ind w:right="210" w:rightChars="1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必须由业主委员会或授权的物业服务企业将支出项目的支付对方、支付原因、是否经过业主大会表决通过等情况在物业管理信息平台上公示，数据共享银行在支出时未查询到公示信息不可继续转账。</w:t>
      </w:r>
    </w:p>
    <w:p>
      <w:pPr>
        <w:spacing w:line="360" w:lineRule="auto"/>
        <w:ind w:left="0" w:leftChars="0" w:right="210" w:rightChars="100" w:firstLine="642" w:firstLineChars="200"/>
        <w:rPr>
          <w:rFonts w:hint="eastAsia" w:ascii="仿宋_GB2312" w:eastAsia="仿宋_GB2312" w:cs="Gungsuh" w:hAnsiTheme="minorEastAsia"/>
          <w:color w:val="auto"/>
          <w:sz w:val="32"/>
          <w:szCs w:val="32"/>
          <w:highlight w:val="none"/>
        </w:rPr>
      </w:pPr>
      <w:r>
        <w:rPr>
          <w:rFonts w:hint="eastAsia" w:ascii="仿宋_GB2312" w:eastAsia="仿宋_GB2312" w:cs="宋体" w:hAnsiTheme="minorEastAsia"/>
          <w:b/>
          <w:color w:val="auto"/>
          <w:sz w:val="32"/>
          <w:szCs w:val="32"/>
          <w:highlight w:val="none"/>
        </w:rPr>
        <w:t>第</w:t>
      </w:r>
      <w:r>
        <w:rPr>
          <w:rFonts w:hint="eastAsia" w:ascii="仿宋_GB2312" w:eastAsia="仿宋_GB2312" w:cs="宋体" w:hAnsiTheme="minorEastAsia"/>
          <w:b/>
          <w:color w:val="auto"/>
          <w:sz w:val="32"/>
          <w:szCs w:val="32"/>
          <w:highlight w:val="none"/>
          <w:lang w:eastAsia="zh-CN"/>
        </w:rPr>
        <w:t>十八</w:t>
      </w:r>
      <w:r>
        <w:rPr>
          <w:rFonts w:hint="eastAsia" w:ascii="仿宋_GB2312" w:eastAsia="仿宋_GB2312" w:cs="宋体" w:hAnsiTheme="minorEastAsia"/>
          <w:b/>
          <w:color w:val="auto"/>
          <w:sz w:val="32"/>
          <w:szCs w:val="32"/>
          <w:highlight w:val="none"/>
        </w:rPr>
        <w:t xml:space="preserve">条 </w:t>
      </w:r>
      <w:r>
        <w:rPr>
          <w:rFonts w:hint="eastAsia" w:ascii="仿宋_GB2312" w:eastAsia="仿宋_GB2312" w:cs="宋体" w:hAnsiTheme="minorEastAsia"/>
          <w:b/>
          <w:color w:val="auto"/>
          <w:sz w:val="32"/>
          <w:szCs w:val="32"/>
          <w:highlight w:val="none"/>
          <w:lang w:val="en-US" w:eastAsia="zh-CN"/>
        </w:rPr>
        <w:t xml:space="preserve"> </w:t>
      </w:r>
      <w:r>
        <w:rPr>
          <w:rFonts w:hint="eastAsia" w:ascii="仿宋_GB2312" w:eastAsia="仿宋_GB2312" w:cs="Gungsuh" w:hAnsiTheme="minorEastAsia"/>
          <w:color w:val="auto"/>
          <w:sz w:val="32"/>
          <w:szCs w:val="32"/>
          <w:highlight w:val="none"/>
        </w:rPr>
        <w:t>业主大会应当依照国家相关法律、法规、规章等规定建立健全</w:t>
      </w:r>
      <w:r>
        <w:rPr>
          <w:rFonts w:hint="eastAsia" w:ascii="仿宋_GB2312" w:eastAsia="仿宋_GB2312" w:cs="Gungsuh" w:hAnsiTheme="minorEastAsia"/>
          <w:color w:val="auto"/>
          <w:sz w:val="32"/>
          <w:szCs w:val="32"/>
          <w:highlight w:val="none"/>
          <w:lang w:eastAsia="zh-CN"/>
        </w:rPr>
        <w:t>业主</w:t>
      </w:r>
      <w:r>
        <w:rPr>
          <w:rFonts w:hint="eastAsia" w:ascii="仿宋_GB2312" w:eastAsia="仿宋_GB2312" w:cs="Gungsuh" w:hAnsiTheme="minorEastAsia"/>
          <w:color w:val="auto"/>
          <w:sz w:val="32"/>
          <w:szCs w:val="32"/>
          <w:highlight w:val="none"/>
        </w:rPr>
        <w:t>共有资金财务管理制度，保证资金安全。业主大会应当建立业主共有资金财务档案，由业主委员会聘请具有相应从业资格的财务管理人员或委托专业机构健全账簿，妥善保管财务原始凭证及相关会计资料，指定专人保管。管理人员变更的，应当及时移交保管的财务档案。</w:t>
      </w:r>
    </w:p>
    <w:p>
      <w:pPr>
        <w:spacing w:line="360" w:lineRule="auto"/>
        <w:ind w:right="210" w:rightChars="1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 xml:space="preserve">    本物业管理区域不得</w:t>
      </w:r>
      <w:r>
        <w:rPr>
          <w:rFonts w:hint="eastAsia" w:ascii="仿宋_GB2312" w:eastAsia="仿宋_GB2312" w:cs="Gungsuh" w:hAnsiTheme="minorEastAsia"/>
          <w:color w:val="auto"/>
          <w:sz w:val="32"/>
          <w:szCs w:val="32"/>
          <w:highlight w:val="none"/>
          <w:lang w:eastAsia="zh-CN"/>
        </w:rPr>
        <w:t>聘请</w:t>
      </w:r>
      <w:r>
        <w:rPr>
          <w:rFonts w:hint="eastAsia" w:ascii="仿宋_GB2312" w:eastAsia="仿宋_GB2312" w:cs="Gungsuh" w:hAnsiTheme="minorEastAsia"/>
          <w:color w:val="auto"/>
          <w:sz w:val="32"/>
          <w:szCs w:val="32"/>
          <w:highlight w:val="none"/>
        </w:rPr>
        <w:t>有违法记录的机构或财务人员。</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任何个人和单位不得转移、隐匿、篡改、毁弃会计凭证、会计账簿、财务会计报告以及其他与财务收支有关的资料。</w:t>
      </w:r>
    </w:p>
    <w:p>
      <w:pPr>
        <w:spacing w:line="360" w:lineRule="auto"/>
        <w:ind w:left="0" w:leftChars="0" w:right="210" w:rightChars="100" w:firstLine="642" w:firstLineChars="200"/>
        <w:rPr>
          <w:rFonts w:ascii="仿宋_GB2312" w:eastAsia="仿宋_GB2312" w:cs="Gungsuh" w:hAnsiTheme="minorEastAsia"/>
          <w:color w:val="auto"/>
          <w:sz w:val="32"/>
          <w:szCs w:val="32"/>
          <w:highlight w:val="none"/>
        </w:rPr>
      </w:pPr>
      <w:r>
        <w:rPr>
          <w:rFonts w:hint="eastAsia" w:ascii="仿宋_GB2312" w:eastAsia="仿宋_GB2312" w:cs="宋体" w:hAnsiTheme="minorEastAsia"/>
          <w:b/>
          <w:color w:val="auto"/>
          <w:sz w:val="32"/>
          <w:szCs w:val="32"/>
          <w:highlight w:val="none"/>
        </w:rPr>
        <w:t>第十</w:t>
      </w:r>
      <w:r>
        <w:rPr>
          <w:rFonts w:hint="eastAsia" w:ascii="仿宋_GB2312" w:eastAsia="仿宋_GB2312" w:cs="宋体" w:hAnsiTheme="minorEastAsia"/>
          <w:b/>
          <w:color w:val="auto"/>
          <w:sz w:val="32"/>
          <w:szCs w:val="32"/>
          <w:highlight w:val="none"/>
          <w:lang w:eastAsia="zh-CN"/>
        </w:rPr>
        <w:t>九</w:t>
      </w:r>
      <w:r>
        <w:rPr>
          <w:rFonts w:hint="eastAsia" w:ascii="仿宋_GB2312" w:eastAsia="仿宋_GB2312" w:cs="宋体" w:hAnsiTheme="minorEastAsia"/>
          <w:b/>
          <w:color w:val="auto"/>
          <w:sz w:val="32"/>
          <w:szCs w:val="32"/>
          <w:highlight w:val="none"/>
        </w:rPr>
        <w:t>条</w:t>
      </w:r>
      <w:r>
        <w:rPr>
          <w:rFonts w:hint="eastAsia" w:ascii="仿宋_GB2312" w:eastAsia="仿宋_GB2312" w:cs="宋体" w:hAnsiTheme="minorEastAsia"/>
          <w:b/>
          <w:color w:val="auto"/>
          <w:sz w:val="32"/>
          <w:szCs w:val="32"/>
          <w:highlight w:val="none"/>
          <w:lang w:val="en-US" w:eastAsia="zh-CN"/>
        </w:rPr>
        <w:t xml:space="preserve"> </w:t>
      </w:r>
      <w:r>
        <w:rPr>
          <w:rFonts w:hint="eastAsia" w:ascii="仿宋_GB2312" w:eastAsia="仿宋_GB2312" w:cs="Gungsuh" w:hAnsiTheme="minorEastAsia"/>
          <w:color w:val="auto"/>
          <w:sz w:val="32"/>
          <w:szCs w:val="32"/>
          <w:highlight w:val="none"/>
        </w:rPr>
        <w:t>本物业管理区域日常收取的专项维修资金：</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Times New Roman" w:hAnsiTheme="minorEastAsia"/>
          <w:color w:val="auto"/>
          <w:sz w:val="32"/>
          <w:szCs w:val="32"/>
          <w:highlight w:val="none"/>
        </w:rPr>
        <w:t>○</w:t>
      </w:r>
      <w:r>
        <w:rPr>
          <w:rFonts w:hint="eastAsia" w:ascii="仿宋_GB2312" w:eastAsia="仿宋_GB2312" w:cs="Gungsuh" w:hAnsiTheme="minorEastAsia"/>
          <w:color w:val="auto"/>
          <w:sz w:val="32"/>
          <w:szCs w:val="32"/>
          <w:highlight w:val="none"/>
        </w:rPr>
        <w:t>按月存入物业专项维修资金专户，由市物业专项维修资金管理机构统一管理。</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Times New Roman" w:hAnsiTheme="minorEastAsia"/>
          <w:color w:val="auto"/>
          <w:sz w:val="32"/>
          <w:szCs w:val="32"/>
          <w:highlight w:val="none"/>
        </w:rPr>
        <w:t>○</w:t>
      </w:r>
      <w:r>
        <w:rPr>
          <w:rFonts w:hint="eastAsia" w:ascii="仿宋_GB2312" w:eastAsia="仿宋_GB2312" w:cs="Gungsuh" w:hAnsiTheme="minorEastAsia"/>
          <w:color w:val="auto"/>
          <w:sz w:val="32"/>
          <w:szCs w:val="32"/>
          <w:highlight w:val="none"/>
        </w:rPr>
        <w:t xml:space="preserve">存入业主共有资金基本账户，由业主大会依法自行管理。 </w:t>
      </w:r>
    </w:p>
    <w:p>
      <w:pPr>
        <w:spacing w:line="360" w:lineRule="auto"/>
        <w:ind w:left="0" w:leftChars="0" w:right="210" w:rightChars="100" w:firstLine="642" w:firstLineChars="200"/>
        <w:rPr>
          <w:rFonts w:ascii="仿宋_GB2312" w:eastAsia="仿宋_GB2312" w:cs="Gungsuh" w:hAnsiTheme="minorEastAsia"/>
          <w:color w:val="auto"/>
          <w:sz w:val="32"/>
          <w:szCs w:val="32"/>
          <w:highlight w:val="none"/>
        </w:rPr>
      </w:pPr>
      <w:r>
        <w:rPr>
          <w:rFonts w:hint="eastAsia" w:ascii="仿宋_GB2312" w:eastAsia="仿宋_GB2312" w:cs="宋体" w:hAnsiTheme="minorEastAsia"/>
          <w:b/>
          <w:color w:val="auto"/>
          <w:sz w:val="32"/>
          <w:szCs w:val="32"/>
          <w:highlight w:val="none"/>
        </w:rPr>
        <w:t xml:space="preserve">第二十条 </w:t>
      </w:r>
      <w:r>
        <w:rPr>
          <w:rFonts w:hint="eastAsia" w:ascii="仿宋_GB2312" w:eastAsia="仿宋_GB2312" w:cs="宋体" w:hAnsiTheme="minorEastAsia"/>
          <w:b/>
          <w:color w:val="auto"/>
          <w:sz w:val="32"/>
          <w:szCs w:val="32"/>
          <w:highlight w:val="none"/>
          <w:lang w:val="en-US" w:eastAsia="zh-CN"/>
        </w:rPr>
        <w:t xml:space="preserve"> </w:t>
      </w:r>
      <w:r>
        <w:rPr>
          <w:rFonts w:hint="eastAsia" w:ascii="仿宋_GB2312" w:eastAsia="仿宋_GB2312" w:cs="Gungsuh" w:hAnsiTheme="minorEastAsia"/>
          <w:color w:val="auto"/>
          <w:sz w:val="32"/>
          <w:szCs w:val="32"/>
          <w:highlight w:val="none"/>
        </w:rPr>
        <w:t>本物业管理区域业主共有资金除银行储蓄或依法购买国债外，不得用于其他投资，不得借贷给他人或者为他人提供担保。</w:t>
      </w:r>
    </w:p>
    <w:p>
      <w:pPr>
        <w:spacing w:line="360" w:lineRule="auto"/>
        <w:ind w:left="0" w:leftChars="0" w:right="210" w:rightChars="100" w:firstLine="642" w:firstLineChars="200"/>
        <w:rPr>
          <w:rFonts w:ascii="仿宋_GB2312" w:eastAsia="仿宋_GB2312" w:cs="Gungsuh" w:hAnsiTheme="minorEastAsia"/>
          <w:color w:val="auto"/>
          <w:sz w:val="32"/>
          <w:szCs w:val="32"/>
          <w:highlight w:val="none"/>
        </w:rPr>
      </w:pPr>
      <w:r>
        <w:rPr>
          <w:rFonts w:hint="eastAsia" w:ascii="仿宋_GB2312" w:eastAsia="仿宋_GB2312" w:cs="宋体" w:hAnsiTheme="minorEastAsia"/>
          <w:b/>
          <w:color w:val="auto"/>
          <w:sz w:val="32"/>
          <w:szCs w:val="32"/>
          <w:highlight w:val="none"/>
          <w:lang w:val="en-GB"/>
        </w:rPr>
        <w:t>第二十</w:t>
      </w:r>
      <w:r>
        <w:rPr>
          <w:rFonts w:hint="eastAsia" w:ascii="仿宋_GB2312" w:eastAsia="仿宋_GB2312" w:cs="宋体" w:hAnsiTheme="minorEastAsia"/>
          <w:b/>
          <w:color w:val="auto"/>
          <w:sz w:val="32"/>
          <w:szCs w:val="32"/>
          <w:highlight w:val="none"/>
          <w:lang w:val="en-GB" w:eastAsia="zh-CN"/>
        </w:rPr>
        <w:t>一</w:t>
      </w:r>
      <w:r>
        <w:rPr>
          <w:rFonts w:hint="eastAsia" w:ascii="仿宋_GB2312" w:eastAsia="仿宋_GB2312" w:cs="宋体" w:hAnsiTheme="minorEastAsia"/>
          <w:b/>
          <w:color w:val="auto"/>
          <w:sz w:val="32"/>
          <w:szCs w:val="32"/>
          <w:highlight w:val="none"/>
          <w:lang w:val="en-GB"/>
        </w:rPr>
        <w:t xml:space="preserve">条 </w:t>
      </w:r>
      <w:r>
        <w:rPr>
          <w:rFonts w:hint="eastAsia" w:ascii="仿宋_GB2312" w:eastAsia="仿宋_GB2312" w:cs="宋体" w:hAnsiTheme="minorEastAsia"/>
          <w:b/>
          <w:color w:val="auto"/>
          <w:sz w:val="32"/>
          <w:szCs w:val="32"/>
          <w:highlight w:val="none"/>
          <w:lang w:val="en-US" w:eastAsia="zh-CN"/>
        </w:rPr>
        <w:t xml:space="preserve"> </w:t>
      </w:r>
      <w:r>
        <w:rPr>
          <w:rFonts w:hint="eastAsia" w:ascii="仿宋_GB2312" w:eastAsia="仿宋_GB2312" w:cs="Gungsuh" w:hAnsiTheme="minorEastAsia"/>
          <w:color w:val="auto"/>
          <w:sz w:val="32"/>
          <w:szCs w:val="32"/>
          <w:highlight w:val="none"/>
        </w:rPr>
        <w:t>本物业管理区域由业主委员会或委托</w:t>
      </w:r>
      <w:r>
        <w:rPr>
          <w:rFonts w:hint="eastAsia" w:ascii="仿宋_GB2312" w:eastAsia="仿宋_GB2312" w:cs="Gungsuh" w:hAnsiTheme="minorEastAsia"/>
          <w:color w:val="auto"/>
          <w:sz w:val="32"/>
          <w:szCs w:val="32"/>
          <w:highlight w:val="none"/>
          <w:lang w:val="en-GB"/>
        </w:rPr>
        <w:t>物业服务企业（其他管理人）制定的年度预算，</w:t>
      </w:r>
      <w:r>
        <w:rPr>
          <w:rFonts w:hint="eastAsia" w:ascii="仿宋_GB2312" w:eastAsia="仿宋_GB2312" w:cs="Gungsuh" w:hAnsiTheme="minorEastAsia"/>
          <w:color w:val="auto"/>
          <w:sz w:val="32"/>
          <w:szCs w:val="32"/>
          <w:highlight w:val="none"/>
        </w:rPr>
        <w:t>经业主大会表决通过后，按</w:t>
      </w:r>
      <w:r>
        <w:rPr>
          <w:rFonts w:hint="eastAsia" w:ascii="仿宋_GB2312" w:eastAsia="仿宋_GB2312" w:cs="Gungsuh" w:hAnsiTheme="minorEastAsia"/>
          <w:color w:val="auto"/>
          <w:sz w:val="32"/>
          <w:szCs w:val="32"/>
          <w:highlight w:val="none"/>
          <w:lang w:eastAsia="zh-CN"/>
        </w:rPr>
        <w:t>规定</w:t>
      </w:r>
      <w:r>
        <w:rPr>
          <w:rFonts w:hint="eastAsia" w:ascii="仿宋_GB2312" w:eastAsia="仿宋_GB2312" w:cs="Gungsuh" w:hAnsiTheme="minorEastAsia"/>
          <w:color w:val="auto"/>
          <w:sz w:val="32"/>
          <w:szCs w:val="32"/>
          <w:highlight w:val="none"/>
          <w:lang w:val="en-GB"/>
        </w:rPr>
        <w:t>支</w:t>
      </w:r>
      <w:r>
        <w:rPr>
          <w:rFonts w:hint="eastAsia" w:ascii="仿宋_GB2312" w:eastAsia="仿宋_GB2312" w:cs="Gungsuh" w:hAnsiTheme="minorEastAsia"/>
          <w:color w:val="auto"/>
          <w:sz w:val="32"/>
          <w:szCs w:val="32"/>
          <w:highlight w:val="none"/>
        </w:rPr>
        <w:t>付</w:t>
      </w:r>
      <w:r>
        <w:rPr>
          <w:rFonts w:hint="eastAsia" w:ascii="仿宋_GB2312" w:eastAsia="仿宋_GB2312" w:cs="Gungsuh" w:hAnsiTheme="minorEastAsia"/>
          <w:color w:val="auto"/>
          <w:sz w:val="32"/>
          <w:szCs w:val="32"/>
          <w:highlight w:val="none"/>
          <w:lang w:val="en-GB"/>
        </w:rPr>
        <w:t>。</w:t>
      </w:r>
      <w:r>
        <w:rPr>
          <w:rFonts w:hint="eastAsia" w:ascii="仿宋_GB2312" w:eastAsia="仿宋_GB2312" w:cs="Gungsuh" w:hAnsiTheme="minorEastAsia"/>
          <w:color w:val="auto"/>
          <w:sz w:val="32"/>
          <w:szCs w:val="32"/>
          <w:highlight w:val="none"/>
        </w:rPr>
        <w:t>具体</w:t>
      </w:r>
      <w:r>
        <w:rPr>
          <w:rFonts w:hint="eastAsia" w:ascii="仿宋_GB2312" w:eastAsia="仿宋_GB2312" w:cs="Gungsuh" w:hAnsiTheme="minorEastAsia"/>
          <w:color w:val="auto"/>
          <w:sz w:val="32"/>
          <w:szCs w:val="32"/>
          <w:highlight w:val="none"/>
          <w:lang w:eastAsia="zh-CN"/>
        </w:rPr>
        <w:t>流程</w:t>
      </w:r>
      <w:r>
        <w:rPr>
          <w:rFonts w:hint="eastAsia" w:ascii="仿宋_GB2312" w:eastAsia="仿宋_GB2312" w:cs="Gungsuh" w:hAnsiTheme="minorEastAsia"/>
          <w:color w:val="auto"/>
          <w:sz w:val="32"/>
          <w:szCs w:val="32"/>
          <w:highlight w:val="none"/>
        </w:rPr>
        <w:t>为：</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lang w:val="en-GB"/>
        </w:rPr>
        <w:t>（一）</w:t>
      </w:r>
      <w:r>
        <w:rPr>
          <w:rFonts w:hint="eastAsia" w:ascii="仿宋_GB2312" w:eastAsia="仿宋_GB2312" w:cs="Gungsuh" w:hAnsiTheme="minorEastAsia"/>
          <w:color w:val="auto"/>
          <w:sz w:val="32"/>
          <w:szCs w:val="32"/>
          <w:highlight w:val="none"/>
        </w:rPr>
        <w:t>制定预算</w:t>
      </w:r>
    </w:p>
    <w:p>
      <w:pPr>
        <w:spacing w:line="360" w:lineRule="auto"/>
        <w:ind w:right="210" w:rightChars="100" w:firstLine="640" w:firstLineChars="200"/>
        <w:rPr>
          <w:rFonts w:hint="eastAsia" w:ascii="仿宋_GB2312" w:eastAsia="仿宋_GB2312" w:cs="Gungsuh" w:hAnsiTheme="minorEastAsia"/>
          <w:color w:val="auto"/>
          <w:sz w:val="32"/>
          <w:szCs w:val="32"/>
          <w:highlight w:val="none"/>
          <w:lang w:val="en-GB"/>
        </w:rPr>
      </w:pPr>
      <w:r>
        <w:rPr>
          <w:rFonts w:hint="eastAsia" w:ascii="仿宋_GB2312" w:eastAsia="仿宋_GB2312" w:cs="Gungsuh" w:hAnsiTheme="minorEastAsia"/>
          <w:color w:val="auto"/>
          <w:sz w:val="32"/>
          <w:szCs w:val="32"/>
          <w:highlight w:val="none"/>
          <w:lang w:val="en-GB"/>
        </w:rPr>
        <w:t>业主委员会</w:t>
      </w:r>
      <w:r>
        <w:rPr>
          <w:rFonts w:hint="eastAsia" w:ascii="仿宋_GB2312" w:eastAsia="仿宋_GB2312" w:cs="Gungsuh" w:hAnsiTheme="minorEastAsia"/>
          <w:color w:val="auto"/>
          <w:sz w:val="32"/>
          <w:szCs w:val="32"/>
          <w:highlight w:val="none"/>
        </w:rPr>
        <w:t>或委托</w:t>
      </w:r>
      <w:r>
        <w:rPr>
          <w:rFonts w:hint="eastAsia" w:ascii="仿宋_GB2312" w:eastAsia="仿宋_GB2312" w:cs="Gungsuh" w:hAnsiTheme="minorEastAsia"/>
          <w:color w:val="auto"/>
          <w:sz w:val="32"/>
          <w:szCs w:val="32"/>
          <w:highlight w:val="none"/>
          <w:lang w:val="en-GB"/>
        </w:rPr>
        <w:t>物业服务企业（其他管理人）每年</w:t>
      </w:r>
    </w:p>
    <w:p>
      <w:pPr>
        <w:spacing w:line="360" w:lineRule="auto"/>
        <w:ind w:right="210" w:rightChars="100" w:firstLine="0" w:firstLineChars="0"/>
        <w:rPr>
          <w:rFonts w:ascii="仿宋_GB2312" w:eastAsia="仿宋_GB2312" w:cs="Gungsuh" w:hAnsiTheme="minorEastAsia"/>
          <w:color w:val="auto"/>
          <w:sz w:val="32"/>
          <w:szCs w:val="32"/>
          <w:highlight w:val="none"/>
          <w:lang w:val="en-GB"/>
        </w:rPr>
      </w:pPr>
      <w:r>
        <w:rPr>
          <w:rFonts w:hint="eastAsia" w:ascii="仿宋_GB2312" w:eastAsia="仿宋_GB2312" w:cs="Gungsuh" w:hAnsiTheme="minorEastAsia"/>
          <w:color w:val="auto"/>
          <w:sz w:val="32"/>
          <w:szCs w:val="32"/>
          <w:highlight w:val="none"/>
          <w:lang w:val="en-GB"/>
        </w:rPr>
        <w:t xml:space="preserve"> </w:t>
      </w:r>
      <w:r>
        <w:rPr>
          <w:rFonts w:hint="eastAsia" w:ascii="仿宋_GB2312" w:eastAsia="仿宋_GB2312" w:cs="Gungsuh" w:hAnsiTheme="minorEastAsia"/>
          <w:color w:val="auto"/>
          <w:sz w:val="32"/>
          <w:szCs w:val="32"/>
          <w:highlight w:val="none"/>
          <w:u w:val="single"/>
          <w:lang w:val="en-GB"/>
        </w:rPr>
        <w:t xml:space="preserve"> </w:t>
      </w:r>
      <w:r>
        <w:rPr>
          <w:rFonts w:hint="eastAsia" w:ascii="仿宋_GB2312" w:eastAsia="仿宋_GB2312" w:cs="Gungsuh" w:hAnsiTheme="minorEastAsia"/>
          <w:color w:val="auto"/>
          <w:sz w:val="32"/>
          <w:szCs w:val="32"/>
          <w:highlight w:val="none"/>
          <w:u w:val="single"/>
          <w:lang w:val="en-US" w:eastAsia="zh-CN"/>
        </w:rPr>
        <w:t xml:space="preserve"> </w:t>
      </w:r>
      <w:r>
        <w:rPr>
          <w:rFonts w:hint="eastAsia" w:ascii="仿宋_GB2312" w:eastAsia="仿宋_GB2312" w:cs="Gungsuh" w:hAnsiTheme="minorEastAsia"/>
          <w:color w:val="auto"/>
          <w:sz w:val="32"/>
          <w:szCs w:val="32"/>
          <w:highlight w:val="none"/>
          <w:u w:val="single"/>
          <w:lang w:val="en-GB"/>
        </w:rPr>
        <w:t xml:space="preserve"> </w:t>
      </w:r>
      <w:r>
        <w:rPr>
          <w:rFonts w:hint="eastAsia" w:ascii="仿宋_GB2312" w:eastAsia="仿宋_GB2312" w:cs="Gungsuh" w:hAnsiTheme="minorEastAsia"/>
          <w:color w:val="auto"/>
          <w:sz w:val="32"/>
          <w:szCs w:val="32"/>
          <w:highlight w:val="none"/>
          <w:lang w:val="en-GB"/>
        </w:rPr>
        <w:t>月</w:t>
      </w:r>
      <w:r>
        <w:rPr>
          <w:rFonts w:hint="eastAsia" w:ascii="仿宋_GB2312" w:eastAsia="仿宋_GB2312" w:cs="Gungsuh" w:hAnsiTheme="minorEastAsia"/>
          <w:color w:val="auto"/>
          <w:sz w:val="32"/>
          <w:szCs w:val="32"/>
          <w:highlight w:val="none"/>
          <w:u w:val="single"/>
          <w:lang w:val="en-GB"/>
        </w:rPr>
        <w:t xml:space="preserve"> </w:t>
      </w:r>
      <w:r>
        <w:rPr>
          <w:rFonts w:hint="eastAsia" w:ascii="仿宋_GB2312" w:eastAsia="仿宋_GB2312" w:cs="Gungsuh" w:hAnsiTheme="minorEastAsia"/>
          <w:color w:val="auto"/>
          <w:sz w:val="32"/>
          <w:szCs w:val="32"/>
          <w:highlight w:val="none"/>
          <w:u w:val="single"/>
          <w:lang w:val="en-US" w:eastAsia="zh-CN"/>
        </w:rPr>
        <w:t xml:space="preserve"> </w:t>
      </w:r>
      <w:r>
        <w:rPr>
          <w:rFonts w:hint="eastAsia" w:ascii="仿宋_GB2312" w:eastAsia="仿宋_GB2312" w:cs="Gungsuh" w:hAnsiTheme="minorEastAsia"/>
          <w:color w:val="auto"/>
          <w:sz w:val="32"/>
          <w:szCs w:val="32"/>
          <w:highlight w:val="none"/>
          <w:u w:val="single"/>
          <w:lang w:val="en-GB"/>
        </w:rPr>
        <w:t xml:space="preserve"> </w:t>
      </w:r>
      <w:r>
        <w:rPr>
          <w:rFonts w:hint="eastAsia" w:ascii="仿宋_GB2312" w:eastAsia="仿宋_GB2312" w:cs="Gungsuh" w:hAnsiTheme="minorEastAsia"/>
          <w:color w:val="auto"/>
          <w:sz w:val="32"/>
          <w:szCs w:val="32"/>
          <w:highlight w:val="none"/>
          <w:lang w:val="en-GB"/>
        </w:rPr>
        <w:t>日前提交下一年度总预算申请，预算含支出项目名称、来源依据、项目金额、测算标准、支出进度等。</w:t>
      </w:r>
    </w:p>
    <w:p>
      <w:pPr>
        <w:spacing w:line="360" w:lineRule="auto"/>
        <w:ind w:right="210" w:rightChars="100" w:firstLine="640" w:firstLineChars="200"/>
        <w:rPr>
          <w:rFonts w:ascii="仿宋_GB2312" w:eastAsia="仿宋_GB2312" w:cs="Gungsuh" w:hAnsiTheme="minorEastAsia"/>
          <w:color w:val="auto"/>
          <w:sz w:val="32"/>
          <w:szCs w:val="32"/>
          <w:highlight w:val="none"/>
          <w:lang w:val="en-GB"/>
        </w:rPr>
      </w:pPr>
      <w:r>
        <w:rPr>
          <w:rFonts w:hint="eastAsia" w:ascii="仿宋_GB2312" w:eastAsia="仿宋_GB2312" w:cs="Gungsuh" w:hAnsiTheme="minorEastAsia"/>
          <w:color w:val="auto"/>
          <w:sz w:val="32"/>
          <w:szCs w:val="32"/>
          <w:highlight w:val="none"/>
        </w:rPr>
        <w:t>年度预算包括的</w:t>
      </w:r>
      <w:r>
        <w:rPr>
          <w:rFonts w:hint="eastAsia" w:ascii="仿宋_GB2312" w:eastAsia="仿宋_GB2312" w:cs="Gungsuh" w:hAnsiTheme="minorEastAsia"/>
          <w:color w:val="auto"/>
          <w:sz w:val="32"/>
          <w:szCs w:val="32"/>
          <w:highlight w:val="none"/>
          <w:lang w:val="en-GB"/>
        </w:rPr>
        <w:t>项目有：业主委员会委员补贴及聘用相关人员的费用</w:t>
      </w:r>
      <w:r>
        <w:rPr>
          <w:rFonts w:hint="eastAsia" w:ascii="仿宋_GB2312" w:eastAsia="仿宋_GB2312" w:cs="Gungsuh" w:hAnsiTheme="minorEastAsia"/>
          <w:color w:val="auto"/>
          <w:sz w:val="32"/>
          <w:szCs w:val="32"/>
          <w:highlight w:val="none"/>
        </w:rPr>
        <w:t>，</w:t>
      </w:r>
      <w:r>
        <w:rPr>
          <w:rFonts w:hint="eastAsia" w:ascii="仿宋_GB2312" w:eastAsia="仿宋_GB2312" w:cs="Gungsuh" w:hAnsiTheme="minorEastAsia"/>
          <w:color w:val="auto"/>
          <w:sz w:val="32"/>
          <w:szCs w:val="32"/>
          <w:highlight w:val="none"/>
          <w:lang w:val="en-GB"/>
        </w:rPr>
        <w:t>物业共用部位、共用设施设备的日常运行、维护费用，物业管理区域清洁卫生费用，物业管理区域绿化养护费用，物业管理区域秩序维护费用，办公费用，物业安全、房屋及公共设施维修保险费用，经全体业主同意的其他物业管理费用，物业天面和外墙的清洗粉刷费用，房屋安全检验费，共有资金收支情况审计费，业主委员会主任任期和离任经济责任审计费</w:t>
      </w:r>
      <w:r>
        <w:rPr>
          <w:rFonts w:hint="eastAsia" w:ascii="仿宋_GB2312" w:eastAsia="仿宋_GB2312" w:cs="Gungsuh" w:hAnsiTheme="minorEastAsia"/>
          <w:color w:val="auto"/>
          <w:sz w:val="32"/>
          <w:szCs w:val="32"/>
          <w:highlight w:val="none"/>
        </w:rPr>
        <w:t>，业主大会同意列入年度预算的其他项目费用</w:t>
      </w:r>
      <w:r>
        <w:rPr>
          <w:rFonts w:hint="eastAsia" w:ascii="仿宋_GB2312" w:eastAsia="仿宋_GB2312" w:cs="Gungsuh" w:hAnsiTheme="minorEastAsia"/>
          <w:color w:val="auto"/>
          <w:sz w:val="32"/>
          <w:szCs w:val="32"/>
          <w:highlight w:val="none"/>
          <w:lang w:val="en-GB"/>
        </w:rPr>
        <w:t>。</w:t>
      </w:r>
    </w:p>
    <w:p>
      <w:pPr>
        <w:spacing w:line="360" w:lineRule="auto"/>
        <w:ind w:right="210" w:rightChars="100" w:firstLine="640" w:firstLineChars="200"/>
        <w:rPr>
          <w:rFonts w:ascii="仿宋_GB2312" w:eastAsia="仿宋_GB2312" w:cs="Gungsuh" w:hAnsiTheme="minorEastAsia"/>
          <w:color w:val="auto"/>
          <w:sz w:val="32"/>
          <w:szCs w:val="32"/>
          <w:highlight w:val="none"/>
          <w:lang w:val="en-GB"/>
        </w:rPr>
      </w:pPr>
      <w:r>
        <w:rPr>
          <w:rFonts w:hint="eastAsia" w:ascii="仿宋_GB2312" w:eastAsia="仿宋_GB2312" w:cs="Gungsuh" w:hAnsiTheme="minorEastAsia"/>
          <w:color w:val="auto"/>
          <w:sz w:val="32"/>
          <w:szCs w:val="32"/>
          <w:highlight w:val="none"/>
          <w:lang w:val="en-GB"/>
        </w:rPr>
        <w:t>（二）</w:t>
      </w:r>
      <w:r>
        <w:rPr>
          <w:rFonts w:hint="eastAsia" w:ascii="仿宋_GB2312" w:eastAsia="仿宋_GB2312" w:cs="Gungsuh" w:hAnsiTheme="minorEastAsia"/>
          <w:color w:val="auto"/>
          <w:sz w:val="32"/>
          <w:szCs w:val="32"/>
          <w:highlight w:val="none"/>
        </w:rPr>
        <w:t>年度预算</w:t>
      </w:r>
      <w:r>
        <w:rPr>
          <w:rFonts w:hint="eastAsia" w:ascii="仿宋_GB2312" w:eastAsia="仿宋_GB2312" w:cs="Gungsuh" w:hAnsiTheme="minorEastAsia"/>
          <w:color w:val="auto"/>
          <w:sz w:val="32"/>
          <w:szCs w:val="32"/>
          <w:highlight w:val="none"/>
          <w:lang w:val="en-GB"/>
        </w:rPr>
        <w:t>表决</w:t>
      </w:r>
    </w:p>
    <w:p>
      <w:pPr>
        <w:spacing w:line="360" w:lineRule="auto"/>
        <w:ind w:right="210" w:rightChars="100" w:firstLine="640" w:firstLineChars="200"/>
        <w:rPr>
          <w:rFonts w:ascii="仿宋_GB2312" w:eastAsia="仿宋_GB2312" w:cs="Gungsuh" w:hAnsiTheme="minorEastAsia"/>
          <w:color w:val="auto"/>
          <w:sz w:val="32"/>
          <w:szCs w:val="32"/>
          <w:highlight w:val="none"/>
          <w:lang w:val="en-GB"/>
        </w:rPr>
      </w:pPr>
      <w:r>
        <w:rPr>
          <w:rFonts w:hint="eastAsia" w:ascii="仿宋_GB2312" w:eastAsia="仿宋_GB2312" w:cs="Gungsuh" w:hAnsiTheme="minorEastAsia"/>
          <w:color w:val="auto"/>
          <w:sz w:val="32"/>
          <w:szCs w:val="32"/>
          <w:highlight w:val="none"/>
          <w:lang w:val="en-GB"/>
        </w:rPr>
        <w:t>业主委员会</w:t>
      </w:r>
      <w:r>
        <w:rPr>
          <w:rFonts w:hint="eastAsia" w:ascii="仿宋_GB2312" w:eastAsia="仿宋_GB2312" w:cs="Gungsuh" w:hAnsiTheme="minorEastAsia"/>
          <w:color w:val="auto"/>
          <w:sz w:val="32"/>
          <w:szCs w:val="32"/>
          <w:highlight w:val="none"/>
        </w:rPr>
        <w:t>应当在</w:t>
      </w:r>
      <w:r>
        <w:rPr>
          <w:rFonts w:hint="eastAsia" w:ascii="仿宋_GB2312" w:eastAsia="仿宋_GB2312" w:cs="Gungsuh" w:hAnsiTheme="minorEastAsia"/>
          <w:color w:val="auto"/>
          <w:sz w:val="32"/>
          <w:szCs w:val="32"/>
          <w:highlight w:val="none"/>
          <w:lang w:val="en-GB"/>
        </w:rPr>
        <w:t>提交业主大会表决</w:t>
      </w:r>
      <w:r>
        <w:rPr>
          <w:rFonts w:hint="eastAsia" w:ascii="仿宋_GB2312" w:eastAsia="仿宋_GB2312" w:cs="Gungsuh" w:hAnsiTheme="minorEastAsia"/>
          <w:color w:val="auto"/>
          <w:sz w:val="32"/>
          <w:szCs w:val="32"/>
          <w:highlight w:val="none"/>
        </w:rPr>
        <w:t>前依程序将</w:t>
      </w:r>
      <w:r>
        <w:rPr>
          <w:rFonts w:hint="eastAsia" w:ascii="仿宋_GB2312" w:eastAsia="仿宋_GB2312" w:cs="Gungsuh" w:hAnsiTheme="minorEastAsia"/>
          <w:color w:val="auto"/>
          <w:sz w:val="32"/>
          <w:szCs w:val="32"/>
          <w:highlight w:val="none"/>
          <w:lang w:val="en-GB"/>
        </w:rPr>
        <w:t>年度预算依法进行公示，并</w:t>
      </w:r>
      <w:r>
        <w:rPr>
          <w:rFonts w:hint="eastAsia" w:ascii="仿宋_GB2312" w:eastAsia="仿宋_GB2312" w:cs="Gungsuh" w:hAnsiTheme="minorEastAsia"/>
          <w:color w:val="auto"/>
          <w:sz w:val="32"/>
          <w:szCs w:val="32"/>
          <w:highlight w:val="none"/>
        </w:rPr>
        <w:t>在业主大会表决时对有关费用做必要的解释、说明</w:t>
      </w:r>
      <w:r>
        <w:rPr>
          <w:rFonts w:hint="eastAsia" w:ascii="仿宋_GB2312" w:eastAsia="仿宋_GB2312" w:cs="Gungsuh" w:hAnsiTheme="minorEastAsia"/>
          <w:color w:val="auto"/>
          <w:sz w:val="32"/>
          <w:szCs w:val="32"/>
          <w:highlight w:val="none"/>
          <w:lang w:val="en-GB"/>
        </w:rPr>
        <w:t>。</w:t>
      </w:r>
    </w:p>
    <w:p>
      <w:pPr>
        <w:spacing w:line="360" w:lineRule="auto"/>
        <w:ind w:right="210" w:rightChars="100" w:firstLine="640" w:firstLineChars="200"/>
        <w:rPr>
          <w:rFonts w:ascii="仿宋_GB2312" w:eastAsia="仿宋_GB2312" w:cs="Times New Roman" w:hAnsiTheme="minorEastAsia"/>
          <w:color w:val="auto"/>
          <w:sz w:val="32"/>
          <w:szCs w:val="32"/>
          <w:highlight w:val="none"/>
        </w:rPr>
      </w:pPr>
      <w:r>
        <w:rPr>
          <w:rFonts w:hint="eastAsia" w:ascii="仿宋_GB2312" w:eastAsia="仿宋_GB2312" w:cs="Gungsuh" w:hAnsiTheme="minorEastAsia"/>
          <w:color w:val="auto"/>
          <w:sz w:val="32"/>
          <w:szCs w:val="32"/>
          <w:highlight w:val="none"/>
        </w:rPr>
        <w:t>业主大会表决年度预算时实行</w:t>
      </w:r>
      <w:r>
        <w:rPr>
          <w:rFonts w:hint="eastAsia" w:ascii="仿宋_GB2312" w:eastAsia="仿宋_GB2312" w:cs="Gungsuh" w:hAnsiTheme="minorEastAsia"/>
          <w:color w:val="auto"/>
          <w:sz w:val="32"/>
          <w:szCs w:val="32"/>
          <w:highlight w:val="none"/>
          <w:lang w:eastAsia="zh-CN"/>
        </w:rPr>
        <w:t>：</w:t>
      </w:r>
      <w:r>
        <w:rPr>
          <w:rFonts w:hint="eastAsia" w:ascii="仿宋_GB2312" w:eastAsia="仿宋_GB2312" w:cs="Times New Roman" w:hAnsiTheme="minorEastAsia"/>
          <w:color w:val="auto"/>
          <w:sz w:val="32"/>
          <w:szCs w:val="32"/>
          <w:highlight w:val="none"/>
        </w:rPr>
        <w:t>○整体表决○分项表决。</w:t>
      </w:r>
    </w:p>
    <w:p>
      <w:pPr>
        <w:spacing w:line="360" w:lineRule="auto"/>
        <w:ind w:right="210" w:rightChars="100" w:firstLine="640" w:firstLineChars="200"/>
        <w:rPr>
          <w:rFonts w:ascii="仿宋_GB2312" w:eastAsia="仿宋_GB2312" w:cs="Gungsuh" w:hAnsiTheme="minorEastAsia"/>
          <w:color w:val="auto"/>
          <w:sz w:val="32"/>
          <w:szCs w:val="32"/>
          <w:highlight w:val="none"/>
          <w:lang w:val="en-GB"/>
        </w:rPr>
      </w:pPr>
      <w:r>
        <w:rPr>
          <w:rFonts w:hint="eastAsia" w:ascii="仿宋_GB2312" w:eastAsia="仿宋_GB2312" w:cs="Gungsuh" w:hAnsiTheme="minorEastAsia"/>
          <w:color w:val="auto"/>
          <w:sz w:val="32"/>
          <w:szCs w:val="32"/>
          <w:highlight w:val="none"/>
          <w:lang w:val="en-GB"/>
        </w:rPr>
        <w:t>（三）审核付款</w:t>
      </w:r>
    </w:p>
    <w:p>
      <w:pPr>
        <w:spacing w:line="360" w:lineRule="auto"/>
        <w:ind w:right="210" w:rightChars="100" w:firstLine="640" w:firstLineChars="200"/>
        <w:jc w:val="left"/>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已列入年度预算并经业主大会表决通过的项目支出，业主委员会依据业主大会表决通过的合同或经业主大会授权签署的合同办理支付程序。</w:t>
      </w:r>
      <w:r>
        <w:rPr>
          <w:rFonts w:hint="eastAsia" w:ascii="仿宋_GB2312" w:eastAsia="仿宋_GB2312" w:cs="Gungsuh" w:hAnsiTheme="minorEastAsia"/>
          <w:color w:val="auto"/>
          <w:sz w:val="32"/>
          <w:szCs w:val="32"/>
          <w:highlight w:val="none"/>
          <w:lang w:eastAsia="zh-CN"/>
        </w:rPr>
        <w:t>大额资金转账，</w:t>
      </w:r>
      <w:r>
        <w:rPr>
          <w:rFonts w:hint="eastAsia" w:ascii="仿宋_GB2312" w:eastAsia="仿宋_GB2312" w:cs="Gungsuh" w:hAnsiTheme="minorEastAsia"/>
          <w:color w:val="auto"/>
          <w:sz w:val="32"/>
          <w:szCs w:val="32"/>
          <w:highlight w:val="none"/>
        </w:rPr>
        <w:t>数据共享银行在物业管理信息平台上查看资金支出的公示编号后，方可办理资金转账。</w:t>
      </w:r>
    </w:p>
    <w:p>
      <w:pPr>
        <w:spacing w:line="360" w:lineRule="auto"/>
        <w:ind w:right="210" w:rightChars="100" w:firstLine="640" w:firstLineChars="200"/>
        <w:jc w:val="left"/>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年度预算外的支出项目，应当依法召开业主大会另行表决。</w:t>
      </w:r>
    </w:p>
    <w:p>
      <w:pPr>
        <w:spacing w:line="360" w:lineRule="auto"/>
        <w:ind w:left="0" w:leftChars="0" w:right="210" w:rightChars="100" w:firstLine="642" w:firstLineChars="200"/>
        <w:rPr>
          <w:rFonts w:ascii="仿宋_GB2312" w:eastAsia="仿宋_GB2312" w:cs="Gungsuh" w:hAnsiTheme="minorEastAsia"/>
          <w:color w:val="auto"/>
          <w:sz w:val="32"/>
          <w:szCs w:val="32"/>
          <w:highlight w:val="none"/>
        </w:rPr>
      </w:pPr>
      <w:r>
        <w:rPr>
          <w:rFonts w:hint="eastAsia" w:ascii="仿宋_GB2312" w:eastAsia="仿宋_GB2312" w:cs="宋体" w:hAnsiTheme="minorEastAsia"/>
          <w:b/>
          <w:color w:val="auto"/>
          <w:sz w:val="32"/>
          <w:szCs w:val="32"/>
          <w:highlight w:val="none"/>
        </w:rPr>
        <w:t>第二十</w:t>
      </w:r>
      <w:r>
        <w:rPr>
          <w:rFonts w:hint="eastAsia" w:ascii="仿宋_GB2312" w:eastAsia="仿宋_GB2312" w:cs="宋体" w:hAnsiTheme="minorEastAsia"/>
          <w:b/>
          <w:color w:val="auto"/>
          <w:sz w:val="32"/>
          <w:szCs w:val="32"/>
          <w:highlight w:val="none"/>
          <w:lang w:eastAsia="zh-CN"/>
        </w:rPr>
        <w:t>二</w:t>
      </w:r>
      <w:r>
        <w:rPr>
          <w:rFonts w:hint="eastAsia" w:ascii="仿宋_GB2312" w:eastAsia="仿宋_GB2312" w:cs="宋体" w:hAnsiTheme="minorEastAsia"/>
          <w:b/>
          <w:color w:val="auto"/>
          <w:sz w:val="32"/>
          <w:szCs w:val="32"/>
          <w:highlight w:val="none"/>
        </w:rPr>
        <w:t xml:space="preserve">条 </w:t>
      </w:r>
      <w:r>
        <w:rPr>
          <w:rFonts w:hint="eastAsia" w:ascii="仿宋_GB2312" w:eastAsia="仿宋_GB2312" w:cs="宋体" w:hAnsiTheme="minorEastAsia"/>
          <w:b/>
          <w:color w:val="auto"/>
          <w:sz w:val="32"/>
          <w:szCs w:val="32"/>
          <w:highlight w:val="none"/>
          <w:lang w:val="en-US" w:eastAsia="zh-CN"/>
        </w:rPr>
        <w:t xml:space="preserve"> </w:t>
      </w:r>
      <w:r>
        <w:rPr>
          <w:rFonts w:hint="eastAsia" w:ascii="仿宋_GB2312" w:eastAsia="仿宋_GB2312" w:cs="Gungsuh" w:hAnsiTheme="minorEastAsia"/>
          <w:color w:val="auto"/>
          <w:sz w:val="32"/>
          <w:szCs w:val="32"/>
          <w:highlight w:val="none"/>
        </w:rPr>
        <w:t>本物业管理区域发生《条例》第八十二条应急维修情况的，共有资金的支出程序如下：</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有物业服务企业（其他管理人）的，物业服务企业（其他管理人）应及时向业主委员会和街道办事处报告关于本物业管理区域内共有物业需要应急维修的情况：</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（一）从业主共有资金账户中支出的，由物业服务企业向业主委员会申请，业主委员会应当在收到申请之日起一日内审核维修费用并办理拨款手续。</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二）从物业专项维修资金专户中支出的，物业服务企业持业主委员会的书面意见申请划拨；业主委员会不出具书面意见的，由街道办事处责令其出具书面意见，也可持街道办事处审核意见申请划拨；应急维修费用十万以上的，应当持业主委员会书面意见、街道办事处的审核意见或者整改通知书等资料及专业预算报告申请划拨。</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无物业服务企业（其他管理人）的，由业主委员会及时履行上述紧急情况报告、维修费用审核及申请拨付义务。</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应急维修完成后，业主委员会或物业服务企业（其他管理人）应</w:t>
      </w:r>
      <w:r>
        <w:rPr>
          <w:rFonts w:hint="eastAsia" w:ascii="仿宋_GB2312" w:eastAsia="仿宋_GB2312" w:cs="Gungsuh" w:hAnsiTheme="minorEastAsia"/>
          <w:color w:val="auto"/>
          <w:sz w:val="32"/>
          <w:szCs w:val="32"/>
          <w:highlight w:val="none"/>
          <w:lang w:eastAsia="zh-CN"/>
        </w:rPr>
        <w:t>将</w:t>
      </w:r>
      <w:r>
        <w:rPr>
          <w:rFonts w:hint="eastAsia" w:ascii="仿宋_GB2312" w:eastAsia="仿宋_GB2312" w:cs="Gungsuh" w:hAnsiTheme="minorEastAsia"/>
          <w:color w:val="auto"/>
          <w:sz w:val="32"/>
          <w:szCs w:val="32"/>
          <w:highlight w:val="none"/>
        </w:rPr>
        <w:t>应急维修资金使用情况报告、费用列支清单及发票进行公示。</w:t>
      </w:r>
    </w:p>
    <w:p>
      <w:pPr>
        <w:spacing w:line="360" w:lineRule="auto"/>
        <w:ind w:left="0" w:leftChars="0" w:right="210" w:rightChars="100" w:firstLine="642" w:firstLineChars="200"/>
        <w:rPr>
          <w:rFonts w:ascii="仿宋_GB2312" w:eastAsia="仿宋_GB2312" w:cs="Gungsuh" w:hAnsiTheme="minorEastAsia"/>
          <w:color w:val="auto"/>
          <w:sz w:val="32"/>
          <w:szCs w:val="32"/>
          <w:highlight w:val="none"/>
        </w:rPr>
      </w:pPr>
      <w:r>
        <w:rPr>
          <w:rFonts w:hint="eastAsia" w:ascii="仿宋_GB2312" w:eastAsia="仿宋_GB2312" w:cs="宋体" w:hAnsiTheme="minorEastAsia"/>
          <w:b/>
          <w:color w:val="auto"/>
          <w:sz w:val="32"/>
          <w:szCs w:val="32"/>
          <w:highlight w:val="none"/>
        </w:rPr>
        <w:t>第二十</w:t>
      </w:r>
      <w:r>
        <w:rPr>
          <w:rFonts w:hint="eastAsia" w:ascii="仿宋_GB2312" w:eastAsia="仿宋_GB2312" w:cs="宋体" w:hAnsiTheme="minorEastAsia"/>
          <w:b/>
          <w:color w:val="auto"/>
          <w:sz w:val="32"/>
          <w:szCs w:val="32"/>
          <w:highlight w:val="none"/>
          <w:lang w:eastAsia="zh-CN"/>
        </w:rPr>
        <w:t>三</w:t>
      </w:r>
      <w:r>
        <w:rPr>
          <w:rFonts w:hint="eastAsia" w:ascii="仿宋_GB2312" w:eastAsia="仿宋_GB2312" w:cs="宋体" w:hAnsiTheme="minorEastAsia"/>
          <w:b/>
          <w:color w:val="auto"/>
          <w:sz w:val="32"/>
          <w:szCs w:val="32"/>
          <w:highlight w:val="none"/>
        </w:rPr>
        <w:t xml:space="preserve">条 </w:t>
      </w:r>
      <w:r>
        <w:rPr>
          <w:rFonts w:hint="eastAsia" w:ascii="仿宋_GB2312" w:eastAsia="仿宋_GB2312" w:cs="宋体" w:hAnsiTheme="minorEastAsia"/>
          <w:b/>
          <w:color w:val="auto"/>
          <w:sz w:val="32"/>
          <w:szCs w:val="32"/>
          <w:highlight w:val="none"/>
          <w:lang w:val="en-US" w:eastAsia="zh-CN"/>
        </w:rPr>
        <w:t xml:space="preserve"> </w:t>
      </w:r>
      <w:r>
        <w:rPr>
          <w:rFonts w:hint="eastAsia" w:ascii="仿宋_GB2312" w:eastAsia="仿宋_GB2312" w:cs="Gungsuh" w:hAnsiTheme="minorEastAsia"/>
          <w:color w:val="auto"/>
          <w:sz w:val="32"/>
          <w:szCs w:val="32"/>
          <w:highlight w:val="none"/>
        </w:rPr>
        <w:t>业主委员会或物业服务企业定期与数据共享银行核对业主共有资金账目，并按季度在物业管理信息平台上公示下列情况：</w:t>
      </w:r>
    </w:p>
    <w:p>
      <w:pPr>
        <w:numPr>
          <w:ilvl w:val="0"/>
          <w:numId w:val="6"/>
        </w:num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业主共有资金交存、使用、增值收益和结余情况；</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（二）发生列支的项目、费用和分摊情况；</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（三）业主拖欠物业管理费、物业专项维修资金和其他分摊费用的情况；</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（四）业主监事会或监事对业主共有资金收支核查</w:t>
      </w:r>
      <w:r>
        <w:rPr>
          <w:rFonts w:hint="eastAsia" w:ascii="仿宋_GB2312" w:eastAsia="仿宋_GB2312" w:cs="Gungsuh" w:hAnsiTheme="minorEastAsia"/>
          <w:color w:val="auto"/>
          <w:sz w:val="32"/>
          <w:szCs w:val="32"/>
          <w:highlight w:val="none"/>
          <w:lang w:eastAsia="zh-CN"/>
        </w:rPr>
        <w:t>的</w:t>
      </w:r>
      <w:r>
        <w:rPr>
          <w:rFonts w:hint="eastAsia" w:ascii="仿宋_GB2312" w:eastAsia="仿宋_GB2312" w:cs="Gungsuh" w:hAnsiTheme="minorEastAsia"/>
          <w:color w:val="auto"/>
          <w:sz w:val="32"/>
          <w:szCs w:val="32"/>
          <w:highlight w:val="none"/>
        </w:rPr>
        <w:t>情况</w:t>
      </w:r>
      <w:r>
        <w:rPr>
          <w:rFonts w:hint="eastAsia" w:ascii="仿宋_GB2312" w:eastAsia="仿宋_GB2312" w:cs="Gungsuh" w:hAnsiTheme="minorEastAsia"/>
          <w:color w:val="auto"/>
          <w:sz w:val="32"/>
          <w:szCs w:val="32"/>
          <w:highlight w:val="none"/>
          <w:lang w:eastAsia="zh-CN"/>
        </w:rPr>
        <w:t>；</w:t>
      </w:r>
      <w:r>
        <w:rPr>
          <w:rFonts w:hint="eastAsia" w:ascii="仿宋_GB2312" w:eastAsia="仿宋_GB2312" w:cs="Gungsuh" w:hAnsiTheme="minorEastAsia"/>
          <w:color w:val="auto"/>
          <w:sz w:val="32"/>
          <w:szCs w:val="32"/>
          <w:highlight w:val="none"/>
        </w:rPr>
        <w:t>未设</w:t>
      </w:r>
      <w:r>
        <w:rPr>
          <w:rFonts w:hint="eastAsia" w:ascii="仿宋_GB2312" w:eastAsia="仿宋_GB2312" w:cs="Gungsuh" w:hAnsiTheme="minorEastAsia"/>
          <w:color w:val="auto"/>
          <w:sz w:val="32"/>
          <w:szCs w:val="32"/>
          <w:highlight w:val="none"/>
          <w:lang w:eastAsia="zh-CN"/>
        </w:rPr>
        <w:t>立</w:t>
      </w:r>
      <w:r>
        <w:rPr>
          <w:rFonts w:hint="eastAsia" w:ascii="仿宋_GB2312" w:eastAsia="仿宋_GB2312" w:cs="Gungsuh" w:hAnsiTheme="minorEastAsia"/>
          <w:color w:val="auto"/>
          <w:sz w:val="32"/>
          <w:szCs w:val="32"/>
          <w:highlight w:val="none"/>
        </w:rPr>
        <w:t>业主监事会或监事的，公示业主大会委托专业机构对业主共有资金收支核查</w:t>
      </w:r>
      <w:r>
        <w:rPr>
          <w:rFonts w:hint="eastAsia" w:ascii="仿宋_GB2312" w:eastAsia="仿宋_GB2312" w:cs="Gungsuh" w:hAnsiTheme="minorEastAsia"/>
          <w:color w:val="auto"/>
          <w:sz w:val="32"/>
          <w:szCs w:val="32"/>
          <w:highlight w:val="none"/>
          <w:lang w:eastAsia="zh-CN"/>
        </w:rPr>
        <w:t>的</w:t>
      </w:r>
      <w:r>
        <w:rPr>
          <w:rFonts w:hint="eastAsia" w:ascii="仿宋_GB2312" w:eastAsia="仿宋_GB2312" w:cs="Gungsuh" w:hAnsiTheme="minorEastAsia"/>
          <w:color w:val="auto"/>
          <w:sz w:val="32"/>
          <w:szCs w:val="32"/>
          <w:highlight w:val="none"/>
        </w:rPr>
        <w:t>情况；</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（五）其他有关业主共有资金使用和管理的情况。</w:t>
      </w:r>
    </w:p>
    <w:p>
      <w:pPr>
        <w:spacing w:line="360" w:lineRule="auto"/>
        <w:ind w:left="0" w:leftChars="0" w:right="210" w:rightChars="100" w:firstLine="642" w:firstLineChars="200"/>
        <w:rPr>
          <w:rFonts w:ascii="仿宋_GB2312" w:eastAsia="仿宋_GB2312" w:cs="Gungsuh" w:hAnsiTheme="minorEastAsia"/>
          <w:color w:val="auto"/>
          <w:sz w:val="32"/>
          <w:szCs w:val="32"/>
          <w:highlight w:val="none"/>
        </w:rPr>
      </w:pPr>
      <w:r>
        <w:rPr>
          <w:rFonts w:hint="eastAsia" w:ascii="仿宋_GB2312" w:eastAsia="仿宋_GB2312" w:cs="宋体" w:hAnsiTheme="minorEastAsia"/>
          <w:b/>
          <w:color w:val="auto"/>
          <w:sz w:val="32"/>
          <w:szCs w:val="32"/>
          <w:highlight w:val="none"/>
        </w:rPr>
        <w:t>第二十</w:t>
      </w:r>
      <w:r>
        <w:rPr>
          <w:rFonts w:hint="eastAsia" w:ascii="仿宋_GB2312" w:eastAsia="仿宋_GB2312" w:cs="宋体" w:hAnsiTheme="minorEastAsia"/>
          <w:b/>
          <w:color w:val="auto"/>
          <w:sz w:val="32"/>
          <w:szCs w:val="32"/>
          <w:highlight w:val="none"/>
          <w:lang w:eastAsia="zh-CN"/>
        </w:rPr>
        <w:t>四</w:t>
      </w:r>
      <w:r>
        <w:rPr>
          <w:rFonts w:hint="eastAsia" w:ascii="仿宋_GB2312" w:eastAsia="仿宋_GB2312" w:cs="宋体" w:hAnsiTheme="minorEastAsia"/>
          <w:b/>
          <w:color w:val="auto"/>
          <w:sz w:val="32"/>
          <w:szCs w:val="32"/>
          <w:highlight w:val="none"/>
        </w:rPr>
        <w:t xml:space="preserve">条 </w:t>
      </w:r>
      <w:r>
        <w:rPr>
          <w:rFonts w:hint="eastAsia" w:ascii="仿宋_GB2312" w:eastAsia="仿宋_GB2312" w:cs="宋体" w:hAnsiTheme="minorEastAsia"/>
          <w:b/>
          <w:color w:val="auto"/>
          <w:sz w:val="32"/>
          <w:szCs w:val="32"/>
          <w:highlight w:val="none"/>
          <w:lang w:val="en-US" w:eastAsia="zh-CN"/>
        </w:rPr>
        <w:t xml:space="preserve"> </w:t>
      </w:r>
      <w:r>
        <w:rPr>
          <w:rFonts w:hint="eastAsia" w:ascii="仿宋_GB2312" w:eastAsia="仿宋_GB2312" w:cs="Gungsuh" w:hAnsiTheme="minorEastAsia"/>
          <w:color w:val="auto"/>
          <w:sz w:val="32"/>
          <w:szCs w:val="32"/>
          <w:highlight w:val="none"/>
        </w:rPr>
        <w:t>业主发现物业服务企业（其他管理人）对业主共有资金使用不当或存在共有资金管理不当等情形的，</w:t>
      </w:r>
      <w:r>
        <w:rPr>
          <w:rFonts w:hint="eastAsia" w:ascii="仿宋_GB2312" w:eastAsia="仿宋_GB2312" w:cs="Gungsuh" w:hAnsiTheme="minorEastAsia"/>
          <w:color w:val="auto"/>
          <w:sz w:val="32"/>
          <w:szCs w:val="32"/>
          <w:highlight w:val="none"/>
          <w:lang w:eastAsia="zh-CN"/>
        </w:rPr>
        <w:t>有权</w:t>
      </w:r>
      <w:r>
        <w:rPr>
          <w:rFonts w:hint="eastAsia" w:ascii="仿宋_GB2312" w:eastAsia="仿宋_GB2312" w:cs="Gungsuh" w:hAnsiTheme="minorEastAsia"/>
          <w:color w:val="auto"/>
          <w:sz w:val="32"/>
          <w:szCs w:val="32"/>
          <w:highlight w:val="none"/>
        </w:rPr>
        <w:t>及时向业主委员会、监事会或监事提出书面异议，业主委员会、监事会或监事在收到异议之日起</w:t>
      </w:r>
      <w:r>
        <w:rPr>
          <w:rFonts w:hint="eastAsia" w:ascii="仿宋_GB2312" w:eastAsia="仿宋_GB2312" w:cs="Gungsuh" w:hAnsiTheme="minorEastAsia"/>
          <w:color w:val="auto"/>
          <w:sz w:val="32"/>
          <w:szCs w:val="32"/>
          <w:highlight w:val="none"/>
          <w:lang w:eastAsia="zh-CN"/>
        </w:rPr>
        <w:t>十</w:t>
      </w:r>
      <w:r>
        <w:rPr>
          <w:rFonts w:hint="eastAsia" w:ascii="仿宋_GB2312" w:eastAsia="仿宋_GB2312" w:cs="Gungsuh" w:hAnsiTheme="minorEastAsia"/>
          <w:color w:val="auto"/>
          <w:sz w:val="32"/>
          <w:szCs w:val="32"/>
          <w:highlight w:val="none"/>
        </w:rPr>
        <w:t>日内须将异议核查情况向业主答复。</w:t>
      </w:r>
    </w:p>
    <w:p>
      <w:pPr>
        <w:spacing w:line="360" w:lineRule="auto"/>
        <w:ind w:left="0" w:leftChars="0" w:right="210" w:rightChars="100" w:firstLine="642" w:firstLineChars="200"/>
        <w:rPr>
          <w:rFonts w:ascii="仿宋_GB2312" w:eastAsia="仿宋_GB2312" w:cs="Gungsuh" w:hAnsiTheme="minorEastAsia"/>
          <w:color w:val="auto"/>
          <w:sz w:val="32"/>
          <w:szCs w:val="32"/>
          <w:highlight w:val="none"/>
        </w:rPr>
      </w:pPr>
      <w:r>
        <w:rPr>
          <w:rFonts w:hint="eastAsia" w:ascii="仿宋_GB2312" w:eastAsia="仿宋_GB2312" w:cs="宋体" w:hAnsiTheme="minorEastAsia"/>
          <w:b/>
          <w:color w:val="auto"/>
          <w:sz w:val="32"/>
          <w:szCs w:val="32"/>
          <w:highlight w:val="none"/>
        </w:rPr>
        <w:t>第二十</w:t>
      </w:r>
      <w:r>
        <w:rPr>
          <w:rFonts w:hint="eastAsia" w:ascii="仿宋_GB2312" w:eastAsia="仿宋_GB2312" w:cs="宋体" w:hAnsiTheme="minorEastAsia"/>
          <w:b/>
          <w:color w:val="auto"/>
          <w:sz w:val="32"/>
          <w:szCs w:val="32"/>
          <w:highlight w:val="none"/>
          <w:lang w:eastAsia="zh-CN"/>
        </w:rPr>
        <w:t>五</w:t>
      </w:r>
      <w:r>
        <w:rPr>
          <w:rFonts w:hint="eastAsia" w:ascii="仿宋_GB2312" w:eastAsia="仿宋_GB2312" w:cs="宋体" w:hAnsiTheme="minorEastAsia"/>
          <w:b/>
          <w:color w:val="auto"/>
          <w:sz w:val="32"/>
          <w:szCs w:val="32"/>
          <w:highlight w:val="none"/>
        </w:rPr>
        <w:t xml:space="preserve">条 </w:t>
      </w:r>
      <w:r>
        <w:rPr>
          <w:rFonts w:hint="eastAsia" w:ascii="仿宋_GB2312" w:eastAsia="仿宋_GB2312" w:cs="宋体" w:hAnsiTheme="minorEastAsia"/>
          <w:b/>
          <w:color w:val="auto"/>
          <w:sz w:val="32"/>
          <w:szCs w:val="32"/>
          <w:highlight w:val="none"/>
          <w:lang w:val="en-US" w:eastAsia="zh-CN"/>
        </w:rPr>
        <w:t xml:space="preserve"> </w:t>
      </w:r>
      <w:r>
        <w:rPr>
          <w:rFonts w:hint="eastAsia" w:ascii="仿宋_GB2312" w:eastAsia="仿宋_GB2312" w:cs="Gungsuh" w:hAnsiTheme="minorEastAsia"/>
          <w:color w:val="auto"/>
          <w:sz w:val="32"/>
          <w:szCs w:val="32"/>
          <w:highlight w:val="none"/>
        </w:rPr>
        <w:t>经物业管理区域占业主总人数百分之二十以上的业主或者占全体业主所持投票权数百分之二十以上的业主联名，可以提议业主大会对共有资金收支情况进行审计。该提议经业主大会表决通过后，由业主大会委托会计师事务所进行审计并公示审计报告，审计费用从业主共有资金中列支。</w:t>
      </w:r>
    </w:p>
    <w:p>
      <w:pPr>
        <w:widowControl w:val="0"/>
        <w:spacing w:line="360" w:lineRule="auto"/>
        <w:ind w:left="0" w:right="210" w:rightChars="100" w:firstLine="640" w:firstLineChars="200"/>
        <w:contextualSpacing/>
        <w:jc w:val="both"/>
        <w:rPr>
          <w:rFonts w:ascii="仿宋_GB2312" w:eastAsia="仿宋_GB2312" w:cs="Gungsuh" w:hAnsiTheme="minorEastAsia"/>
          <w:color w:val="auto"/>
          <w:kern w:val="2"/>
          <w:sz w:val="32"/>
          <w:szCs w:val="32"/>
          <w:highlight w:val="none"/>
          <w:lang w:val="en-US" w:eastAsia="zh-CN" w:bidi="ar-SA"/>
        </w:rPr>
      </w:pPr>
      <w:r>
        <w:rPr>
          <w:rFonts w:hint="eastAsia" w:ascii="仿宋_GB2312" w:eastAsia="仿宋_GB2312" w:cs="Gungsuh" w:hAnsiTheme="minorEastAsia"/>
          <w:color w:val="auto"/>
          <w:kern w:val="2"/>
          <w:sz w:val="32"/>
          <w:szCs w:val="32"/>
          <w:highlight w:val="none"/>
          <w:lang w:val="en-US" w:eastAsia="zh-CN" w:bidi="ar-SA"/>
        </w:rPr>
        <w:t>业主对前款审计报告有异议的，可以提出质询，业主委员会应当十日内予以答复。经与前款相同比例的业主联名，有权提请物业所在地街道办事处另行组织复审，复审所产生的费用由前款联名业主先行共同承担；</w:t>
      </w:r>
      <w:r>
        <w:rPr>
          <w:rFonts w:hint="eastAsia" w:ascii="仿宋_GB2312" w:eastAsia="仿宋_GB2312" w:cs="黑体" w:hAnsiTheme="minorEastAsia"/>
          <w:color w:val="auto"/>
          <w:kern w:val="2"/>
          <w:sz w:val="32"/>
          <w:szCs w:val="32"/>
          <w:highlight w:val="none"/>
          <w:lang w:val="en-US" w:eastAsia="zh-CN" w:bidi="ar-SA"/>
        </w:rPr>
        <w:t>复审后异议成立的，复审费用从业主共有资金中列支，前款联名业主先行承担的费用应当退回</w:t>
      </w:r>
      <w:r>
        <w:rPr>
          <w:rFonts w:hint="eastAsia" w:ascii="仿宋_GB2312" w:eastAsia="仿宋_GB2312" w:cs="Gungsuh" w:hAnsiTheme="minorEastAsia"/>
          <w:color w:val="auto"/>
          <w:kern w:val="2"/>
          <w:sz w:val="32"/>
          <w:szCs w:val="32"/>
          <w:highlight w:val="none"/>
          <w:lang w:val="en-US" w:eastAsia="zh-CN" w:bidi="ar-SA"/>
        </w:rPr>
        <w:t>。复审后异议不成立的，复审费用由前款联名业主共同自行承担。</w:t>
      </w:r>
    </w:p>
    <w:p>
      <w:pPr>
        <w:spacing w:line="360" w:lineRule="auto"/>
        <w:ind w:left="0" w:leftChars="0" w:right="210" w:rightChars="100" w:firstLine="642" w:firstLineChars="200"/>
        <w:rPr>
          <w:rFonts w:ascii="仿宋_GB2312" w:eastAsia="仿宋_GB2312" w:cs="Gungsuh" w:hAnsiTheme="minorEastAsia"/>
          <w:color w:val="auto"/>
          <w:sz w:val="32"/>
          <w:szCs w:val="32"/>
          <w:highlight w:val="none"/>
        </w:rPr>
      </w:pPr>
      <w:r>
        <w:rPr>
          <w:rFonts w:hint="eastAsia" w:ascii="仿宋_GB2312" w:eastAsia="仿宋_GB2312" w:cs="宋体" w:hAnsiTheme="minorEastAsia"/>
          <w:b/>
          <w:color w:val="auto"/>
          <w:sz w:val="32"/>
          <w:szCs w:val="32"/>
          <w:highlight w:val="none"/>
        </w:rPr>
        <w:t>第二十</w:t>
      </w:r>
      <w:r>
        <w:rPr>
          <w:rFonts w:hint="eastAsia" w:ascii="仿宋_GB2312" w:eastAsia="仿宋_GB2312" w:cs="宋体" w:hAnsiTheme="minorEastAsia"/>
          <w:b/>
          <w:color w:val="auto"/>
          <w:sz w:val="32"/>
          <w:szCs w:val="32"/>
          <w:highlight w:val="none"/>
          <w:lang w:eastAsia="zh-CN"/>
        </w:rPr>
        <w:t>六</w:t>
      </w:r>
      <w:r>
        <w:rPr>
          <w:rFonts w:hint="eastAsia" w:ascii="仿宋_GB2312" w:eastAsia="仿宋_GB2312" w:cs="宋体" w:hAnsiTheme="minorEastAsia"/>
          <w:b/>
          <w:color w:val="auto"/>
          <w:sz w:val="32"/>
          <w:szCs w:val="32"/>
          <w:highlight w:val="none"/>
        </w:rPr>
        <w:t xml:space="preserve">条 </w:t>
      </w:r>
      <w:r>
        <w:rPr>
          <w:rFonts w:hint="eastAsia" w:ascii="仿宋_GB2312" w:eastAsia="仿宋_GB2312" w:cs="宋体" w:hAnsiTheme="minorEastAsia"/>
          <w:b/>
          <w:color w:val="auto"/>
          <w:sz w:val="32"/>
          <w:szCs w:val="32"/>
          <w:highlight w:val="none"/>
          <w:lang w:val="en-US" w:eastAsia="zh-CN"/>
        </w:rPr>
        <w:t xml:space="preserve"> </w:t>
      </w:r>
      <w:r>
        <w:rPr>
          <w:rFonts w:hint="eastAsia" w:ascii="仿宋_GB2312" w:eastAsia="仿宋_GB2312" w:cs="Gungsuh" w:hAnsiTheme="minorEastAsia"/>
          <w:color w:val="auto"/>
          <w:sz w:val="32"/>
          <w:szCs w:val="32"/>
          <w:highlight w:val="none"/>
        </w:rPr>
        <w:t>本物业管理区域实行业主委员会主任任期和离任经济责任审计。审计由业主监事会或业主大会指定的五名业主负责组织，审计费用列入业主共有资金支出项目，审计结果在物业管理区域内的显著位置和物业管理信息平台进行公示。</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业主大会有权决定将以下的事项列为业主委员会主任任期和离任经济责任审计事项：</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（一）具体执行业主大会决议的情况；</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（二）业主委员会对具体事项决策程序的合规性、执行情况及其效果；</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（三）共有物业使用与管理是否符合和遵守本办法规定的情况，共有物业的收益是否依规列入共有资金账户进行管理的情况；</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（四）业主共有资金财务收支的真实、合法和效益情况；</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（五）共有资金账户的管理及保值增值情况；</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（六）其他需要审计的内容</w:t>
      </w:r>
      <w:r>
        <w:rPr>
          <w:rFonts w:hint="eastAsia" w:ascii="仿宋_GB2312" w:eastAsia="仿宋_GB2312" w:cs="Gungsuh" w:hAnsiTheme="minorEastAsia"/>
          <w:color w:val="auto"/>
          <w:sz w:val="32"/>
          <w:szCs w:val="32"/>
          <w:highlight w:val="none"/>
          <w:u w:val="single"/>
        </w:rPr>
        <w:t xml:space="preserve">               </w:t>
      </w:r>
      <w:r>
        <w:rPr>
          <w:rFonts w:hint="eastAsia" w:ascii="仿宋_GB2312" w:eastAsia="仿宋_GB2312" w:cs="Gungsuh" w:hAnsiTheme="minorEastAsia"/>
          <w:color w:val="auto"/>
          <w:sz w:val="32"/>
          <w:szCs w:val="32"/>
          <w:highlight w:val="none"/>
        </w:rPr>
        <w:t>。</w:t>
      </w:r>
    </w:p>
    <w:p>
      <w:pPr>
        <w:spacing w:line="360" w:lineRule="auto"/>
        <w:ind w:left="0" w:leftChars="0" w:right="210" w:rightChars="100" w:firstLine="642" w:firstLineChars="200"/>
        <w:rPr>
          <w:rFonts w:ascii="仿宋_GB2312" w:eastAsia="仿宋_GB2312" w:cs="Gungsuh" w:hAnsiTheme="minorEastAsia"/>
          <w:color w:val="auto"/>
          <w:sz w:val="32"/>
          <w:szCs w:val="32"/>
          <w:highlight w:val="none"/>
        </w:rPr>
      </w:pPr>
      <w:r>
        <w:rPr>
          <w:rFonts w:hint="eastAsia" w:ascii="仿宋_GB2312" w:eastAsia="仿宋_GB2312" w:cs="宋体" w:hAnsiTheme="minorEastAsia"/>
          <w:b/>
          <w:color w:val="auto"/>
          <w:sz w:val="32"/>
          <w:szCs w:val="32"/>
          <w:highlight w:val="none"/>
        </w:rPr>
        <w:t>第二十</w:t>
      </w:r>
      <w:r>
        <w:rPr>
          <w:rFonts w:hint="eastAsia" w:ascii="仿宋_GB2312" w:eastAsia="仿宋_GB2312" w:cs="宋体" w:hAnsiTheme="minorEastAsia"/>
          <w:b/>
          <w:color w:val="auto"/>
          <w:sz w:val="32"/>
          <w:szCs w:val="32"/>
          <w:highlight w:val="none"/>
          <w:lang w:eastAsia="zh-CN"/>
        </w:rPr>
        <w:t>七</w:t>
      </w:r>
      <w:r>
        <w:rPr>
          <w:rFonts w:hint="eastAsia" w:ascii="仿宋_GB2312" w:eastAsia="仿宋_GB2312" w:cs="宋体" w:hAnsiTheme="minorEastAsia"/>
          <w:b/>
          <w:color w:val="auto"/>
          <w:sz w:val="32"/>
          <w:szCs w:val="32"/>
          <w:highlight w:val="none"/>
        </w:rPr>
        <w:t xml:space="preserve">条 </w:t>
      </w:r>
      <w:r>
        <w:rPr>
          <w:rFonts w:hint="eastAsia" w:ascii="仿宋_GB2312" w:eastAsia="仿宋_GB2312" w:cs="宋体" w:hAnsiTheme="minorEastAsia"/>
          <w:b/>
          <w:color w:val="auto"/>
          <w:sz w:val="32"/>
          <w:szCs w:val="32"/>
          <w:highlight w:val="none"/>
          <w:lang w:val="en-US" w:eastAsia="zh-CN"/>
        </w:rPr>
        <w:t xml:space="preserve"> </w:t>
      </w:r>
      <w:r>
        <w:rPr>
          <w:rFonts w:hint="eastAsia" w:ascii="仿宋_GB2312" w:eastAsia="仿宋_GB2312" w:cs="Gungsuh" w:hAnsiTheme="minorEastAsia"/>
          <w:color w:val="auto"/>
          <w:sz w:val="32"/>
          <w:szCs w:val="32"/>
          <w:highlight w:val="none"/>
        </w:rPr>
        <w:t>业主拖欠物业服务费和其他业主大会决定分摊的费用的，业主委员会、物业服务企业或其他管理人向欠费业主发出欠费缴纳通知单。欠费缴纳通知单一般包含欠费金额、缴费期限、滞纳金计算方法、缴费账户、缴费方法、相关后果等内容。</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业主委员会或授权的物业服务企业或者其他管理人按照管理规约约定和业主大会决定，在物业管理区域内显著位置公示欠费业主信息及欠费金额。公示的业主信息应当符合管理规约约定和业主大会决定，没有约定或约定不明确的，以公示名单及门牌号为限。</w:t>
      </w:r>
    </w:p>
    <w:p>
      <w:pPr>
        <w:spacing w:line="360" w:lineRule="auto"/>
        <w:ind w:right="210" w:rightChars="100" w:firstLine="640" w:firstLineChars="200"/>
        <w:rPr>
          <w:rFonts w:hint="eastAsia" w:ascii="仿宋_GB2312" w:eastAsia="仿宋_GB2312" w:cs="Gungsuh" w:hAnsiTheme="minorEastAsia"/>
          <w:color w:val="auto"/>
          <w:sz w:val="32"/>
          <w:szCs w:val="32"/>
          <w:highlight w:val="none"/>
        </w:rPr>
      </w:pPr>
      <w:r>
        <w:rPr>
          <w:rFonts w:hint="eastAsia" w:ascii="仿宋_GB2312" w:eastAsia="仿宋_GB2312" w:hAnsiTheme="minorEastAsia"/>
          <w:color w:val="auto"/>
          <w:sz w:val="32"/>
          <w:szCs w:val="32"/>
          <w:highlight w:val="none"/>
        </w:rPr>
        <w:t>业主逾期仍不缴纳的，业主委员会可依法予以追缴，所产生的费用（包括但不限于律师费、诉讼费）由欠费业主承担</w:t>
      </w:r>
      <w:r>
        <w:rPr>
          <w:rFonts w:hint="eastAsia" w:ascii="仿宋_GB2312" w:eastAsia="仿宋_GB2312" w:cs="Gungsuh" w:hAnsiTheme="minorEastAsia"/>
          <w:color w:val="auto"/>
          <w:sz w:val="32"/>
          <w:szCs w:val="32"/>
          <w:highlight w:val="none"/>
        </w:rPr>
        <w:t>。</w:t>
      </w:r>
    </w:p>
    <w:p>
      <w:pPr>
        <w:pStyle w:val="2"/>
        <w:ind w:firstLine="640" w:firstLineChars="200"/>
        <w:rPr>
          <w:rFonts w:hint="default" w:eastAsia="仿宋_GB2312"/>
          <w:highlight w:val="none"/>
          <w:lang w:val="en-US" w:eastAsia="zh-CN"/>
        </w:rPr>
      </w:pPr>
      <w:r>
        <w:rPr>
          <w:rFonts w:hint="eastAsia" w:ascii="仿宋_GB2312" w:eastAsia="仿宋_GB2312" w:cs="Gungsuh" w:hAnsiTheme="minorEastAsia"/>
          <w:color w:val="auto"/>
          <w:sz w:val="32"/>
          <w:szCs w:val="32"/>
          <w:highlight w:val="none"/>
          <w:lang w:eastAsia="zh-CN"/>
        </w:rPr>
        <w:t>第二十八条</w:t>
      </w:r>
      <w:r>
        <w:rPr>
          <w:rFonts w:hint="eastAsia" w:ascii="仿宋_GB2312" w:eastAsia="仿宋_GB2312" w:cs="Gungsuh" w:hAnsiTheme="minorEastAsia"/>
          <w:color w:val="auto"/>
          <w:sz w:val="32"/>
          <w:szCs w:val="32"/>
          <w:highlight w:val="none"/>
          <w:lang w:val="en-US" w:eastAsia="zh-CN"/>
        </w:rPr>
        <w:t xml:space="preserve"> 已开展换届工作，但未选举产生新一届业主委员会期间，需要使用业主共有资金的，应当按照法定程序使用业主共有资金。</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outlineLvl w:val="9"/>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第四章 附则</w:t>
      </w:r>
    </w:p>
    <w:p>
      <w:pPr>
        <w:spacing w:line="360" w:lineRule="auto"/>
        <w:ind w:left="0" w:leftChars="0" w:right="210" w:rightChars="100" w:firstLine="642" w:firstLineChars="200"/>
        <w:rPr>
          <w:rFonts w:hint="eastAsia" w:ascii="仿宋" w:hAnsi="仿宋" w:eastAsia="仿宋"/>
          <w:b/>
          <w:bCs/>
          <w:color w:val="auto"/>
          <w:sz w:val="24"/>
          <w:highlight w:val="none"/>
          <w:lang w:val="en-US" w:eastAsia="zh-CN"/>
        </w:rPr>
      </w:pPr>
      <w:r>
        <w:rPr>
          <w:rFonts w:hint="eastAsia" w:ascii="仿宋_GB2312" w:eastAsia="仿宋_GB2312" w:cs="宋体" w:hAnsiTheme="minorEastAsia"/>
          <w:b/>
          <w:color w:val="auto"/>
          <w:sz w:val="32"/>
          <w:szCs w:val="32"/>
          <w:highlight w:val="none"/>
        </w:rPr>
        <w:t>第</w:t>
      </w:r>
      <w:r>
        <w:rPr>
          <w:rFonts w:hint="eastAsia" w:ascii="仿宋_GB2312" w:eastAsia="仿宋_GB2312" w:cs="宋体" w:hAnsiTheme="minorEastAsia"/>
          <w:b/>
          <w:color w:val="auto"/>
          <w:sz w:val="32"/>
          <w:szCs w:val="32"/>
          <w:highlight w:val="none"/>
          <w:lang w:eastAsia="zh-CN"/>
        </w:rPr>
        <w:t>二十八</w:t>
      </w:r>
      <w:r>
        <w:rPr>
          <w:rFonts w:hint="eastAsia" w:ascii="仿宋_GB2312" w:eastAsia="仿宋_GB2312" w:cs="宋体" w:hAnsiTheme="minorEastAsia"/>
          <w:b/>
          <w:color w:val="auto"/>
          <w:sz w:val="32"/>
          <w:szCs w:val="32"/>
          <w:highlight w:val="none"/>
        </w:rPr>
        <w:t xml:space="preserve">条 </w:t>
      </w:r>
      <w:r>
        <w:rPr>
          <w:rFonts w:hint="eastAsia" w:ascii="仿宋_GB2312" w:eastAsia="仿宋_GB2312" w:cs="Gungsuh" w:hAnsiTheme="minorEastAsia"/>
          <w:color w:val="auto"/>
          <w:sz w:val="32"/>
          <w:szCs w:val="32"/>
          <w:highlight w:val="none"/>
        </w:rPr>
        <w:t>本办法于</w:t>
      </w:r>
      <w:r>
        <w:rPr>
          <w:rFonts w:hint="eastAsia" w:ascii="仿宋_GB2312" w:eastAsia="仿宋_GB2312" w:cs="Gungsuh" w:hAnsiTheme="minorEastAsia"/>
          <w:b/>
          <w:bCs/>
          <w:color w:val="auto"/>
          <w:sz w:val="32"/>
          <w:szCs w:val="32"/>
          <w:highlight w:val="none"/>
          <w:u w:val="single"/>
        </w:rPr>
        <w:t xml:space="preserve">     </w:t>
      </w:r>
      <w:r>
        <w:rPr>
          <w:rFonts w:hint="eastAsia" w:ascii="仿宋_GB2312" w:eastAsia="仿宋_GB2312" w:cs="Gungsuh" w:hAnsiTheme="minorEastAsia"/>
          <w:color w:val="auto"/>
          <w:sz w:val="32"/>
          <w:szCs w:val="32"/>
          <w:highlight w:val="none"/>
        </w:rPr>
        <w:t>年</w:t>
      </w:r>
      <w:r>
        <w:rPr>
          <w:rFonts w:hint="eastAsia" w:ascii="仿宋_GB2312" w:eastAsia="仿宋_GB2312" w:cs="Gungsuh" w:hAnsiTheme="minorEastAsia"/>
          <w:color w:val="auto"/>
          <w:sz w:val="32"/>
          <w:szCs w:val="32"/>
          <w:highlight w:val="none"/>
          <w:u w:val="single"/>
        </w:rPr>
        <w:t xml:space="preserve">    </w:t>
      </w:r>
      <w:r>
        <w:rPr>
          <w:rFonts w:hint="eastAsia" w:ascii="仿宋_GB2312" w:eastAsia="仿宋_GB2312" w:cs="Gungsuh" w:hAnsiTheme="minorEastAsia"/>
          <w:color w:val="auto"/>
          <w:sz w:val="32"/>
          <w:szCs w:val="32"/>
          <w:highlight w:val="none"/>
        </w:rPr>
        <w:t>月</w:t>
      </w:r>
      <w:r>
        <w:rPr>
          <w:rFonts w:hint="eastAsia" w:ascii="仿宋_GB2312" w:eastAsia="仿宋_GB2312" w:cs="Gungsuh" w:hAnsiTheme="minorEastAsia"/>
          <w:color w:val="auto"/>
          <w:sz w:val="32"/>
          <w:szCs w:val="32"/>
          <w:highlight w:val="none"/>
          <w:u w:val="single"/>
        </w:rPr>
        <w:t xml:space="preserve">   </w:t>
      </w:r>
      <w:r>
        <w:rPr>
          <w:rFonts w:hint="eastAsia" w:ascii="仿宋_GB2312" w:eastAsia="仿宋_GB2312" w:cs="Gungsuh" w:hAnsiTheme="minorEastAsia"/>
          <w:color w:val="auto"/>
          <w:sz w:val="32"/>
          <w:szCs w:val="32"/>
          <w:highlight w:val="none"/>
        </w:rPr>
        <w:t>日经业主大会表决通过，自通过之日起实施，对全体业主、物业使用人具有约束力。</w:t>
      </w:r>
    </w:p>
    <w:p>
      <w:pPr>
        <w:rPr>
          <w:rFonts w:hint="eastAsia" w:ascii="仿宋" w:hAnsi="仿宋" w:eastAsia="仿宋"/>
          <w:b/>
          <w:bCs/>
          <w:color w:val="auto"/>
          <w:sz w:val="24"/>
          <w:highlight w:val="none"/>
          <w:lang w:val="en-US" w:eastAsia="zh-CN"/>
        </w:rPr>
      </w:pPr>
    </w:p>
    <w:p>
      <w:pPr>
        <w:rPr>
          <w:rFonts w:hint="eastAsia" w:ascii="仿宋" w:hAnsi="仿宋" w:eastAsia="仿宋"/>
          <w:b/>
          <w:bCs/>
          <w:color w:val="auto"/>
          <w:sz w:val="24"/>
          <w:highlight w:val="none"/>
          <w:lang w:val="en-US" w:eastAsia="zh-CN"/>
        </w:rPr>
      </w:pPr>
    </w:p>
    <w:p>
      <w:pPr>
        <w:rPr>
          <w:rFonts w:hint="eastAsia" w:ascii="仿宋" w:hAnsi="仿宋" w:eastAsia="仿宋"/>
          <w:b/>
          <w:bCs/>
          <w:color w:val="auto"/>
          <w:sz w:val="24"/>
          <w:highlight w:val="none"/>
          <w:lang w:val="en-US" w:eastAsia="zh-CN"/>
        </w:rPr>
      </w:pPr>
    </w:p>
    <w:p>
      <w:pPr>
        <w:rPr>
          <w:rFonts w:hint="eastAsia" w:ascii="仿宋" w:hAnsi="仿宋" w:eastAsia="仿宋"/>
          <w:b/>
          <w:bCs/>
          <w:color w:val="auto"/>
          <w:sz w:val="24"/>
          <w:highlight w:val="none"/>
          <w:lang w:val="en-US" w:eastAsia="zh-CN"/>
        </w:rPr>
      </w:pPr>
    </w:p>
    <w:p>
      <w:pPr>
        <w:rPr>
          <w:rFonts w:hint="eastAsia" w:ascii="仿宋" w:hAnsi="仿宋" w:eastAsia="仿宋"/>
          <w:b/>
          <w:bCs/>
          <w:color w:val="auto"/>
          <w:sz w:val="24"/>
          <w:highlight w:val="none"/>
          <w:lang w:val="en-US" w:eastAsia="zh-CN"/>
        </w:rPr>
      </w:pPr>
    </w:p>
    <w:p>
      <w:pPr>
        <w:rPr>
          <w:rFonts w:hint="eastAsia" w:ascii="仿宋" w:hAnsi="仿宋" w:eastAsia="仿宋"/>
          <w:b/>
          <w:bCs/>
          <w:color w:val="auto"/>
          <w:sz w:val="24"/>
          <w:highlight w:val="none"/>
          <w:lang w:val="en-US" w:eastAsia="zh-CN"/>
        </w:rPr>
      </w:pPr>
    </w:p>
    <w:p>
      <w:pPr>
        <w:rPr>
          <w:rFonts w:hint="eastAsia" w:ascii="仿宋" w:hAnsi="仿宋" w:eastAsia="仿宋"/>
          <w:b/>
          <w:bCs/>
          <w:color w:val="auto"/>
          <w:sz w:val="24"/>
          <w:highlight w:val="none"/>
          <w:lang w:val="en-US" w:eastAsia="zh-CN"/>
        </w:rPr>
      </w:pPr>
    </w:p>
    <w:p>
      <w:pPr>
        <w:rPr>
          <w:rFonts w:hint="eastAsia" w:ascii="仿宋" w:hAnsi="仿宋" w:eastAsia="仿宋"/>
          <w:b/>
          <w:bCs/>
          <w:color w:val="auto"/>
          <w:sz w:val="24"/>
          <w:highlight w:val="none"/>
          <w:lang w:val="en-US" w:eastAsia="zh-CN"/>
        </w:rPr>
      </w:pPr>
    </w:p>
    <w:p>
      <w:pPr>
        <w:pStyle w:val="2"/>
        <w:rPr>
          <w:rFonts w:hint="eastAsia"/>
          <w:highlight w:val="none"/>
        </w:rPr>
      </w:pPr>
    </w:p>
    <w:p>
      <w:pPr>
        <w:ind w:firstLine="640"/>
        <w:rPr>
          <w:rFonts w:hint="eastAsia" w:ascii="仿宋" w:hAnsi="仿宋" w:eastAsia="仿宋" w:cs="仿宋"/>
          <w:color w:val="auto"/>
          <w:sz w:val="32"/>
          <w:szCs w:val="32"/>
          <w:highlight w:val="none"/>
        </w:rPr>
      </w:pP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20" w:firstLineChars="200"/>
        <w:jc w:val="left"/>
        <w:textAlignment w:val="auto"/>
        <w:rPr>
          <w:rFonts w:hint="eastAsia" w:ascii="仿宋" w:hAnsi="仿宋" w:eastAsia="仿宋" w:cs="仿宋"/>
          <w:color w:val="000000"/>
          <w:kern w:val="0"/>
          <w:sz w:val="31"/>
          <w:szCs w:val="31"/>
          <w:highlight w:val="none"/>
          <w:lang w:val="en-US" w:eastAsia="zh-CN" w:bidi="ar"/>
        </w:rPr>
      </w:pPr>
    </w:p>
    <w:sectPr>
      <w:footerReference r:id="rId5" w:type="default"/>
      <w:pgSz w:w="11906" w:h="16838"/>
      <w:pgMar w:top="993" w:right="1416" w:bottom="1135" w:left="141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serif">
    <w:altName w:val="Noto Sans CJK HK"/>
    <w:panose1 w:val="00000000000000000000"/>
    <w:charset w:val="00"/>
    <w:family w:val="auto"/>
    <w:pitch w:val="default"/>
    <w:sig w:usb0="00000000" w:usb1="00000000" w:usb2="00000000" w:usb3="00000000" w:csb0="00040001" w:csb1="00000000"/>
  </w:font>
  <w:font w:name="Noto Sans CJK HK">
    <w:panose1 w:val="020B0500000000000000"/>
    <w:charset w:val="88"/>
    <w:family w:val="auto"/>
    <w:pitch w:val="default"/>
    <w:sig w:usb0="30000083" w:usb1="2BDF3C10" w:usb2="00000016" w:usb3="00000000" w:csb0="603A0107"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Gungsuh">
    <w:altName w:val="方正书宋_GBK"/>
    <w:panose1 w:val="02030600000101010101"/>
    <w:charset w:val="81"/>
    <w:family w:val="auto"/>
    <w:pitch w:val="default"/>
    <w:sig w:usb0="00000000" w:usb1="00000000" w:usb2="00000030" w:usb3="00000000" w:csb0="4008009F" w:csb1="DFD70000"/>
  </w:font>
  <w:font w:name="Wingdings 2">
    <w:panose1 w:val="05020102010507070707"/>
    <w:charset w:val="00"/>
    <w:family w:val="auto"/>
    <w:pitch w:val="default"/>
    <w:sig w:usb0="00000000" w:usb1="00000000" w:usb2="00000000" w:usb3="00000000" w:csb0="8000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7</w:t>
    </w:r>
    <w:r>
      <w:fldChar w:fldCharType="end"/>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60" w:lineRule="auto"/>
      </w:pPr>
      <w:r>
        <w:separator/>
      </w:r>
    </w:p>
  </w:footnote>
  <w:footnote w:type="continuationSeparator" w:id="3">
    <w:p>
      <w:pPr>
        <w:spacing w:line="360" w:lineRule="auto"/>
      </w:pPr>
      <w:r>
        <w:continuationSeparator/>
      </w:r>
    </w:p>
  </w:footnote>
  <w:footnote w:id="0">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jc w:val="left"/>
        <w:textAlignment w:val="auto"/>
        <w:outlineLvl w:val="9"/>
        <w:rPr>
          <w:rFonts w:ascii="Calibri" w:hAnsi="Calibri" w:eastAsia="宋体" w:cs="黑体"/>
          <w:b/>
          <w:bCs/>
          <w:kern w:val="2"/>
          <w:sz w:val="18"/>
          <w:szCs w:val="18"/>
          <w:lang w:val="en-US" w:eastAsia="zh-CN" w:bidi="ar-SA"/>
        </w:rPr>
      </w:pPr>
      <w:r>
        <w:rPr>
          <w:rStyle w:val="23"/>
          <w:rFonts w:hint="eastAsia" w:ascii="楷体" w:hAnsi="楷体" w:eastAsia="楷体" w:cs="楷体"/>
          <w:b/>
          <w:bCs/>
          <w:color w:val="0000FA"/>
          <w:kern w:val="2"/>
          <w:sz w:val="28"/>
          <w:szCs w:val="28"/>
          <w:lang w:val="en-US" w:eastAsia="zh-CN" w:bidi="ar-SA"/>
        </w:rPr>
        <w:footnoteRef/>
      </w:r>
      <w:r>
        <w:rPr>
          <w:rFonts w:hint="eastAsia" w:ascii="楷体" w:hAnsi="楷体" w:eastAsia="楷体" w:cs="楷体"/>
          <w:b/>
          <w:bCs/>
          <w:color w:val="0000FA"/>
          <w:kern w:val="2"/>
          <w:sz w:val="28"/>
          <w:szCs w:val="28"/>
          <w:lang w:val="en-US" w:eastAsia="zh-CN" w:bidi="ar-SA"/>
        </w:rPr>
        <w:t xml:space="preserve"> 注：本示范文本中标注为“□”的为多选项；标注“○”的为单选项。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466549"/>
    <w:multiLevelType w:val="singleLevel"/>
    <w:tmpl w:val="96466549"/>
    <w:lvl w:ilvl="0" w:tentative="0">
      <w:start w:val="1"/>
      <w:numFmt w:val="chineseCounting"/>
      <w:suff w:val="nothing"/>
      <w:lvlText w:val="（%1）"/>
      <w:lvlJc w:val="left"/>
      <w:rPr>
        <w:rFonts w:hint="eastAsia"/>
      </w:rPr>
    </w:lvl>
  </w:abstractNum>
  <w:abstractNum w:abstractNumId="1">
    <w:nsid w:val="96DD6B6E"/>
    <w:multiLevelType w:val="singleLevel"/>
    <w:tmpl w:val="96DD6B6E"/>
    <w:lvl w:ilvl="0" w:tentative="0">
      <w:start w:val="11"/>
      <w:numFmt w:val="chineseCounting"/>
      <w:suff w:val="space"/>
      <w:lvlText w:val="第%1条"/>
      <w:lvlJc w:val="left"/>
      <w:rPr>
        <w:rFonts w:hint="eastAsia"/>
      </w:rPr>
    </w:lvl>
  </w:abstractNum>
  <w:abstractNum w:abstractNumId="2">
    <w:nsid w:val="CB28B054"/>
    <w:multiLevelType w:val="singleLevel"/>
    <w:tmpl w:val="CB28B054"/>
    <w:lvl w:ilvl="0" w:tentative="0">
      <w:start w:val="1"/>
      <w:numFmt w:val="chineseCounting"/>
      <w:suff w:val="space"/>
      <w:lvlText w:val="第%1章"/>
      <w:lvlJc w:val="left"/>
      <w:rPr>
        <w:rFonts w:hint="eastAsia"/>
      </w:rPr>
    </w:lvl>
  </w:abstractNum>
  <w:abstractNum w:abstractNumId="3">
    <w:nsid w:val="CEA0F65F"/>
    <w:multiLevelType w:val="singleLevel"/>
    <w:tmpl w:val="CEA0F65F"/>
    <w:lvl w:ilvl="0" w:tentative="0">
      <w:start w:val="1"/>
      <w:numFmt w:val="chineseCounting"/>
      <w:suff w:val="nothing"/>
      <w:lvlText w:val="（%1）"/>
      <w:lvlJc w:val="left"/>
      <w:rPr>
        <w:rFonts w:hint="eastAsia"/>
      </w:rPr>
    </w:lvl>
  </w:abstractNum>
  <w:abstractNum w:abstractNumId="4">
    <w:nsid w:val="5F35FC21"/>
    <w:multiLevelType w:val="singleLevel"/>
    <w:tmpl w:val="5F35FC21"/>
    <w:lvl w:ilvl="0" w:tentative="0">
      <w:start w:val="7"/>
      <w:numFmt w:val="chineseCounting"/>
      <w:suff w:val="nothing"/>
      <w:lvlText w:val="（%1）"/>
      <w:lvlJc w:val="left"/>
      <w:rPr>
        <w:rFonts w:hint="eastAsia"/>
      </w:rPr>
    </w:lvl>
  </w:abstractNum>
  <w:abstractNum w:abstractNumId="5">
    <w:nsid w:val="6CF01098"/>
    <w:multiLevelType w:val="singleLevel"/>
    <w:tmpl w:val="6CF01098"/>
    <w:lvl w:ilvl="0" w:tentative="0">
      <w:start w:val="1"/>
      <w:numFmt w:val="chineseCounting"/>
      <w:suff w:val="nothing"/>
      <w:lvlText w:val="（%1）"/>
      <w:lvlJc w:val="left"/>
      <w:rPr>
        <w:rFonts w:hint="eastAsia"/>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NTFiMDYyZmUzMDA2NGEyMTQ4MzRhNzFlYzhkOTIifQ=="/>
  </w:docVars>
  <w:rsids>
    <w:rsidRoot w:val="00B56C07"/>
    <w:rsid w:val="0001059F"/>
    <w:rsid w:val="00014834"/>
    <w:rsid w:val="00016C3F"/>
    <w:rsid w:val="000214F6"/>
    <w:rsid w:val="00021F92"/>
    <w:rsid w:val="00040A66"/>
    <w:rsid w:val="00043079"/>
    <w:rsid w:val="00053B6C"/>
    <w:rsid w:val="00062B4E"/>
    <w:rsid w:val="00062BFE"/>
    <w:rsid w:val="0006726A"/>
    <w:rsid w:val="000706A0"/>
    <w:rsid w:val="00075483"/>
    <w:rsid w:val="0007570E"/>
    <w:rsid w:val="000852ED"/>
    <w:rsid w:val="000869D0"/>
    <w:rsid w:val="000873CE"/>
    <w:rsid w:val="000A12B6"/>
    <w:rsid w:val="000A692A"/>
    <w:rsid w:val="000B3735"/>
    <w:rsid w:val="000C0F64"/>
    <w:rsid w:val="000D20A9"/>
    <w:rsid w:val="000E3F2F"/>
    <w:rsid w:val="000F1B48"/>
    <w:rsid w:val="000F511B"/>
    <w:rsid w:val="000F7141"/>
    <w:rsid w:val="00102CAB"/>
    <w:rsid w:val="00104057"/>
    <w:rsid w:val="0012065E"/>
    <w:rsid w:val="00122D43"/>
    <w:rsid w:val="0012582B"/>
    <w:rsid w:val="00127980"/>
    <w:rsid w:val="00133592"/>
    <w:rsid w:val="00146401"/>
    <w:rsid w:val="00152810"/>
    <w:rsid w:val="00154B1C"/>
    <w:rsid w:val="00166801"/>
    <w:rsid w:val="00166816"/>
    <w:rsid w:val="00171507"/>
    <w:rsid w:val="00172A11"/>
    <w:rsid w:val="00181501"/>
    <w:rsid w:val="00182837"/>
    <w:rsid w:val="00192289"/>
    <w:rsid w:val="001B174D"/>
    <w:rsid w:val="001B45FF"/>
    <w:rsid w:val="001B7A17"/>
    <w:rsid w:val="001C1A11"/>
    <w:rsid w:val="001D338A"/>
    <w:rsid w:val="001D643B"/>
    <w:rsid w:val="001D729A"/>
    <w:rsid w:val="001E112A"/>
    <w:rsid w:val="001E1EF1"/>
    <w:rsid w:val="001F3C6D"/>
    <w:rsid w:val="00204C6E"/>
    <w:rsid w:val="00206213"/>
    <w:rsid w:val="00207515"/>
    <w:rsid w:val="00216618"/>
    <w:rsid w:val="00216A33"/>
    <w:rsid w:val="00216A78"/>
    <w:rsid w:val="00221799"/>
    <w:rsid w:val="002217F0"/>
    <w:rsid w:val="00225242"/>
    <w:rsid w:val="0023236F"/>
    <w:rsid w:val="002536A3"/>
    <w:rsid w:val="00253D44"/>
    <w:rsid w:val="00260A68"/>
    <w:rsid w:val="00261DDD"/>
    <w:rsid w:val="00272C7F"/>
    <w:rsid w:val="00280549"/>
    <w:rsid w:val="0028705D"/>
    <w:rsid w:val="00294EE1"/>
    <w:rsid w:val="00297E9C"/>
    <w:rsid w:val="002B486D"/>
    <w:rsid w:val="002B5D1A"/>
    <w:rsid w:val="002C3DD6"/>
    <w:rsid w:val="002C7181"/>
    <w:rsid w:val="002E203E"/>
    <w:rsid w:val="002E7FFC"/>
    <w:rsid w:val="002F068B"/>
    <w:rsid w:val="002F5072"/>
    <w:rsid w:val="00300107"/>
    <w:rsid w:val="00301DDB"/>
    <w:rsid w:val="00314124"/>
    <w:rsid w:val="0031550B"/>
    <w:rsid w:val="00327A09"/>
    <w:rsid w:val="003311C1"/>
    <w:rsid w:val="00334198"/>
    <w:rsid w:val="00347F2F"/>
    <w:rsid w:val="003600F1"/>
    <w:rsid w:val="003612FE"/>
    <w:rsid w:val="003613D3"/>
    <w:rsid w:val="00362F5C"/>
    <w:rsid w:val="00365050"/>
    <w:rsid w:val="003662D2"/>
    <w:rsid w:val="00373672"/>
    <w:rsid w:val="00373C4A"/>
    <w:rsid w:val="00375FBF"/>
    <w:rsid w:val="00382630"/>
    <w:rsid w:val="00382CA5"/>
    <w:rsid w:val="00383BC6"/>
    <w:rsid w:val="00390D5B"/>
    <w:rsid w:val="003921A1"/>
    <w:rsid w:val="003A2854"/>
    <w:rsid w:val="003A499E"/>
    <w:rsid w:val="003B492A"/>
    <w:rsid w:val="003B5E6E"/>
    <w:rsid w:val="003B7CDE"/>
    <w:rsid w:val="003C382D"/>
    <w:rsid w:val="003D207A"/>
    <w:rsid w:val="003F6C96"/>
    <w:rsid w:val="004144A5"/>
    <w:rsid w:val="004158A7"/>
    <w:rsid w:val="0042101B"/>
    <w:rsid w:val="00432BCE"/>
    <w:rsid w:val="0043653C"/>
    <w:rsid w:val="00436F9C"/>
    <w:rsid w:val="00465EDE"/>
    <w:rsid w:val="004747C9"/>
    <w:rsid w:val="004A60F8"/>
    <w:rsid w:val="004B45B4"/>
    <w:rsid w:val="004F33F3"/>
    <w:rsid w:val="004F76FF"/>
    <w:rsid w:val="00516E81"/>
    <w:rsid w:val="005219FD"/>
    <w:rsid w:val="0052494D"/>
    <w:rsid w:val="00532509"/>
    <w:rsid w:val="005366CB"/>
    <w:rsid w:val="00545FF5"/>
    <w:rsid w:val="00546CA1"/>
    <w:rsid w:val="005573FA"/>
    <w:rsid w:val="005665EE"/>
    <w:rsid w:val="00567FAA"/>
    <w:rsid w:val="00587619"/>
    <w:rsid w:val="00587C5A"/>
    <w:rsid w:val="00591896"/>
    <w:rsid w:val="00594C0C"/>
    <w:rsid w:val="005A22A0"/>
    <w:rsid w:val="005C378A"/>
    <w:rsid w:val="005C6608"/>
    <w:rsid w:val="005D2BFD"/>
    <w:rsid w:val="006011A3"/>
    <w:rsid w:val="00603182"/>
    <w:rsid w:val="006041B2"/>
    <w:rsid w:val="00611071"/>
    <w:rsid w:val="006163C2"/>
    <w:rsid w:val="006226C9"/>
    <w:rsid w:val="00626086"/>
    <w:rsid w:val="00626F7E"/>
    <w:rsid w:val="00632B46"/>
    <w:rsid w:val="006336C6"/>
    <w:rsid w:val="006342B1"/>
    <w:rsid w:val="0063495D"/>
    <w:rsid w:val="006367AF"/>
    <w:rsid w:val="0063775A"/>
    <w:rsid w:val="00641946"/>
    <w:rsid w:val="00647F63"/>
    <w:rsid w:val="00651C2F"/>
    <w:rsid w:val="00681E3D"/>
    <w:rsid w:val="006925C2"/>
    <w:rsid w:val="00692B74"/>
    <w:rsid w:val="00695761"/>
    <w:rsid w:val="00697BF8"/>
    <w:rsid w:val="006A1FE8"/>
    <w:rsid w:val="006A459D"/>
    <w:rsid w:val="006B2B2B"/>
    <w:rsid w:val="006B492D"/>
    <w:rsid w:val="006C611B"/>
    <w:rsid w:val="006D398A"/>
    <w:rsid w:val="006E67C3"/>
    <w:rsid w:val="006F141A"/>
    <w:rsid w:val="006F28FD"/>
    <w:rsid w:val="006F5F80"/>
    <w:rsid w:val="00701BCF"/>
    <w:rsid w:val="00702DF3"/>
    <w:rsid w:val="0071038D"/>
    <w:rsid w:val="00712695"/>
    <w:rsid w:val="00726A13"/>
    <w:rsid w:val="00733695"/>
    <w:rsid w:val="00733C71"/>
    <w:rsid w:val="00746DDE"/>
    <w:rsid w:val="00746FFC"/>
    <w:rsid w:val="00761173"/>
    <w:rsid w:val="007640E9"/>
    <w:rsid w:val="00765625"/>
    <w:rsid w:val="007668CB"/>
    <w:rsid w:val="007769B5"/>
    <w:rsid w:val="00777EED"/>
    <w:rsid w:val="00781B85"/>
    <w:rsid w:val="007820A4"/>
    <w:rsid w:val="007855B4"/>
    <w:rsid w:val="007A59EB"/>
    <w:rsid w:val="007B6702"/>
    <w:rsid w:val="007B6EE7"/>
    <w:rsid w:val="007E30F0"/>
    <w:rsid w:val="007F3AA7"/>
    <w:rsid w:val="007F5C4E"/>
    <w:rsid w:val="0080335D"/>
    <w:rsid w:val="008201D6"/>
    <w:rsid w:val="0082050B"/>
    <w:rsid w:val="0082063C"/>
    <w:rsid w:val="00830C0D"/>
    <w:rsid w:val="00832776"/>
    <w:rsid w:val="0083611D"/>
    <w:rsid w:val="00843B3C"/>
    <w:rsid w:val="00845757"/>
    <w:rsid w:val="00861911"/>
    <w:rsid w:val="008633EF"/>
    <w:rsid w:val="00881804"/>
    <w:rsid w:val="008A455D"/>
    <w:rsid w:val="008A5852"/>
    <w:rsid w:val="008B1076"/>
    <w:rsid w:val="008B150F"/>
    <w:rsid w:val="008C6E08"/>
    <w:rsid w:val="008D5670"/>
    <w:rsid w:val="008E4AEE"/>
    <w:rsid w:val="008F659A"/>
    <w:rsid w:val="00901DC4"/>
    <w:rsid w:val="009037DB"/>
    <w:rsid w:val="00906336"/>
    <w:rsid w:val="0090692F"/>
    <w:rsid w:val="0091603A"/>
    <w:rsid w:val="00917625"/>
    <w:rsid w:val="009308C0"/>
    <w:rsid w:val="00946053"/>
    <w:rsid w:val="00947654"/>
    <w:rsid w:val="00952E81"/>
    <w:rsid w:val="009779D0"/>
    <w:rsid w:val="009856FB"/>
    <w:rsid w:val="00991993"/>
    <w:rsid w:val="0099679C"/>
    <w:rsid w:val="009A1538"/>
    <w:rsid w:val="009B4E7E"/>
    <w:rsid w:val="009C1673"/>
    <w:rsid w:val="009D178A"/>
    <w:rsid w:val="009D2A7F"/>
    <w:rsid w:val="009E1F1D"/>
    <w:rsid w:val="009F2AC6"/>
    <w:rsid w:val="009F3A81"/>
    <w:rsid w:val="009F70BB"/>
    <w:rsid w:val="00A01D8E"/>
    <w:rsid w:val="00A02680"/>
    <w:rsid w:val="00A07B79"/>
    <w:rsid w:val="00A12651"/>
    <w:rsid w:val="00A2362A"/>
    <w:rsid w:val="00A23E25"/>
    <w:rsid w:val="00A3297C"/>
    <w:rsid w:val="00A44663"/>
    <w:rsid w:val="00A45DF7"/>
    <w:rsid w:val="00A54AD5"/>
    <w:rsid w:val="00A550AF"/>
    <w:rsid w:val="00A55872"/>
    <w:rsid w:val="00A5622B"/>
    <w:rsid w:val="00A60054"/>
    <w:rsid w:val="00A615E5"/>
    <w:rsid w:val="00A619A0"/>
    <w:rsid w:val="00A76E9D"/>
    <w:rsid w:val="00A82751"/>
    <w:rsid w:val="00A834CA"/>
    <w:rsid w:val="00A8362B"/>
    <w:rsid w:val="00A919F9"/>
    <w:rsid w:val="00A91C4E"/>
    <w:rsid w:val="00A948A1"/>
    <w:rsid w:val="00AA21F0"/>
    <w:rsid w:val="00AA2898"/>
    <w:rsid w:val="00AA7630"/>
    <w:rsid w:val="00AC04DB"/>
    <w:rsid w:val="00AC5EEB"/>
    <w:rsid w:val="00AD055A"/>
    <w:rsid w:val="00AD0615"/>
    <w:rsid w:val="00AE7C98"/>
    <w:rsid w:val="00AF78D5"/>
    <w:rsid w:val="00B02F88"/>
    <w:rsid w:val="00B05F98"/>
    <w:rsid w:val="00B10ECF"/>
    <w:rsid w:val="00B11294"/>
    <w:rsid w:val="00B21556"/>
    <w:rsid w:val="00B36E59"/>
    <w:rsid w:val="00B3718B"/>
    <w:rsid w:val="00B47B98"/>
    <w:rsid w:val="00B508DD"/>
    <w:rsid w:val="00B56C07"/>
    <w:rsid w:val="00B75AF4"/>
    <w:rsid w:val="00B922EF"/>
    <w:rsid w:val="00B9361B"/>
    <w:rsid w:val="00B947C8"/>
    <w:rsid w:val="00BA26EC"/>
    <w:rsid w:val="00BA5615"/>
    <w:rsid w:val="00BA61F0"/>
    <w:rsid w:val="00BB73E4"/>
    <w:rsid w:val="00BC129B"/>
    <w:rsid w:val="00BC1432"/>
    <w:rsid w:val="00BC6CC2"/>
    <w:rsid w:val="00BD662F"/>
    <w:rsid w:val="00BD70DB"/>
    <w:rsid w:val="00BE4A43"/>
    <w:rsid w:val="00BE521D"/>
    <w:rsid w:val="00BF1846"/>
    <w:rsid w:val="00C04324"/>
    <w:rsid w:val="00C05B14"/>
    <w:rsid w:val="00C139BF"/>
    <w:rsid w:val="00C350EF"/>
    <w:rsid w:val="00C54298"/>
    <w:rsid w:val="00C62F4F"/>
    <w:rsid w:val="00C64352"/>
    <w:rsid w:val="00C658E9"/>
    <w:rsid w:val="00C70EA1"/>
    <w:rsid w:val="00C740D6"/>
    <w:rsid w:val="00C74E62"/>
    <w:rsid w:val="00C7734C"/>
    <w:rsid w:val="00C857D2"/>
    <w:rsid w:val="00CB202D"/>
    <w:rsid w:val="00CB6749"/>
    <w:rsid w:val="00CC5F3B"/>
    <w:rsid w:val="00CD14CF"/>
    <w:rsid w:val="00CE2AAA"/>
    <w:rsid w:val="00CE3A0B"/>
    <w:rsid w:val="00CF02B9"/>
    <w:rsid w:val="00CF5E82"/>
    <w:rsid w:val="00CF65DB"/>
    <w:rsid w:val="00CF68EC"/>
    <w:rsid w:val="00D06821"/>
    <w:rsid w:val="00D14D05"/>
    <w:rsid w:val="00D24BC1"/>
    <w:rsid w:val="00D30F67"/>
    <w:rsid w:val="00D323E9"/>
    <w:rsid w:val="00D32BCB"/>
    <w:rsid w:val="00D373D7"/>
    <w:rsid w:val="00D462B2"/>
    <w:rsid w:val="00D466DE"/>
    <w:rsid w:val="00D5331B"/>
    <w:rsid w:val="00D61EA3"/>
    <w:rsid w:val="00D644E9"/>
    <w:rsid w:val="00D744C1"/>
    <w:rsid w:val="00D80452"/>
    <w:rsid w:val="00D95836"/>
    <w:rsid w:val="00D95A5C"/>
    <w:rsid w:val="00DA05EE"/>
    <w:rsid w:val="00DA3CCD"/>
    <w:rsid w:val="00DB4DAD"/>
    <w:rsid w:val="00DC66BE"/>
    <w:rsid w:val="00DD1797"/>
    <w:rsid w:val="00DF157A"/>
    <w:rsid w:val="00DF4AEE"/>
    <w:rsid w:val="00DF531F"/>
    <w:rsid w:val="00E0293D"/>
    <w:rsid w:val="00E06824"/>
    <w:rsid w:val="00E2537F"/>
    <w:rsid w:val="00E265DE"/>
    <w:rsid w:val="00E31257"/>
    <w:rsid w:val="00E37847"/>
    <w:rsid w:val="00E43A93"/>
    <w:rsid w:val="00E61EEA"/>
    <w:rsid w:val="00E647A9"/>
    <w:rsid w:val="00E722B0"/>
    <w:rsid w:val="00E73AF9"/>
    <w:rsid w:val="00E76A8F"/>
    <w:rsid w:val="00E8175B"/>
    <w:rsid w:val="00E819AF"/>
    <w:rsid w:val="00E861E1"/>
    <w:rsid w:val="00E95993"/>
    <w:rsid w:val="00EA26D3"/>
    <w:rsid w:val="00EA3302"/>
    <w:rsid w:val="00EA3619"/>
    <w:rsid w:val="00EA43D4"/>
    <w:rsid w:val="00EA55E1"/>
    <w:rsid w:val="00ED3E31"/>
    <w:rsid w:val="00EE549F"/>
    <w:rsid w:val="00EE7C30"/>
    <w:rsid w:val="00F110CD"/>
    <w:rsid w:val="00F13AE2"/>
    <w:rsid w:val="00F17FE0"/>
    <w:rsid w:val="00F3000F"/>
    <w:rsid w:val="00F37E3B"/>
    <w:rsid w:val="00F471D0"/>
    <w:rsid w:val="00F53DBF"/>
    <w:rsid w:val="00F6444A"/>
    <w:rsid w:val="00F75AF5"/>
    <w:rsid w:val="00F77C5A"/>
    <w:rsid w:val="00F81B35"/>
    <w:rsid w:val="00F92B25"/>
    <w:rsid w:val="00F942E9"/>
    <w:rsid w:val="00F96EAF"/>
    <w:rsid w:val="00FA726A"/>
    <w:rsid w:val="00FB7D66"/>
    <w:rsid w:val="00FC078C"/>
    <w:rsid w:val="00FC3F07"/>
    <w:rsid w:val="00FC44A9"/>
    <w:rsid w:val="00FC4DD2"/>
    <w:rsid w:val="00FC6FF4"/>
    <w:rsid w:val="00FD05EA"/>
    <w:rsid w:val="00FD0951"/>
    <w:rsid w:val="00FD6547"/>
    <w:rsid w:val="00FE1BAA"/>
    <w:rsid w:val="00FF0EDF"/>
    <w:rsid w:val="02CF1530"/>
    <w:rsid w:val="032A04FE"/>
    <w:rsid w:val="038C4224"/>
    <w:rsid w:val="038F4619"/>
    <w:rsid w:val="043437A8"/>
    <w:rsid w:val="054B24BD"/>
    <w:rsid w:val="0601622D"/>
    <w:rsid w:val="0633258F"/>
    <w:rsid w:val="0699531B"/>
    <w:rsid w:val="06A96888"/>
    <w:rsid w:val="07B332D4"/>
    <w:rsid w:val="0B936AA0"/>
    <w:rsid w:val="0D4E0512"/>
    <w:rsid w:val="0E396E35"/>
    <w:rsid w:val="0F532FD3"/>
    <w:rsid w:val="0F757665"/>
    <w:rsid w:val="10DF2393"/>
    <w:rsid w:val="1203469E"/>
    <w:rsid w:val="12B04CAC"/>
    <w:rsid w:val="12BF0E40"/>
    <w:rsid w:val="13E8206B"/>
    <w:rsid w:val="147751C3"/>
    <w:rsid w:val="14CF68C8"/>
    <w:rsid w:val="15962A4B"/>
    <w:rsid w:val="16221E97"/>
    <w:rsid w:val="16630929"/>
    <w:rsid w:val="16752573"/>
    <w:rsid w:val="16DB7F9F"/>
    <w:rsid w:val="17B44C3D"/>
    <w:rsid w:val="1942250A"/>
    <w:rsid w:val="19ED0221"/>
    <w:rsid w:val="1A2A393C"/>
    <w:rsid w:val="1AFD767F"/>
    <w:rsid w:val="1B8662D6"/>
    <w:rsid w:val="1C391AF5"/>
    <w:rsid w:val="1E8731BC"/>
    <w:rsid w:val="1ED53372"/>
    <w:rsid w:val="1F255163"/>
    <w:rsid w:val="1F37AB54"/>
    <w:rsid w:val="20E36DAA"/>
    <w:rsid w:val="22175A07"/>
    <w:rsid w:val="22A61C78"/>
    <w:rsid w:val="22B91F8D"/>
    <w:rsid w:val="22CB64B5"/>
    <w:rsid w:val="2388668D"/>
    <w:rsid w:val="25654920"/>
    <w:rsid w:val="257E68C1"/>
    <w:rsid w:val="266106AA"/>
    <w:rsid w:val="28063D9C"/>
    <w:rsid w:val="289B04F1"/>
    <w:rsid w:val="29AB3E4E"/>
    <w:rsid w:val="29F00DA2"/>
    <w:rsid w:val="2A7A0EA1"/>
    <w:rsid w:val="2A8F29E5"/>
    <w:rsid w:val="2A913E99"/>
    <w:rsid w:val="2B9B6EBC"/>
    <w:rsid w:val="2DDECB11"/>
    <w:rsid w:val="2E9806CA"/>
    <w:rsid w:val="2F9C7A27"/>
    <w:rsid w:val="302443A5"/>
    <w:rsid w:val="30263C27"/>
    <w:rsid w:val="31345468"/>
    <w:rsid w:val="31B265A7"/>
    <w:rsid w:val="321C39C6"/>
    <w:rsid w:val="33297E52"/>
    <w:rsid w:val="33E4128E"/>
    <w:rsid w:val="33FE4433"/>
    <w:rsid w:val="34F7E742"/>
    <w:rsid w:val="353B33D0"/>
    <w:rsid w:val="35C00574"/>
    <w:rsid w:val="35DC557B"/>
    <w:rsid w:val="360360A2"/>
    <w:rsid w:val="36F74681"/>
    <w:rsid w:val="3753249D"/>
    <w:rsid w:val="375D5857"/>
    <w:rsid w:val="38746130"/>
    <w:rsid w:val="38C869A8"/>
    <w:rsid w:val="39902790"/>
    <w:rsid w:val="3AA44DF7"/>
    <w:rsid w:val="3B8218F1"/>
    <w:rsid w:val="3B9700CA"/>
    <w:rsid w:val="3C9C38D4"/>
    <w:rsid w:val="3D1F5B04"/>
    <w:rsid w:val="3D3448AB"/>
    <w:rsid w:val="3D4E326A"/>
    <w:rsid w:val="3D622C7D"/>
    <w:rsid w:val="3D6CC8CF"/>
    <w:rsid w:val="3FEE53BF"/>
    <w:rsid w:val="408C773C"/>
    <w:rsid w:val="41306DD5"/>
    <w:rsid w:val="42137035"/>
    <w:rsid w:val="42301414"/>
    <w:rsid w:val="429E7A4A"/>
    <w:rsid w:val="43BA034C"/>
    <w:rsid w:val="43D21B33"/>
    <w:rsid w:val="44C90A5B"/>
    <w:rsid w:val="44EB1528"/>
    <w:rsid w:val="454A30C7"/>
    <w:rsid w:val="458C0996"/>
    <w:rsid w:val="4654047F"/>
    <w:rsid w:val="4679498B"/>
    <w:rsid w:val="48184B4F"/>
    <w:rsid w:val="491448A8"/>
    <w:rsid w:val="49C90D47"/>
    <w:rsid w:val="49F922E9"/>
    <w:rsid w:val="4B366445"/>
    <w:rsid w:val="4B7E341E"/>
    <w:rsid w:val="4D653FB6"/>
    <w:rsid w:val="4DB373B7"/>
    <w:rsid w:val="4DB375E9"/>
    <w:rsid w:val="4DC11BBE"/>
    <w:rsid w:val="4E355908"/>
    <w:rsid w:val="4E5F4C59"/>
    <w:rsid w:val="51BE2A0F"/>
    <w:rsid w:val="533865CF"/>
    <w:rsid w:val="55A6111D"/>
    <w:rsid w:val="55BF2C7E"/>
    <w:rsid w:val="56DC0F71"/>
    <w:rsid w:val="58DE37BD"/>
    <w:rsid w:val="58DE7217"/>
    <w:rsid w:val="5AA12575"/>
    <w:rsid w:val="5ABD2753"/>
    <w:rsid w:val="5AD8082F"/>
    <w:rsid w:val="5AE821C9"/>
    <w:rsid w:val="5B307CEB"/>
    <w:rsid w:val="5B8C5BB8"/>
    <w:rsid w:val="5BA41B4A"/>
    <w:rsid w:val="5BE19E5D"/>
    <w:rsid w:val="5C14469A"/>
    <w:rsid w:val="5CED473A"/>
    <w:rsid w:val="5D6F023A"/>
    <w:rsid w:val="5DB55A61"/>
    <w:rsid w:val="5DC43BA0"/>
    <w:rsid w:val="5DCB4358"/>
    <w:rsid w:val="5E2D56A6"/>
    <w:rsid w:val="5F2F7047"/>
    <w:rsid w:val="5FF20D84"/>
    <w:rsid w:val="61B31098"/>
    <w:rsid w:val="63425475"/>
    <w:rsid w:val="63555DBD"/>
    <w:rsid w:val="64B16F2C"/>
    <w:rsid w:val="64C92EB4"/>
    <w:rsid w:val="656D7147"/>
    <w:rsid w:val="66CB3585"/>
    <w:rsid w:val="673779CF"/>
    <w:rsid w:val="676D700F"/>
    <w:rsid w:val="67E7395E"/>
    <w:rsid w:val="682B2C16"/>
    <w:rsid w:val="6AC3083A"/>
    <w:rsid w:val="6AD77907"/>
    <w:rsid w:val="6C2A11E1"/>
    <w:rsid w:val="6C802152"/>
    <w:rsid w:val="6C8FD46C"/>
    <w:rsid w:val="6E19616C"/>
    <w:rsid w:val="6E6D204A"/>
    <w:rsid w:val="6EE415D3"/>
    <w:rsid w:val="6F18C59B"/>
    <w:rsid w:val="6F973F55"/>
    <w:rsid w:val="6FBE3FDD"/>
    <w:rsid w:val="70722475"/>
    <w:rsid w:val="7172073E"/>
    <w:rsid w:val="71CF0BF6"/>
    <w:rsid w:val="728C08AA"/>
    <w:rsid w:val="735F36A4"/>
    <w:rsid w:val="7468220B"/>
    <w:rsid w:val="747A33D8"/>
    <w:rsid w:val="74B97DFE"/>
    <w:rsid w:val="750D1848"/>
    <w:rsid w:val="77275692"/>
    <w:rsid w:val="77F783A7"/>
    <w:rsid w:val="77FFC771"/>
    <w:rsid w:val="78B8791A"/>
    <w:rsid w:val="78F83707"/>
    <w:rsid w:val="7906392B"/>
    <w:rsid w:val="79B2527D"/>
    <w:rsid w:val="79D367DD"/>
    <w:rsid w:val="7A516DA0"/>
    <w:rsid w:val="7ABEC7DB"/>
    <w:rsid w:val="7BFF9326"/>
    <w:rsid w:val="7CA448CC"/>
    <w:rsid w:val="7DE03643"/>
    <w:rsid w:val="7DEA3814"/>
    <w:rsid w:val="7DFF2EF8"/>
    <w:rsid w:val="7E5B35D2"/>
    <w:rsid w:val="7EFF42B4"/>
    <w:rsid w:val="7F052C69"/>
    <w:rsid w:val="7F4F6C14"/>
    <w:rsid w:val="7FBE7A38"/>
    <w:rsid w:val="7FCD7E74"/>
    <w:rsid w:val="7FF4A3A6"/>
    <w:rsid w:val="7FFFB3ED"/>
    <w:rsid w:val="8BFFF78F"/>
    <w:rsid w:val="9BF9B901"/>
    <w:rsid w:val="AADF7735"/>
    <w:rsid w:val="AF2D1846"/>
    <w:rsid w:val="B97FF8A4"/>
    <w:rsid w:val="BF5F0436"/>
    <w:rsid w:val="D5F8CA46"/>
    <w:rsid w:val="DB9B564E"/>
    <w:rsid w:val="F57EFF63"/>
    <w:rsid w:val="F797DB71"/>
    <w:rsid w:val="F9FEE6BA"/>
    <w:rsid w:val="F9FFF1AC"/>
    <w:rsid w:val="FCFF9FEF"/>
    <w:rsid w:val="FD7D637B"/>
    <w:rsid w:val="FDC135B2"/>
    <w:rsid w:val="FEFB3DEA"/>
    <w:rsid w:val="FF2F427C"/>
    <w:rsid w:val="FF828A65"/>
    <w:rsid w:val="FFEF1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宋体" w:cs="黑体"/>
      <w:kern w:val="2"/>
      <w:sz w:val="21"/>
      <w:szCs w:val="22"/>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cs="宋体"/>
      <w:b/>
      <w:color w:val="333333"/>
      <w:kern w:val="44"/>
      <w:sz w:val="42"/>
      <w:szCs w:val="4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cs="宋体"/>
      <w:szCs w:val="21"/>
      <w:lang w:val="zh-CN" w:bidi="zh-CN"/>
    </w:rPr>
  </w:style>
  <w:style w:type="paragraph" w:styleId="4">
    <w:name w:val="annotation text"/>
    <w:basedOn w:val="1"/>
    <w:link w:val="32"/>
    <w:unhideWhenUsed/>
    <w:qFormat/>
    <w:uiPriority w:val="99"/>
    <w:pPr>
      <w:jc w:val="left"/>
    </w:pPr>
  </w:style>
  <w:style w:type="paragraph" w:styleId="5">
    <w:name w:val="Balloon Text"/>
    <w:basedOn w:val="1"/>
    <w:link w:val="31"/>
    <w:unhideWhenUsed/>
    <w:qFormat/>
    <w:uiPriority w:val="99"/>
    <w:pPr>
      <w:spacing w:line="240" w:lineRule="auto"/>
    </w:pPr>
    <w:rPr>
      <w:sz w:val="18"/>
      <w:szCs w:val="18"/>
    </w:rPr>
  </w:style>
  <w:style w:type="paragraph" w:styleId="6">
    <w:name w:val="footer"/>
    <w:basedOn w:val="1"/>
    <w:link w:val="30"/>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link w:val="2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footnote text"/>
    <w:basedOn w:val="1"/>
    <w:unhideWhenUsed/>
    <w:qFormat/>
    <w:uiPriority w:val="99"/>
    <w:pPr>
      <w:snapToGrid w:val="0"/>
      <w:jc w:val="left"/>
    </w:pPr>
    <w:rPr>
      <w:sz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annotation subject"/>
    <w:basedOn w:val="4"/>
    <w:next w:val="4"/>
    <w:link w:val="33"/>
    <w:unhideWhenUsed/>
    <w:qFormat/>
    <w:uiPriority w:val="99"/>
    <w:rPr>
      <w:b/>
      <w:bCs/>
    </w:rPr>
  </w:style>
  <w:style w:type="character" w:styleId="13">
    <w:name w:val="Strong"/>
    <w:basedOn w:val="12"/>
    <w:qFormat/>
    <w:uiPriority w:val="22"/>
    <w:rPr>
      <w:b/>
    </w:rPr>
  </w:style>
  <w:style w:type="character" w:styleId="14">
    <w:name w:val="page number"/>
    <w:basedOn w:val="12"/>
    <w:unhideWhenUsed/>
    <w:qFormat/>
    <w:uiPriority w:val="99"/>
  </w:style>
  <w:style w:type="character" w:styleId="15">
    <w:name w:val="FollowedHyperlink"/>
    <w:basedOn w:val="12"/>
    <w:unhideWhenUsed/>
    <w:qFormat/>
    <w:uiPriority w:val="99"/>
    <w:rPr>
      <w:color w:val="338DE6"/>
      <w:u w:val="none"/>
    </w:rPr>
  </w:style>
  <w:style w:type="character" w:styleId="16">
    <w:name w:val="Emphasis"/>
    <w:basedOn w:val="12"/>
    <w:qFormat/>
    <w:uiPriority w:val="20"/>
  </w:style>
  <w:style w:type="character" w:styleId="17">
    <w:name w:val="HTML Definition"/>
    <w:basedOn w:val="12"/>
    <w:unhideWhenUsed/>
    <w:qFormat/>
    <w:uiPriority w:val="99"/>
  </w:style>
  <w:style w:type="character" w:styleId="18">
    <w:name w:val="HTML Variable"/>
    <w:basedOn w:val="12"/>
    <w:unhideWhenUsed/>
    <w:qFormat/>
    <w:uiPriority w:val="99"/>
  </w:style>
  <w:style w:type="character" w:styleId="19">
    <w:name w:val="Hyperlink"/>
    <w:basedOn w:val="12"/>
    <w:unhideWhenUsed/>
    <w:qFormat/>
    <w:uiPriority w:val="99"/>
    <w:rPr>
      <w:color w:val="338DE6"/>
      <w:u w:val="none"/>
    </w:rPr>
  </w:style>
  <w:style w:type="character" w:styleId="20">
    <w:name w:val="HTML Code"/>
    <w:basedOn w:val="12"/>
    <w:unhideWhenUsed/>
    <w:qFormat/>
    <w:uiPriority w:val="99"/>
    <w:rPr>
      <w:rFonts w:ascii="serif" w:hAnsi="serif" w:eastAsia="serif" w:cs="serif"/>
      <w:sz w:val="21"/>
      <w:szCs w:val="21"/>
    </w:rPr>
  </w:style>
  <w:style w:type="character" w:styleId="21">
    <w:name w:val="annotation reference"/>
    <w:basedOn w:val="12"/>
    <w:unhideWhenUsed/>
    <w:qFormat/>
    <w:uiPriority w:val="99"/>
    <w:rPr>
      <w:sz w:val="21"/>
      <w:szCs w:val="21"/>
    </w:rPr>
  </w:style>
  <w:style w:type="character" w:styleId="22">
    <w:name w:val="HTML Cite"/>
    <w:basedOn w:val="12"/>
    <w:unhideWhenUsed/>
    <w:qFormat/>
    <w:uiPriority w:val="99"/>
  </w:style>
  <w:style w:type="character" w:styleId="23">
    <w:name w:val="footnote reference"/>
    <w:basedOn w:val="12"/>
    <w:unhideWhenUsed/>
    <w:qFormat/>
    <w:uiPriority w:val="99"/>
    <w:rPr>
      <w:vertAlign w:val="superscript"/>
    </w:rPr>
  </w:style>
  <w:style w:type="character" w:styleId="24">
    <w:name w:val="HTML Keyboard"/>
    <w:basedOn w:val="12"/>
    <w:unhideWhenUsed/>
    <w:qFormat/>
    <w:uiPriority w:val="99"/>
    <w:rPr>
      <w:rFonts w:hint="default" w:ascii="serif" w:hAnsi="serif" w:eastAsia="serif" w:cs="serif"/>
      <w:sz w:val="21"/>
      <w:szCs w:val="21"/>
    </w:rPr>
  </w:style>
  <w:style w:type="character" w:styleId="25">
    <w:name w:val="HTML Sample"/>
    <w:basedOn w:val="12"/>
    <w:unhideWhenUsed/>
    <w:qFormat/>
    <w:uiPriority w:val="99"/>
    <w:rPr>
      <w:rFonts w:hint="default" w:ascii="serif" w:hAnsi="serif" w:eastAsia="serif" w:cs="serif"/>
      <w:sz w:val="21"/>
      <w:szCs w:val="21"/>
    </w:rPr>
  </w:style>
  <w:style w:type="paragraph" w:customStyle="1" w:styleId="26">
    <w:name w:val="through-content"/>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27">
    <w:name w:val="列出段落1"/>
    <w:basedOn w:val="1"/>
    <w:qFormat/>
    <w:uiPriority w:val="99"/>
    <w:pPr>
      <w:ind w:firstLine="420" w:firstLineChars="200"/>
    </w:pPr>
  </w:style>
  <w:style w:type="paragraph" w:customStyle="1" w:styleId="28">
    <w:name w:val="List Paragraph1"/>
    <w:basedOn w:val="1"/>
    <w:qFormat/>
    <w:uiPriority w:val="34"/>
    <w:pPr>
      <w:ind w:left="720"/>
      <w:contextualSpacing/>
    </w:pPr>
  </w:style>
  <w:style w:type="character" w:customStyle="1" w:styleId="29">
    <w:name w:val="页眉 Char"/>
    <w:basedOn w:val="12"/>
    <w:link w:val="7"/>
    <w:qFormat/>
    <w:uiPriority w:val="99"/>
    <w:rPr>
      <w:sz w:val="18"/>
      <w:szCs w:val="18"/>
    </w:rPr>
  </w:style>
  <w:style w:type="character" w:customStyle="1" w:styleId="30">
    <w:name w:val="页脚 Char"/>
    <w:basedOn w:val="12"/>
    <w:link w:val="6"/>
    <w:qFormat/>
    <w:uiPriority w:val="99"/>
    <w:rPr>
      <w:sz w:val="18"/>
      <w:szCs w:val="18"/>
    </w:rPr>
  </w:style>
  <w:style w:type="character" w:customStyle="1" w:styleId="31">
    <w:name w:val="批注框文本 Char"/>
    <w:basedOn w:val="12"/>
    <w:link w:val="5"/>
    <w:semiHidden/>
    <w:qFormat/>
    <w:uiPriority w:val="99"/>
    <w:rPr>
      <w:sz w:val="18"/>
      <w:szCs w:val="18"/>
    </w:rPr>
  </w:style>
  <w:style w:type="character" w:customStyle="1" w:styleId="32">
    <w:name w:val="批注文字 Char"/>
    <w:basedOn w:val="12"/>
    <w:link w:val="4"/>
    <w:semiHidden/>
    <w:qFormat/>
    <w:uiPriority w:val="99"/>
    <w:rPr>
      <w:rFonts w:ascii="Calibri" w:hAnsi="Calibri" w:eastAsia="宋体" w:cs="黑体"/>
      <w:kern w:val="2"/>
      <w:sz w:val="21"/>
      <w:szCs w:val="22"/>
    </w:rPr>
  </w:style>
  <w:style w:type="character" w:customStyle="1" w:styleId="33">
    <w:name w:val="批注主题 Char"/>
    <w:basedOn w:val="32"/>
    <w:link w:val="10"/>
    <w:qFormat/>
    <w:uiPriority w:val="0"/>
    <w:rPr>
      <w:rFonts w:ascii="Calibri" w:hAnsi="Calibri" w:eastAsia="宋体" w:cs="黑体"/>
      <w:kern w:val="2"/>
      <w:sz w:val="21"/>
      <w:szCs w:val="22"/>
    </w:rPr>
  </w:style>
  <w:style w:type="character" w:customStyle="1" w:styleId="34">
    <w:name w:val="fontstrikethrough"/>
    <w:basedOn w:val="12"/>
    <w:qFormat/>
    <w:uiPriority w:val="0"/>
    <w:rPr>
      <w:strike/>
    </w:rPr>
  </w:style>
  <w:style w:type="character" w:customStyle="1" w:styleId="35">
    <w:name w:val="fontborder"/>
    <w:basedOn w:val="12"/>
    <w:qFormat/>
    <w:uiPriority w:val="0"/>
    <w:rPr>
      <w:bdr w:val="single" w:color="000000" w:sz="4" w:space="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18</Pages>
  <Words>7237</Words>
  <Characters>7269</Characters>
  <Lines>55</Lines>
  <Paragraphs>15</Paragraphs>
  <TotalTime>80</TotalTime>
  <ScaleCrop>false</ScaleCrop>
  <LinksUpToDate>false</LinksUpToDate>
  <CharactersWithSpaces>7937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2021-04-23T01:22:00Z</dcterms:created>
  <dc:creator>David</dc:creator>
  <cp:lastModifiedBy>chenxiangfan</cp:lastModifiedBy>
  <cp:lastPrinted>2020-04-15T00:52:00Z</cp:lastPrinted>
  <dcterms:modified xsi:type="dcterms:W3CDTF">2023-12-12T16:20:37Z</dcterms:modified>
  <dc:title>深圳市      区      街道     物业管理区域</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8FD5C72BC5266931D51778657846C779</vt:lpwstr>
  </property>
</Properties>
</file>