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采购项目需求方案</w:t>
      </w:r>
      <w:bookmarkStart w:id="0" w:name="_GoBack"/>
      <w:bookmarkEnd w:id="0"/>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0" w:type="auto"/>
        <w:tblInd w:w="0" w:type="dxa"/>
        <w:tblLayout w:type="autofit"/>
        <w:tblCellMar>
          <w:top w:w="0" w:type="dxa"/>
          <w:left w:w="108" w:type="dxa"/>
          <w:bottom w:w="0" w:type="dxa"/>
          <w:right w:w="108" w:type="dxa"/>
        </w:tblCellMar>
      </w:tblPr>
      <w:tblGrid>
        <w:gridCol w:w="1025"/>
        <w:gridCol w:w="2580"/>
        <w:gridCol w:w="1801"/>
        <w:gridCol w:w="2133"/>
        <w:gridCol w:w="1861"/>
      </w:tblGrid>
      <w:tr>
        <w:tblPrEx>
          <w:tblCellMar>
            <w:top w:w="0" w:type="dxa"/>
            <w:left w:w="108" w:type="dxa"/>
            <w:bottom w:w="0" w:type="dxa"/>
            <w:right w:w="108" w:type="dxa"/>
          </w:tblCellMar>
        </w:tblPrEx>
        <w:trPr>
          <w:trHeight w:val="567" w:hRule="exac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szCs w:val="24"/>
                <w:lang w:val="en-US" w:eastAsia="zh-CN" w:bidi="ar"/>
              </w:rPr>
              <w:t>益田社区2024年清洁及后勤保障综合服务项目</w:t>
            </w:r>
            <w:r>
              <w:rPr>
                <w:rFonts w:hint="eastAsia" w:ascii="仿宋_GB2312" w:hAnsi="仿宋_GB2312" w:eastAsia="仿宋_GB2312" w:cs="仿宋_GB2312"/>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265000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益田社区</w:t>
            </w:r>
            <w:r>
              <w:rPr>
                <w:rFonts w:hint="eastAsia" w:ascii="仿宋_GB2312" w:hAnsi="仿宋_GB2312" w:eastAsia="仿宋_GB2312" w:cs="仿宋_GB2312"/>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田丰</w:t>
            </w:r>
          </w:p>
        </w:tc>
      </w:tr>
      <w:tr>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0" w:type="auto"/>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25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0" w:type="auto"/>
            <w:gridSpan w:val="4"/>
            <w:tcBorders>
              <w:top w:val="single" w:color="auto" w:sz="4" w:space="0"/>
              <w:left w:val="nil"/>
              <w:bottom w:val="single" w:color="auto" w:sz="4" w:space="0"/>
              <w:right w:val="single" w:color="auto" w:sz="4" w:space="0"/>
            </w:tcBorders>
          </w:tcPr>
          <w:p>
            <w:pPr>
              <w:pStyle w:val="6"/>
              <w:keepNext w:val="0"/>
              <w:keepLines w:val="0"/>
              <w:widowControl/>
              <w:suppressLineNumbers w:val="0"/>
              <w:spacing w:before="0" w:beforeAutospacing="0" w:after="420" w:afterAutospacing="0" w:line="24" w:lineRule="atLeast"/>
              <w:ind w:left="0" w:right="0" w:firstLine="240" w:firstLineChars="1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为更好保障社区工作环境，解决</w:t>
            </w:r>
            <w:r>
              <w:rPr>
                <w:rFonts w:hint="eastAsia" w:ascii="仿宋_GB2312" w:hAnsi="仿宋_GB2312" w:eastAsia="仿宋_GB2312" w:cs="仿宋_GB2312"/>
                <w:kern w:val="0"/>
                <w:sz w:val="24"/>
                <w:lang w:eastAsia="zh-CN"/>
              </w:rPr>
              <w:t>社区工作人员</w:t>
            </w:r>
            <w:r>
              <w:rPr>
                <w:rFonts w:hint="eastAsia" w:ascii="仿宋_GB2312" w:hAnsi="仿宋_GB2312" w:eastAsia="仿宋_GB2312" w:cs="仿宋_GB2312"/>
                <w:kern w:val="0"/>
                <w:sz w:val="24"/>
              </w:rPr>
              <w:t>就餐，提高党群服务中心、中心广场、街道职康中心清洁水平，提升社区管理精细化水平。现拟聘请第三方服务公司协助完成益田社区清洁及后勤保障工作。</w:t>
            </w:r>
          </w:p>
        </w:tc>
      </w:tr>
      <w:tr>
        <w:tblPrEx>
          <w:tblCellMar>
            <w:top w:w="0" w:type="dxa"/>
            <w:left w:w="108" w:type="dxa"/>
            <w:bottom w:w="0" w:type="dxa"/>
            <w:right w:w="108" w:type="dxa"/>
          </w:tblCellMar>
        </w:tblPrEx>
        <w:trPr>
          <w:trHeight w:val="712"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0" w:type="auto"/>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240" w:firstLine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须严格按照各项</w:t>
            </w:r>
            <w:r>
              <w:rPr>
                <w:rFonts w:hint="eastAsia" w:ascii="仿宋_GB2312" w:hAnsi="仿宋_GB2312" w:eastAsia="仿宋_GB2312" w:cs="仿宋_GB2312"/>
                <w:kern w:val="0"/>
                <w:sz w:val="24"/>
                <w:lang w:eastAsia="zh-CN"/>
              </w:rPr>
              <w:t>行业</w:t>
            </w:r>
            <w:r>
              <w:rPr>
                <w:rFonts w:hint="eastAsia" w:ascii="仿宋_GB2312" w:hAnsi="仿宋_GB2312" w:eastAsia="仿宋_GB2312" w:cs="仿宋_GB2312"/>
                <w:kern w:val="0"/>
                <w:sz w:val="24"/>
              </w:rPr>
              <w:t>标准，提供专业、优质的清洁及后勤保障综合服务，接受甲方的监督和建议，并按甲方的清洁及后勤保障</w:t>
            </w:r>
            <w:r>
              <w:rPr>
                <w:rFonts w:hint="eastAsia" w:ascii="仿宋_GB2312" w:hAnsi="仿宋_GB2312" w:eastAsia="仿宋_GB2312" w:cs="仿宋_GB2312"/>
                <w:kern w:val="0"/>
                <w:sz w:val="24"/>
                <w:lang w:eastAsia="zh-CN"/>
              </w:rPr>
              <w:t>要求</w:t>
            </w:r>
            <w:r>
              <w:rPr>
                <w:rFonts w:hint="eastAsia" w:ascii="仿宋_GB2312" w:hAnsi="仿宋_GB2312" w:eastAsia="仿宋_GB2312" w:cs="仿宋_GB2312"/>
                <w:kern w:val="0"/>
                <w:sz w:val="24"/>
              </w:rPr>
              <w:t>标准作业，规范内部程序化管理，保洁范围为社区党群服务中心、街道职康中心、中心广场</w:t>
            </w:r>
            <w:r>
              <w:rPr>
                <w:rFonts w:hint="eastAsia" w:ascii="仿宋_GB2312" w:hAnsi="仿宋_GB2312" w:eastAsia="仿宋_GB2312" w:cs="仿宋_GB2312"/>
                <w:kern w:val="0"/>
                <w:sz w:val="24"/>
                <w:lang w:eastAsia="zh-CN"/>
              </w:rPr>
              <w:t>舞台</w:t>
            </w:r>
            <w:r>
              <w:rPr>
                <w:rFonts w:hint="eastAsia" w:ascii="仿宋_GB2312" w:hAnsi="仿宋_GB2312" w:eastAsia="仿宋_GB2312" w:cs="仿宋_GB2312"/>
                <w:kern w:val="0"/>
                <w:sz w:val="24"/>
              </w:rPr>
              <w:t>等区域共计3811.5平方米。提供做饭服务。每天为社区工作人员提供做饭服务（中餐1餐），同时保障</w:t>
            </w:r>
            <w:r>
              <w:rPr>
                <w:rFonts w:hint="eastAsia" w:ascii="仿宋_GB2312" w:hAnsi="仿宋_GB2312" w:eastAsia="仿宋_GB2312" w:cs="仿宋_GB2312"/>
                <w:kern w:val="0"/>
                <w:sz w:val="24"/>
                <w:lang w:eastAsia="zh-CN"/>
              </w:rPr>
              <w:t>益强居工作</w:t>
            </w:r>
            <w:r>
              <w:rPr>
                <w:rFonts w:hint="eastAsia" w:ascii="仿宋_GB2312" w:hAnsi="仿宋_GB2312" w:eastAsia="仿宋_GB2312" w:cs="仿宋_GB2312"/>
                <w:kern w:val="0"/>
                <w:sz w:val="24"/>
              </w:rPr>
              <w:t>区域干净整洁。</w:t>
            </w:r>
          </w:p>
        </w:tc>
      </w:tr>
      <w:tr>
        <w:tblPrEx>
          <w:tblCellMar>
            <w:top w:w="0" w:type="dxa"/>
            <w:left w:w="108" w:type="dxa"/>
            <w:bottom w:w="0" w:type="dxa"/>
            <w:right w:w="108" w:type="dxa"/>
          </w:tblCellMar>
        </w:tblPrEx>
        <w:trPr>
          <w:trHeight w:val="228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0" w:type="auto"/>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（分期付款：合同签订后，按</w:t>
            </w:r>
            <w:r>
              <w:rPr>
                <w:rFonts w:hint="eastAsia" w:ascii="仿宋_GB2312" w:hAnsi="仿宋_GB2312" w:eastAsia="仿宋_GB2312" w:cs="仿宋_GB2312"/>
                <w:kern w:val="0"/>
                <w:sz w:val="24"/>
                <w:lang w:eastAsia="zh-CN"/>
              </w:rPr>
              <w:t>月</w:t>
            </w:r>
            <w:r>
              <w:rPr>
                <w:rFonts w:hint="eastAsia" w:ascii="仿宋_GB2312" w:hAnsi="仿宋_GB2312" w:eastAsia="仿宋_GB2312" w:cs="仿宋_GB2312"/>
                <w:kern w:val="0"/>
                <w:sz w:val="24"/>
              </w:rPr>
              <w:t>付款，</w:t>
            </w:r>
            <w:r>
              <w:rPr>
                <w:rFonts w:hint="eastAsia" w:ascii="仿宋_GB2312" w:hAnsi="仿宋_GB2312" w:eastAsia="仿宋_GB2312" w:cs="仿宋_GB2312"/>
                <w:kern w:val="0"/>
                <w:sz w:val="24"/>
                <w:lang w:eastAsia="zh-CN"/>
              </w:rPr>
              <w:t>当月经甲方验收服务合格后，</w:t>
            </w:r>
            <w:r>
              <w:rPr>
                <w:rFonts w:hint="eastAsia" w:ascii="仿宋_GB2312" w:hAnsi="仿宋_GB2312" w:eastAsia="仿宋_GB2312" w:cs="仿宋_GB2312"/>
                <w:kern w:val="0"/>
                <w:sz w:val="24"/>
              </w:rPr>
              <w:t>乙方应于</w:t>
            </w:r>
            <w:r>
              <w:rPr>
                <w:rFonts w:hint="eastAsia" w:ascii="仿宋_GB2312" w:hAnsi="仿宋_GB2312" w:eastAsia="仿宋_GB2312" w:cs="仿宋_GB2312"/>
                <w:kern w:val="0"/>
                <w:sz w:val="24"/>
                <w:lang w:eastAsia="zh-CN"/>
              </w:rPr>
              <w:t>每</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号之前提供正规发票给甲方。甲方在收到乙方发票后10个工作日内，支付当</w:t>
            </w:r>
            <w:r>
              <w:rPr>
                <w:rFonts w:hint="eastAsia" w:ascii="仿宋_GB2312" w:hAnsi="仿宋_GB2312" w:eastAsia="仿宋_GB2312" w:cs="仿宋_GB2312"/>
                <w:kern w:val="0"/>
                <w:sz w:val="24"/>
                <w:lang w:eastAsia="zh-CN"/>
              </w:rPr>
              <w:t>月</w:t>
            </w:r>
            <w:r>
              <w:rPr>
                <w:rFonts w:hint="eastAsia" w:ascii="仿宋_GB2312" w:hAnsi="仿宋_GB2312" w:eastAsia="仿宋_GB2312" w:cs="仿宋_GB2312"/>
                <w:kern w:val="0"/>
                <w:sz w:val="24"/>
              </w:rPr>
              <w:t>的清洁综合服务费给乙方。）</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不高于预算金额。</w:t>
            </w:r>
          </w:p>
        </w:tc>
      </w:tr>
      <w:tr>
        <w:tblPrEx>
          <w:tblCellMar>
            <w:top w:w="0" w:type="dxa"/>
            <w:left w:w="108" w:type="dxa"/>
            <w:bottom w:w="0" w:type="dxa"/>
            <w:right w:w="108" w:type="dxa"/>
          </w:tblCellMar>
        </w:tblPrEx>
        <w:trPr>
          <w:trHeight w:val="143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0" w:type="auto"/>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1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0" w:type="auto"/>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6、可体现投标人综合实力及运营管理能力的其他资料。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66B13D0"/>
    <w:rsid w:val="172C00A3"/>
    <w:rsid w:val="18B761FE"/>
    <w:rsid w:val="194B399D"/>
    <w:rsid w:val="1AF3636A"/>
    <w:rsid w:val="1CD203FA"/>
    <w:rsid w:val="1D1041D7"/>
    <w:rsid w:val="251026CF"/>
    <w:rsid w:val="2E544988"/>
    <w:rsid w:val="2FBB6ACC"/>
    <w:rsid w:val="304A7E50"/>
    <w:rsid w:val="334D7C7F"/>
    <w:rsid w:val="340E45C5"/>
    <w:rsid w:val="3BE455FD"/>
    <w:rsid w:val="3F1434CE"/>
    <w:rsid w:val="416451E2"/>
    <w:rsid w:val="447E6A90"/>
    <w:rsid w:val="499C7517"/>
    <w:rsid w:val="4E144BA8"/>
    <w:rsid w:val="4E1E0521"/>
    <w:rsid w:val="4F0B6263"/>
    <w:rsid w:val="587C663C"/>
    <w:rsid w:val="5A771A36"/>
    <w:rsid w:val="5C8F69B7"/>
    <w:rsid w:val="5EBA216A"/>
    <w:rsid w:val="66AD6A92"/>
    <w:rsid w:val="66C374B6"/>
    <w:rsid w:val="6A1555D3"/>
    <w:rsid w:val="6C98583A"/>
    <w:rsid w:val="7AA526C2"/>
    <w:rsid w:val="7D8C2E2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2023-12-18T04:02:55Z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21D0D5701E114E7685AD542031D4C6C0_13</vt:lpwstr>
  </property>
</Properties>
</file>