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077"/>
        <w:gridCol w:w="2532"/>
        <w:gridCol w:w="1751"/>
        <w:gridCol w:w="1812"/>
        <w:gridCol w:w="2228"/>
      </w:tblGrid>
      <w:tr>
        <w:tblPrEx>
          <w:tblCellMar>
            <w:top w:w="0" w:type="dxa"/>
            <w:left w:w="108" w:type="dxa"/>
            <w:bottom w:w="0" w:type="dxa"/>
            <w:right w:w="108" w:type="dxa"/>
          </w:tblCellMar>
        </w:tblPrEx>
        <w:trPr>
          <w:trHeight w:val="791"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lang w:val="en-US" w:eastAsia="zh-CN"/>
              </w:rPr>
              <w:t>福保街道2024年度终端及网络信息安全维护项目</w:t>
            </w:r>
            <w:r>
              <w:rPr>
                <w:rFonts w:hint="eastAsia" w:ascii="仿宋_GB2312" w:hAnsi="仿宋_GB2312" w:eastAsia="仿宋_GB2312" w:cs="仿宋_GB2312"/>
                <w:kern w:val="0"/>
                <w:sz w:val="24"/>
              </w:rPr>
              <w:t>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31万</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党政办</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tabs>
                <w:tab w:val="center" w:pos="893"/>
              </w:tabs>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ab/>
            </w:r>
            <w:r>
              <w:rPr>
                <w:rFonts w:hint="eastAsia" w:ascii="仿宋_GB2312" w:hAnsi="仿宋_GB2312" w:eastAsia="仿宋_GB2312" w:cs="仿宋_GB2312"/>
                <w:kern w:val="0"/>
                <w:sz w:val="24"/>
                <w:lang w:val="en-US" w:eastAsia="zh-CN"/>
              </w:rPr>
              <w:t>宋凯</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1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lang w:val="en-US" w:eastAsia="zh-CN"/>
              </w:rPr>
              <w:t>2023年，我街道在用终端设备（台式机、瘦客户机、打印机等）共630台，日常运维涵盖终端日常维护（9项）、网络信息安全（17项）两大类共26项工作内容（详见附件2），对专业技术能力要求较高。为提高我街道电子政务设备及政务网络管理水平，现申请开展2024年度终端及网络信息安全维护项目，以确保IT终端和网络设施安全稳定运行。</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pPr>
            <w:r>
              <w:rPr>
                <w:rFonts w:hint="eastAsia"/>
              </w:rPr>
              <w:t>项目技术要求：</w:t>
            </w:r>
          </w:p>
          <w:p>
            <w:pPr>
              <w:widowControl/>
              <w:spacing w:line="240" w:lineRule="auto"/>
              <w:ind w:firstLine="0" w:firstLineChars="0"/>
              <w:jc w:val="left"/>
              <w:rPr>
                <w:rFonts w:hint="eastAsia"/>
                <w:lang w:val="en-US" w:eastAsia="zh-CN"/>
              </w:rPr>
            </w:pPr>
            <w:r>
              <w:rPr>
                <w:rFonts w:hint="eastAsia"/>
                <w:lang w:val="en-US" w:eastAsia="zh-CN"/>
              </w:rPr>
              <w:t>目标：确保福保街道办事处及所辖社区工作站的IT终端和网络设施安全稳定运行。</w:t>
            </w:r>
          </w:p>
          <w:p>
            <w:pPr>
              <w:pStyle w:val="2"/>
              <w:ind w:left="0" w:leftChars="0" w:firstLine="0" w:firstLineChars="0"/>
              <w:rPr>
                <w:rFonts w:hint="default"/>
                <w:lang w:val="en-US" w:eastAsia="zh-CN"/>
              </w:rPr>
            </w:pPr>
            <w:r>
              <w:rPr>
                <w:rFonts w:hint="eastAsia" w:asciiTheme="minorHAnsi" w:hAnsiTheme="minorHAnsi" w:eastAsiaTheme="minorEastAsia" w:cstheme="minorBidi"/>
                <w:kern w:val="2"/>
                <w:sz w:val="21"/>
                <w:szCs w:val="24"/>
                <w:lang w:val="en-US" w:eastAsia="zh-CN" w:bidi="ar-SA"/>
              </w:rPr>
              <w:t>工作内容：终端日常维护（9项）、网络信息安全（17项）两大类共26项工作内容。（详见附件2）</w:t>
            </w:r>
          </w:p>
        </w:tc>
      </w:tr>
      <w:tr>
        <w:tblPrEx>
          <w:tblCellMar>
            <w:top w:w="0" w:type="dxa"/>
            <w:left w:w="108" w:type="dxa"/>
            <w:bottom w:w="0" w:type="dxa"/>
            <w:right w:w="108" w:type="dxa"/>
          </w:tblCellMar>
        </w:tblPrEx>
        <w:trPr>
          <w:trHeight w:val="2796"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一年。</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合同中期，</w:t>
            </w:r>
            <w:r>
              <w:rPr>
                <w:rFonts w:hint="eastAsia" w:ascii="仿宋_GB2312" w:hAnsi="仿宋_GB2312" w:eastAsia="仿宋_GB2312" w:cs="仿宋_GB2312"/>
                <w:kern w:val="0"/>
                <w:sz w:val="24"/>
              </w:rPr>
              <w:t>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中标供应商已按要求完成合同所有服务项目，</w:t>
            </w:r>
            <w:r>
              <w:rPr>
                <w:rFonts w:hint="eastAsia" w:ascii="仿宋_GB2312" w:hAnsi="仿宋_GB2312" w:eastAsia="仿宋_GB2312" w:cs="仿宋_GB2312"/>
                <w:kern w:val="0"/>
                <w:sz w:val="24"/>
              </w:rPr>
              <w:t>中标供应商提供符合规定的发票，街道办支付合同总额</w:t>
            </w: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不高于预算金额。</w:t>
            </w:r>
          </w:p>
          <w:p>
            <w:pPr>
              <w:widowControl/>
              <w:spacing w:line="240" w:lineRule="auto"/>
              <w:ind w:firstLine="0" w:firstLineChars="0"/>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1.营业执照等相关资质复印件；</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2.投标报价单（应以项目清单格式内容报价）；</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3.公司简介；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5.其他资料</w:t>
            </w:r>
            <w:bookmarkStart w:id="0" w:name="_GoBack"/>
            <w:bookmarkEnd w:id="0"/>
            <w:r>
              <w:rPr>
                <w:rFonts w:hint="eastAsia" w:ascii="仿宋_GB2312" w:hAnsi="仿宋_GB2312" w:eastAsia="仿宋_GB2312" w:cs="仿宋_GB2312"/>
                <w:kern w:val="0"/>
                <w:sz w:val="24"/>
                <w:lang w:val="en-US" w:eastAsia="zh-CN"/>
              </w:rPr>
              <w:t>。</w:t>
            </w:r>
          </w:p>
          <w:p>
            <w:pPr>
              <w:widowControl/>
              <w:spacing w:line="240" w:lineRule="auto"/>
              <w:ind w:firstLine="0" w:firstLineChars="0"/>
              <w:jc w:val="left"/>
              <w:rPr>
                <w:rFonts w:ascii="仿宋_GB2312" w:hAnsi="仿宋_GB2312" w:eastAsia="仿宋_GB2312" w:cs="仿宋_GB2312"/>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91C13C7"/>
    <w:rsid w:val="0A4669B5"/>
    <w:rsid w:val="0C1E2C52"/>
    <w:rsid w:val="11312983"/>
    <w:rsid w:val="14C24AD9"/>
    <w:rsid w:val="172C00A3"/>
    <w:rsid w:val="18B761FE"/>
    <w:rsid w:val="194B399D"/>
    <w:rsid w:val="1AF3636A"/>
    <w:rsid w:val="1CD203FA"/>
    <w:rsid w:val="1D1041D7"/>
    <w:rsid w:val="251026CF"/>
    <w:rsid w:val="2E544988"/>
    <w:rsid w:val="2E59527D"/>
    <w:rsid w:val="2FBB6ACC"/>
    <w:rsid w:val="304A7E50"/>
    <w:rsid w:val="334D7C7F"/>
    <w:rsid w:val="340E45C5"/>
    <w:rsid w:val="3F1434CE"/>
    <w:rsid w:val="416451E2"/>
    <w:rsid w:val="447E6A90"/>
    <w:rsid w:val="4E144BA8"/>
    <w:rsid w:val="4E1E0521"/>
    <w:rsid w:val="587C663C"/>
    <w:rsid w:val="5A771A36"/>
    <w:rsid w:val="5C8F69B7"/>
    <w:rsid w:val="5EBA216A"/>
    <w:rsid w:val="66AD6A92"/>
    <w:rsid w:val="66C374B6"/>
    <w:rsid w:val="6A1555D3"/>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FB- 1</cp:lastModifiedBy>
  <dcterms:modified xsi:type="dcterms:W3CDTF">2023-12-19T07:51:56Z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E8E8E0E1BBDC48EA908D004770AF14E6</vt:lpwstr>
  </property>
</Properties>
</file>