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EA" w:rsidRDefault="00370DEA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</w:p>
    <w:p w:rsidR="00370DEA" w:rsidRDefault="003809A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福田区统计局关于福田区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政协六届三次</w:t>
      </w:r>
    </w:p>
    <w:p w:rsidR="00370DEA" w:rsidRDefault="003809A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2023066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号建议的</w:t>
      </w:r>
    </w:p>
    <w:p w:rsidR="00370DEA" w:rsidRDefault="003809AE">
      <w:pPr>
        <w:spacing w:line="579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意见回复</w:t>
      </w:r>
    </w:p>
    <w:p w:rsidR="00370DEA" w:rsidRDefault="00370DEA">
      <w:pPr>
        <w:spacing w:line="579" w:lineRule="exact"/>
        <w:jc w:val="center"/>
        <w:rPr>
          <w:rFonts w:ascii="宋体" w:hAnsi="宋体" w:cs="仿宋_GB2312"/>
          <w:sz w:val="44"/>
          <w:szCs w:val="44"/>
        </w:rPr>
      </w:pPr>
    </w:p>
    <w:p w:rsidR="00370DEA" w:rsidRDefault="003809AE">
      <w:pPr>
        <w:spacing w:line="579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尊敬的汪仁芳</w:t>
      </w:r>
      <w:r>
        <w:rPr>
          <w:rFonts w:ascii="仿宋_GB2312" w:eastAsia="仿宋_GB2312" w:hAnsi="仿宋_GB2312" w:cs="仿宋_GB2312" w:hint="eastAsia"/>
          <w:sz w:val="32"/>
          <w:szCs w:val="32"/>
        </w:rPr>
        <w:t>、吴冬静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代表：</w:t>
      </w:r>
    </w:p>
    <w:p w:rsidR="00370DEA" w:rsidRDefault="003809A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福田区政协六届三次会议代表建议《关于加大力度扶持福田区金融行业中小微企业发展的建议》（第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3066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号）已收悉。</w:t>
      </w:r>
      <w:r>
        <w:rPr>
          <w:rFonts w:ascii="仿宋_GB2312" w:eastAsia="仿宋_GB2312" w:hAnsi="仿宋_GB2312" w:cs="仿宋_GB2312" w:hint="eastAsia"/>
          <w:sz w:val="32"/>
          <w:szCs w:val="32"/>
        </w:rPr>
        <w:t>感谢您对金融业发展关注。针对提案内容，结合我局工作职责，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</w:t>
      </w:r>
      <w:r>
        <w:rPr>
          <w:rFonts w:ascii="仿宋_GB2312" w:eastAsia="仿宋_GB2312" w:hAnsi="仿宋_GB2312" w:cs="仿宋_GB2312" w:hint="eastAsia"/>
          <w:sz w:val="32"/>
          <w:szCs w:val="32"/>
        </w:rPr>
        <w:t>就深圳市金融业统计情况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答复如下：</w:t>
      </w:r>
    </w:p>
    <w:p w:rsidR="00370DEA" w:rsidRDefault="003809A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融机构由人民银行、银保监局、证监局监管，而深圳市为掌握深圳市金融业经营管理整体情况，依照《中华人民共和国统计法》和《深圳经济特区统计条例》规定，特制定深圳市金融业统计报表制度，是市统计调查制度的一部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70DEA" w:rsidRDefault="003809AE">
      <w:pPr>
        <w:spacing w:line="579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纳入深圳市重点金融业在报企业的条件：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从事金融业务活动的金融业法人单位，符合以下条件之一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才有纳统资格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上一年度以前在深圳开展经营活动达半年以上且属于人民银行、银保监局、证监局监管范围的金融业法人及视同法人单位；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上一年度以前在深圳开展经营活动达半年以上且年营业收入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万元及以上的</w:t>
      </w:r>
      <w:r>
        <w:rPr>
          <w:rFonts w:ascii="仿宋_GB2312" w:eastAsia="仿宋_GB2312" w:hAnsi="仿宋_GB2312" w:cs="仿宋_GB2312" w:hint="eastAsia"/>
          <w:sz w:val="32"/>
          <w:szCs w:val="32"/>
        </w:rPr>
        <w:t>地方金融监管机构监管</w:t>
      </w:r>
      <w:r>
        <w:rPr>
          <w:rFonts w:ascii="仿宋_GB2312" w:eastAsia="仿宋_GB2312" w:hAnsi="仿宋_GB2312" w:cs="仿宋_GB2312" w:hint="eastAsia"/>
          <w:sz w:val="32"/>
          <w:szCs w:val="32"/>
        </w:rPr>
        <w:t>的金融业法人单位。</w:t>
      </w:r>
    </w:p>
    <w:p w:rsidR="00370DEA" w:rsidRDefault="003809AE" w:rsidP="003809AE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具体包括：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货币金融服务：包括中央银行、各类货币银行、融资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租赁公司、财务公司、典当公司、汽车金融公司、小额贷款公司、消费金融公司、网络借贷公司、银行理财服务、银行监管机构等；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资本市场服务：包括各类证券公司、基金管理公司、期货公司、证券交易所、证券登记结算机构、证券期货监管机构等；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保险业：包括各类保险公司（含集团公司、分公司）、保险资产管理公司、保险经纪、代理、公估公司、保险监管机构等；</w:t>
      </w:r>
    </w:p>
    <w:p w:rsidR="00370DEA" w:rsidRDefault="003809A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其他金融业：包括各类信托公司、控股公司、金融信息服务公司、金融</w:t>
      </w:r>
      <w:r>
        <w:rPr>
          <w:rFonts w:ascii="仿宋_GB2312" w:eastAsia="仿宋_GB2312" w:hAnsi="仿宋_GB2312" w:cs="仿宋_GB2312" w:hint="eastAsia"/>
          <w:sz w:val="32"/>
          <w:szCs w:val="32"/>
        </w:rPr>
        <w:t>资产管理公司、货币经纪公司等。</w:t>
      </w:r>
    </w:p>
    <w:p w:rsidR="00370DEA" w:rsidRDefault="003809AE" w:rsidP="003809AE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根据以上重点金融业统计范围，当前我区在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报货币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金融服务业企业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家，资本市场服务业企业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63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家，保险业企业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家，其他金融业企业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家。根据《中国人民银行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中国银行业监督管理委员会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中国证券监督管理委员会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中国保险监督管理委员会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国家统计局关于印发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金融业企业划型标准规定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的通知（银发</w:t>
      </w:r>
      <w:r>
        <w:rPr>
          <w:rFonts w:ascii="仿宋_GB2312" w:eastAsia="仿宋_GB2312" w:hAnsi="仿宋_GB2312" w:cs="仿宋_GB2312" w:hint="eastAsia"/>
          <w:sz w:val="32"/>
          <w:szCs w:val="32"/>
        </w:rPr>
        <w:t>[2015]309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号）》，福田区重点金融业统计范围内，符合中小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微企业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条件的共有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187</w:t>
      </w:r>
      <w:r>
        <w:rPr>
          <w:rFonts w:ascii="仿宋_GB2312" w:eastAsia="仿宋_GB2312" w:hAnsi="仿宋_GB2312" w:cs="仿宋_GB2312" w:hint="eastAsia"/>
          <w:sz w:val="32"/>
          <w:szCs w:val="32"/>
        </w:rPr>
        <w:t>家（划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型情况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详见附件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，仅供参考）。针对这</w:t>
      </w:r>
      <w:r>
        <w:rPr>
          <w:rFonts w:ascii="仿宋_GB2312" w:eastAsia="仿宋_GB2312" w:hAnsi="仿宋_GB2312" w:cs="仿宋_GB2312" w:hint="eastAsia"/>
          <w:sz w:val="32"/>
          <w:szCs w:val="32"/>
        </w:rPr>
        <w:t>187</w:t>
      </w:r>
      <w:r>
        <w:rPr>
          <w:rFonts w:ascii="仿宋_GB2312" w:eastAsia="仿宋_GB2312" w:hAnsi="仿宋_GB2312" w:cs="仿宋_GB2312" w:hint="eastAsia"/>
          <w:sz w:val="32"/>
          <w:szCs w:val="32"/>
        </w:rPr>
        <w:t>家中小微企业，按照《深圳市金融业统计报表制度》，每月开展统计监测并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及时向行业主管部门和区委区政府提供行业分析报告。对当前未纳入深圳市重点金融业在报库的其他中小微金融业企业，经济普查年份，通过经济报表掌握其相关经营情况。非经济普查年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份，根据经普年份确定比例并结合部门数据进行推算。</w:t>
      </w:r>
    </w:p>
    <w:p w:rsidR="00370DEA" w:rsidRDefault="003809AE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此函。</w:t>
      </w:r>
    </w:p>
    <w:p w:rsidR="00370DEA" w:rsidRDefault="00370DEA">
      <w:pPr>
        <w:spacing w:line="579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0DEA" w:rsidRDefault="00370DEA" w:rsidP="003809AE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0DEA" w:rsidRDefault="003809AE" w:rsidP="003809AE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：福田区金融业在报企业划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型情况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汇总表</w:t>
      </w:r>
    </w:p>
    <w:p w:rsidR="00370DEA" w:rsidRDefault="00370DEA" w:rsidP="003809AE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0DEA" w:rsidRDefault="00370DEA" w:rsidP="003809AE">
      <w:pPr>
        <w:pStyle w:val="a0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70DEA" w:rsidRDefault="003809AE">
      <w:pPr>
        <w:spacing w:line="579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深圳市福田区统计局</w:t>
      </w:r>
    </w:p>
    <w:p w:rsidR="00370DEA" w:rsidRDefault="003809AE">
      <w:pPr>
        <w:spacing w:line="579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370DEA" w:rsidRDefault="00370DEA">
      <w:pPr>
        <w:widowControl/>
        <w:spacing w:line="579" w:lineRule="exact"/>
        <w:jc w:val="left"/>
        <w:rPr>
          <w:rFonts w:ascii="仿宋_GB2312" w:eastAsia="仿宋_GB2312"/>
          <w:sz w:val="32"/>
          <w:szCs w:val="32"/>
        </w:rPr>
      </w:pPr>
    </w:p>
    <w:p w:rsidR="00370DEA" w:rsidRDefault="00370DEA">
      <w:pPr>
        <w:spacing w:line="579" w:lineRule="exact"/>
        <w:sectPr w:rsidR="00370DE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70DEA" w:rsidRDefault="003809AE" w:rsidP="003809AE">
      <w:pPr>
        <w:pStyle w:val="a0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70DEA" w:rsidRDefault="003809AE" w:rsidP="003809AE">
      <w:pPr>
        <w:pStyle w:val="a0"/>
        <w:ind w:firstLine="562"/>
        <w:jc w:val="center"/>
        <w:rPr>
          <w:b/>
          <w:bCs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福田区金融业在报企业划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型情况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汇总表</w:t>
      </w:r>
    </w:p>
    <w:tbl>
      <w:tblPr>
        <w:tblW w:w="8479" w:type="dxa"/>
        <w:tblInd w:w="94" w:type="dxa"/>
        <w:tblLook w:val="04A0" w:firstRow="1" w:lastRow="0" w:firstColumn="1" w:lastColumn="0" w:noHBand="0" w:noVBand="1"/>
      </w:tblPr>
      <w:tblGrid>
        <w:gridCol w:w="3146"/>
        <w:gridCol w:w="3970"/>
        <w:gridCol w:w="1363"/>
      </w:tblGrid>
      <w:tr w:rsidR="00370DEA">
        <w:trPr>
          <w:trHeight w:val="259"/>
        </w:trPr>
        <w:tc>
          <w:tcPr>
            <w:tcW w:w="3146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行业类别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划分类型（按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2015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年标准）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企业数量</w:t>
            </w:r>
          </w:p>
        </w:tc>
      </w:tr>
      <w:tr w:rsidR="00370DEA">
        <w:trPr>
          <w:trHeight w:val="259"/>
        </w:trPr>
        <w:tc>
          <w:tcPr>
            <w:tcW w:w="314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货币金融服务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微型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370DEA">
        <w:trPr>
          <w:trHeight w:val="259"/>
        </w:trPr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货币金融服务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汇总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370DEA">
        <w:trPr>
          <w:trHeight w:val="259"/>
        </w:trPr>
        <w:tc>
          <w:tcPr>
            <w:tcW w:w="314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资本市场服务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微型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70DEA">
        <w:trPr>
          <w:trHeight w:val="259"/>
        </w:trPr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资本市场服务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汇总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</w:tr>
      <w:tr w:rsidR="00370DEA">
        <w:trPr>
          <w:trHeight w:val="259"/>
        </w:trPr>
        <w:tc>
          <w:tcPr>
            <w:tcW w:w="314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保险业</w:t>
            </w:r>
          </w:p>
        </w:tc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微型</w:t>
            </w: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中型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大型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370DEA">
        <w:trPr>
          <w:trHeight w:val="259"/>
        </w:trPr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保险业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汇总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</w:tr>
      <w:tr w:rsidR="00370DEA">
        <w:trPr>
          <w:trHeight w:val="259"/>
        </w:trPr>
        <w:tc>
          <w:tcPr>
            <w:tcW w:w="314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其他金融业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微型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小型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370DEA">
        <w:trPr>
          <w:trHeight w:val="259"/>
        </w:trPr>
        <w:tc>
          <w:tcPr>
            <w:tcW w:w="3146" w:type="dxa"/>
            <w:vMerge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370DEA">
        <w:trPr>
          <w:trHeight w:val="259"/>
        </w:trPr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其他金融业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汇总</w:t>
            </w: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BFBFBF" w:themeColor="background1" w:themeShade="BF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</w:tr>
      <w:tr w:rsidR="00370DEA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370DEA" w:rsidRDefault="00370DEA">
            <w:pP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</w:tcPr>
          <w:p w:rsidR="00370DEA" w:rsidRDefault="003809AE">
            <w:pPr>
              <w:widowControl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</w:tr>
      <w:bookmarkEnd w:id="0"/>
    </w:tbl>
    <w:p w:rsidR="00370DEA" w:rsidRDefault="00370DEA"/>
    <w:sectPr w:rsidR="00370DE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ADFDFB"/>
    <w:rsid w:val="EEADFDFB"/>
    <w:rsid w:val="EF7E526D"/>
    <w:rsid w:val="F5FF7255"/>
    <w:rsid w:val="00370DEA"/>
    <w:rsid w:val="003809AE"/>
    <w:rsid w:val="1DF3469E"/>
    <w:rsid w:val="1DFBBC1E"/>
    <w:rsid w:val="7ECF8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rsid w:val="003809AE"/>
    <w:rPr>
      <w:sz w:val="18"/>
      <w:szCs w:val="18"/>
    </w:rPr>
  </w:style>
  <w:style w:type="character" w:customStyle="1" w:styleId="Char">
    <w:name w:val="批注框文本 Char"/>
    <w:basedOn w:val="a1"/>
    <w:link w:val="a4"/>
    <w:rsid w:val="003809AE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alloon Text"/>
    <w:basedOn w:val="a"/>
    <w:link w:val="Char"/>
    <w:rsid w:val="003809AE"/>
    <w:rPr>
      <w:sz w:val="18"/>
      <w:szCs w:val="18"/>
    </w:rPr>
  </w:style>
  <w:style w:type="character" w:customStyle="1" w:styleId="Char">
    <w:name w:val="批注框文本 Char"/>
    <w:basedOn w:val="a1"/>
    <w:link w:val="a4"/>
    <w:rsid w:val="003809A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1149</Characters>
  <Application>Microsoft Office Word</Application>
  <DocSecurity>0</DocSecurity>
  <Lines>9</Lines>
  <Paragraphs>2</Paragraphs>
  <ScaleCrop>false</ScaleCrop>
  <Company>Microsoft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唐佳</dc:creator>
  <cp:lastModifiedBy>钟成鲲</cp:lastModifiedBy>
  <cp:revision>2</cp:revision>
  <dcterms:created xsi:type="dcterms:W3CDTF">2023-12-26T02:02:00Z</dcterms:created>
  <dcterms:modified xsi:type="dcterms:W3CDTF">2023-12-26T02:02:00Z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