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000" w:type="pct"/>
        <w:tblInd w:w="0" w:type="dxa"/>
        <w:tblLayout w:type="autofit"/>
        <w:tblCellMar>
          <w:top w:w="0" w:type="dxa"/>
          <w:left w:w="108" w:type="dxa"/>
          <w:bottom w:w="0" w:type="dxa"/>
          <w:right w:w="108" w:type="dxa"/>
        </w:tblCellMar>
      </w:tblPr>
      <w:tblGrid>
        <w:gridCol w:w="1089"/>
        <w:gridCol w:w="2388"/>
        <w:gridCol w:w="1651"/>
        <w:gridCol w:w="1916"/>
        <w:gridCol w:w="2356"/>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bookmarkStart w:id="0" w:name="_GoBack"/>
            <w:r>
              <w:rPr>
                <w:rFonts w:hint="eastAsia" w:ascii="仿宋_GB2312" w:hAnsi="仿宋_GB2312" w:eastAsia="仿宋_GB2312" w:cs="仿宋_GB2312"/>
                <w:kern w:val="0"/>
                <w:sz w:val="24"/>
                <w:lang w:eastAsia="zh-CN"/>
              </w:rPr>
              <w:t>福保街道</w:t>
            </w:r>
            <w:r>
              <w:rPr>
                <w:rFonts w:hint="eastAsia" w:ascii="仿宋_GB2312" w:hAnsi="仿宋_GB2312" w:eastAsia="仿宋_GB2312" w:cs="仿宋_GB2312"/>
                <w:kern w:val="0"/>
                <w:sz w:val="24"/>
              </w:rPr>
              <w:t>2024年春节双拥慰问活动项目</w:t>
            </w:r>
            <w:bookmarkEnd w:id="0"/>
            <w:r>
              <w:rPr>
                <w:rFonts w:hint="eastAsia" w:ascii="仿宋_GB2312" w:hAnsi="仿宋_GB2312" w:eastAsia="仿宋_GB2312" w:cs="仿宋_GB2312"/>
                <w:kern w:val="0"/>
                <w:sz w:val="24"/>
              </w:rPr>
              <w:t>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252500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退役军人服务站</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谭建平</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420" w:beforeAutospacing="0" w:after="360" w:afterAutospacing="0" w:line="30" w:lineRule="atLeast"/>
              <w:ind w:right="0" w:rightChars="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福田区双拥工作领导小组办公室关于2024年春节期间开展拥军优属活动的通知,为大力弘扬拥军优属的光荣传统,进一步巩固和发展军政军民团结。拟在春节期间走访慰问辖区部队、军烈属、伤残军人、参战退役军人等优抚对象，现拟向社会采购一批慰问品。</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项目技术要求：货物必须符合相关国家质量认证标准，按500元每份标准制定成一箱慰问品。</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eastAsia="zh-CN"/>
              </w:rPr>
              <w:t>自合同签订之日起至</w:t>
            </w:r>
            <w:r>
              <w:rPr>
                <w:rFonts w:hint="eastAsia" w:ascii="仿宋_GB2312" w:hAnsi="仿宋_GB2312" w:eastAsia="仿宋_GB2312" w:cs="仿宋_GB2312"/>
                <w:kern w:val="0"/>
                <w:sz w:val="24"/>
                <w:lang w:val="en-US" w:eastAsia="zh-CN"/>
              </w:rPr>
              <w:t>2024年2月8日</w:t>
            </w:r>
          </w:p>
          <w:p>
            <w:pPr>
              <w:widowControl/>
              <w:spacing w:line="240" w:lineRule="auto"/>
              <w:ind w:firstLine="0" w:firstLineChars="0"/>
              <w:jc w:val="left"/>
              <w:rPr>
                <w:rFonts w:hint="eastAsia" w:ascii="仿宋_GB2312" w:hAnsi="仿宋_GB2312" w:eastAsia="仿宋_GB2312" w:cs="仿宋_GB2312"/>
                <w:kern w:val="0"/>
                <w:sz w:val="24"/>
              </w:rPr>
            </w:pP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100</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一次性付款：项目验收合格后，中标供应商提供符合规定的发票后，街道办一次性支付合同总额100%。</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val="en-US" w:eastAsia="zh-CN"/>
              </w:rPr>
              <w:t>25.25</w:t>
            </w:r>
            <w:r>
              <w:rPr>
                <w:rFonts w:hint="eastAsia" w:ascii="仿宋_GB2312" w:hAnsi="仿宋_GB2312" w:eastAsia="仿宋_GB2312" w:cs="仿宋_GB2312"/>
                <w:kern w:val="0"/>
                <w:sz w:val="24"/>
              </w:rPr>
              <w:t>万</w:t>
            </w:r>
            <w:r>
              <w:rPr>
                <w:rFonts w:hint="eastAsia" w:ascii="仿宋_GB2312" w:hAnsi="仿宋_GB2312" w:eastAsia="仿宋_GB2312" w:cs="仿宋_GB2312"/>
                <w:kern w:val="0"/>
                <w:sz w:val="24"/>
                <w:lang w:eastAsia="zh-CN"/>
              </w:rPr>
              <w:t>内</w:t>
            </w:r>
          </w:p>
          <w:p>
            <w:pPr>
              <w:widowControl/>
              <w:spacing w:line="240" w:lineRule="auto"/>
              <w:ind w:firstLine="0" w:firstLineChars="0"/>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2、投标报价单；</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3、公司详细简介；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4、项目相关案例、业绩等；</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6、可体现投标人综合实力及运营管理能力的其他资料。</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以上文件均需每页加盖单位公章并装订成册，且应将资料密封存入不透明文件袋中，贴密封条并加盖公章，否则视为无效投标。</w:t>
            </w:r>
          </w:p>
          <w:p>
            <w:pPr>
              <w:widowControl/>
              <w:spacing w:line="240" w:lineRule="auto"/>
              <w:ind w:firstLine="0" w:firstLineChars="0"/>
              <w:jc w:val="left"/>
              <w:rPr>
                <w:rFonts w:ascii="仿宋_GB2312" w:hAnsi="仿宋_GB2312" w:eastAsia="仿宋_GB2312" w:cs="仿宋_GB2312"/>
                <w:kern w:val="0"/>
                <w:sz w:val="24"/>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91C13C7"/>
    <w:rsid w:val="09664528"/>
    <w:rsid w:val="0A4669B5"/>
    <w:rsid w:val="11312983"/>
    <w:rsid w:val="14C24AD9"/>
    <w:rsid w:val="172C00A3"/>
    <w:rsid w:val="18B761FE"/>
    <w:rsid w:val="194B399D"/>
    <w:rsid w:val="1AF3636A"/>
    <w:rsid w:val="1B121E2B"/>
    <w:rsid w:val="1CD203FA"/>
    <w:rsid w:val="1D1041D7"/>
    <w:rsid w:val="251026CF"/>
    <w:rsid w:val="2E544988"/>
    <w:rsid w:val="2FBB6ACC"/>
    <w:rsid w:val="304A7E50"/>
    <w:rsid w:val="334D7C7F"/>
    <w:rsid w:val="340E45C5"/>
    <w:rsid w:val="3F1434CE"/>
    <w:rsid w:val="416451E2"/>
    <w:rsid w:val="447E6A90"/>
    <w:rsid w:val="493D00FA"/>
    <w:rsid w:val="4D3F38CB"/>
    <w:rsid w:val="4E144BA8"/>
    <w:rsid w:val="4E1E0521"/>
    <w:rsid w:val="53230804"/>
    <w:rsid w:val="587C663C"/>
    <w:rsid w:val="5A771A36"/>
    <w:rsid w:val="5C8F69B7"/>
    <w:rsid w:val="5EBA216A"/>
    <w:rsid w:val="66AD6A92"/>
    <w:rsid w:val="66C374B6"/>
    <w:rsid w:val="6A1555D3"/>
    <w:rsid w:val="71EF211D"/>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仿宋_GB2312" w:eastAsia="仿宋_GB2312" w:cs="仿宋_GB2312"/>
      <w:color w:val="000000"/>
      <w:sz w:val="28"/>
      <w:szCs w:val="28"/>
      <w:u w:val="none"/>
    </w:rPr>
  </w:style>
  <w:style w:type="paragraph" w:customStyle="1" w:styleId="12">
    <w:name w:val="列出段落3"/>
    <w:basedOn w:val="1"/>
    <w:unhideWhenUsed/>
    <w:qFormat/>
    <w:uiPriority w:val="99"/>
    <w:pPr>
      <w:ind w:firstLine="420" w:firstLineChars="200"/>
    </w:pPr>
  </w:style>
  <w:style w:type="paragraph" w:customStyle="1" w:styleId="13">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qFormat/>
    <w:uiPriority w:val="0"/>
    <w:rPr>
      <w:rFonts w:ascii="宋体" w:hAnsi="宋体" w:eastAsia="宋体" w:cs="宋体"/>
      <w:sz w:val="20"/>
      <w:szCs w:val="20"/>
      <w:lang w:val="zh-TW" w:eastAsia="zh-TW" w:bidi="zh-TW"/>
    </w:rPr>
  </w:style>
  <w:style w:type="paragraph" w:customStyle="1" w:styleId="15">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2024-01-04T02:15:22Z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5EDAA82095EA4674B069EE2A11671104_13</vt:lpwstr>
  </property>
</Properties>
</file>