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adjustRightInd w:val="0"/>
        <w:snapToGrid w:val="0"/>
        <w:spacing w:before="0" w:beforeLines="0" w:after="0" w:afterLines="0" w:line="560" w:lineRule="exact"/>
        <w:rPr>
          <w:rFonts w:hint="default" w:ascii="方正小标宋_GBK" w:hAnsi="方正小标宋_GBK" w:eastAsia="方正小标宋_GBK" w:cs="方正小标宋_GBK"/>
          <w:sz w:val="44"/>
          <w:szCs w:val="44"/>
        </w:rPr>
      </w:pPr>
      <w:r>
        <w:rPr>
          <w:rFonts w:ascii="方正小标宋_GBK" w:hAnsi="方正小标宋_GBK" w:eastAsia="方正小标宋_GBK" w:cs="方正小标宋_GBK"/>
          <w:sz w:val="44"/>
          <w:szCs w:val="44"/>
        </w:rPr>
        <w:t>福田区海</w:t>
      </w:r>
      <w:r>
        <w:rPr>
          <w:rFonts w:hint="default" w:ascii="方正小标宋_GBK" w:hAnsi="方正小标宋_GBK" w:eastAsia="方正小标宋_GBK" w:cs="方正小标宋_GBK"/>
          <w:sz w:val="44"/>
          <w:szCs w:val="44"/>
        </w:rPr>
        <w:t>(</w:t>
      </w:r>
      <w:r>
        <w:rPr>
          <w:rFonts w:ascii="方正小标宋_GBK" w:hAnsi="方正小标宋_GBK" w:eastAsia="方正小标宋_GBK" w:cs="方正小标宋_GBK"/>
          <w:sz w:val="44"/>
          <w:szCs w:val="44"/>
        </w:rPr>
        <w:t>境</w:t>
      </w:r>
      <w:r>
        <w:rPr>
          <w:rFonts w:hint="default" w:ascii="方正小标宋_GBK" w:hAnsi="方正小标宋_GBK" w:eastAsia="方正小标宋_GBK" w:cs="方正小标宋_GBK"/>
          <w:sz w:val="44"/>
          <w:szCs w:val="44"/>
        </w:rPr>
        <w:t>)</w:t>
      </w:r>
      <w:r>
        <w:rPr>
          <w:rFonts w:ascii="方正小标宋_GBK" w:hAnsi="方正小标宋_GBK" w:eastAsia="方正小标宋_GBK" w:cs="方正小标宋_GBK"/>
          <w:sz w:val="44"/>
          <w:szCs w:val="44"/>
        </w:rPr>
        <w:t>外人才离岸机构补贴</w:t>
      </w:r>
    </w:p>
    <w:p>
      <w:pPr>
        <w:pStyle w:val="3"/>
        <w:widowControl/>
        <w:adjustRightInd w:val="0"/>
        <w:snapToGrid w:val="0"/>
        <w:spacing w:before="0" w:beforeLines="0" w:after="0" w:afterLines="0" w:line="560" w:lineRule="exact"/>
        <w:rPr>
          <w:rFonts w:hint="default" w:ascii="方正小标宋_GBK" w:hAnsi="方正小标宋_GBK" w:eastAsia="方正小标宋_GBK" w:cs="方正小标宋_GBK"/>
          <w:sz w:val="44"/>
          <w:szCs w:val="44"/>
        </w:rPr>
      </w:pPr>
      <w:r>
        <w:rPr>
          <w:rFonts w:ascii="方正小标宋_GBK" w:hAnsi="方正小标宋_GBK" w:eastAsia="方正小标宋_GBK" w:cs="方正小标宋_GBK"/>
          <w:sz w:val="44"/>
          <w:szCs w:val="44"/>
        </w:rPr>
        <w:t>申请指南</w:t>
      </w:r>
    </w:p>
    <w:p>
      <w:pPr>
        <w:spacing w:before="0" w:beforeLines="-2147483648" w:after="0" w:afterLines="-2147483648" w:line="560" w:lineRule="exact"/>
        <w:rPr>
          <w:rFonts w:ascii="方正小标宋_GBK" w:hAnsi="方正小标宋_GBK" w:eastAsia="方正小标宋_GBK" w:cs="方正小标宋_GBK"/>
          <w:sz w:val="44"/>
          <w:szCs w:val="44"/>
        </w:rPr>
      </w:pPr>
      <w:r>
        <w:rPr>
          <w:rFonts w:ascii="方正小标宋_GBK" w:hAnsi="方正小标宋_GBK" w:eastAsia="方正小标宋_GBK" w:cs="方正小标宋_GBK"/>
          <w:sz w:val="44"/>
          <w:szCs w:val="44"/>
        </w:rPr>
        <w:t xml:space="preserve">                  </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rPr>
        <w:t>一、政策依据</w:t>
      </w:r>
    </w:p>
    <w:p>
      <w:pPr>
        <w:pStyle w:val="7"/>
        <w:widowControl/>
        <w:spacing w:beforeAutospacing="0" w:after="0" w:afterLines="-2147483648" w:afterAutospacing="0" w:line="560" w:lineRule="exact"/>
        <w:ind w:firstLine="640" w:firstLineChars="200"/>
        <w:jc w:val="both"/>
        <w:rPr>
          <w:rFonts w:eastAsia="仿宋_GB2312"/>
          <w:color w:val="585858"/>
        </w:rPr>
      </w:pP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《中共深圳市福田区委</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深圳市福田区人民政府关于进一步实施福田英才荟若干措施</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的通知》（福发〔</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10号）及《关于进一步实施福田英才荟计划的若干措施（2021）》第2.5.1条</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rPr>
        <w:t>二、政策内容</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鼓励和支持辖区企业以收购兼并、合资合作、独资新建等方式在海（境）外依法设立研发机构、离岸创新基地、孵化载体等海（境）外人才培养载体。海（境）外机构须与国内母体公司之间存在明确清晰的管理隶属关系。可分阶段给予平台建设维护运转费和研发投入等支出总额</w:t>
      </w:r>
      <w:r>
        <w:rPr>
          <w:rFonts w:ascii="仿宋_GB2312" w:hAnsi="仿宋_GB2312" w:eastAsia="仿宋_GB2312" w:cs="仿宋_GB2312"/>
          <w:sz w:val="32"/>
          <w:szCs w:val="32"/>
        </w:rPr>
        <w:t>40%，</w:t>
      </w:r>
      <w:r>
        <w:rPr>
          <w:rFonts w:hint="eastAsia" w:ascii="仿宋_GB2312" w:hAnsi="仿宋_GB2312" w:eastAsia="仿宋_GB2312" w:cs="仿宋_GB2312"/>
          <w:sz w:val="32"/>
          <w:szCs w:val="32"/>
        </w:rPr>
        <w:t>每个阶段最高</w:t>
      </w:r>
      <w:r>
        <w:rPr>
          <w:rFonts w:ascii="仿宋_GB2312" w:hAnsi="仿宋_GB2312" w:eastAsia="仿宋_GB2312" w:cs="仿宋_GB2312"/>
          <w:sz w:val="32"/>
          <w:szCs w:val="32"/>
        </w:rPr>
        <w:t>50万元的</w:t>
      </w:r>
      <w:r>
        <w:rPr>
          <w:rFonts w:hint="eastAsia" w:ascii="仿宋_GB2312" w:hAnsi="仿宋_GB2312" w:eastAsia="仿宋_GB2312" w:cs="仿宋_GB2312"/>
          <w:sz w:val="32"/>
          <w:szCs w:val="32"/>
        </w:rPr>
        <w:t>补贴。</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rPr>
        <w:t>三、申报条件</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同一个项目需同时符合以下条件，其中</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满足其中一项即可。</w:t>
      </w:r>
    </w:p>
    <w:p>
      <w:pPr>
        <w:pStyle w:val="7"/>
        <w:widowControl/>
        <w:spacing w:before="0" w:beforeLines="-2147483648"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楷体_GB2312" w:eastAsia="楷体_GB2312"/>
          <w:sz w:val="32"/>
          <w:szCs w:val="32"/>
        </w:rPr>
        <w:t>（一）</w:t>
      </w:r>
      <w:r>
        <w:rPr>
          <w:rFonts w:hint="eastAsia" w:ascii="仿宋_GB2312" w:hAnsi="仿宋_GB2312" w:eastAsia="仿宋_GB2312" w:cs="仿宋_GB2312"/>
          <w:sz w:val="32"/>
          <w:szCs w:val="32"/>
        </w:rPr>
        <w:t>设立海（境）外机构的辖区企业，上一年度在福田区综合贡献1</w:t>
      </w:r>
      <w:r>
        <w:rPr>
          <w:rFonts w:ascii="仿宋_GB2312" w:hAnsi="仿宋_GB2312" w:eastAsia="仿宋_GB2312" w:cs="仿宋_GB2312"/>
          <w:sz w:val="32"/>
          <w:szCs w:val="32"/>
        </w:rPr>
        <w:t>000万元以上。</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楷体_GB2312" w:eastAsia="楷体_GB2312"/>
          <w:sz w:val="32"/>
          <w:szCs w:val="32"/>
        </w:rPr>
        <w:t>（</w:t>
      </w:r>
      <w:r>
        <w:rPr>
          <w:rFonts w:hint="eastAsia" w:ascii="楷体_GB2312" w:eastAsia="楷体_GB2312"/>
          <w:sz w:val="32"/>
          <w:szCs w:val="32"/>
          <w:lang w:eastAsia="zh-CN"/>
        </w:rPr>
        <w:t>二</w:t>
      </w:r>
      <w:r>
        <w:rPr>
          <w:rFonts w:hint="eastAsia" w:ascii="楷体_GB2312" w:eastAsia="楷体_GB2312"/>
          <w:sz w:val="32"/>
          <w:szCs w:val="32"/>
        </w:rPr>
        <w:t>）</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海（境）外机构须与国内母体公司之间存在明确清晰的管理隶属关系。</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楷体_GB2312" w:eastAsia="楷体_GB2312"/>
          <w:sz w:val="32"/>
          <w:szCs w:val="32"/>
        </w:rPr>
        <w:t>（</w:t>
      </w:r>
      <w:r>
        <w:rPr>
          <w:rFonts w:hint="eastAsia" w:ascii="楷体_GB2312" w:eastAsia="楷体_GB2312"/>
          <w:sz w:val="32"/>
          <w:szCs w:val="32"/>
          <w:lang w:eastAsia="zh-CN"/>
        </w:rPr>
        <w:t>三</w:t>
      </w:r>
      <w:r>
        <w:rPr>
          <w:rFonts w:hint="eastAsia" w:ascii="楷体_GB2312" w:eastAsia="楷体_GB2312"/>
          <w:sz w:val="32"/>
          <w:szCs w:val="32"/>
        </w:rPr>
        <w:t>）</w:t>
      </w:r>
      <w:r>
        <w:rPr>
          <w:rFonts w:hint="eastAsia" w:ascii="仿宋_GB2312" w:hAnsi="仿宋_GB2312" w:eastAsia="仿宋_GB2312" w:cs="仿宋_GB2312"/>
          <w:sz w:val="32"/>
          <w:szCs w:val="32"/>
        </w:rPr>
        <w:t>设立研发机构的，近两年内国内母体公司对其</w:t>
      </w:r>
      <w:r>
        <w:rPr>
          <w:rFonts w:ascii="仿宋_GB2312" w:hAnsi="仿宋_GB2312" w:eastAsia="仿宋_GB2312" w:cs="仿宋_GB2312"/>
          <w:sz w:val="32"/>
          <w:szCs w:val="32"/>
        </w:rPr>
        <w:t>R&amp;D投入均不低于深圳市当年R&amp;D的投入水平</w:t>
      </w:r>
      <w:r>
        <w:rPr>
          <w:rFonts w:hint="eastAsia" w:ascii="仿宋_GB2312" w:hAnsi="仿宋_GB2312" w:eastAsia="仿宋_GB2312" w:cs="仿宋_GB2312"/>
          <w:sz w:val="32"/>
          <w:szCs w:val="32"/>
        </w:rPr>
        <w:t>。</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楷体_GB2312" w:eastAsia="楷体_GB2312"/>
          <w:sz w:val="32"/>
          <w:szCs w:val="32"/>
        </w:rPr>
        <w:t>（</w:t>
      </w:r>
      <w:r>
        <w:rPr>
          <w:rFonts w:hint="eastAsia" w:ascii="楷体_GB2312" w:eastAsia="楷体_GB2312"/>
          <w:sz w:val="32"/>
          <w:szCs w:val="32"/>
          <w:lang w:eastAsia="zh-CN"/>
        </w:rPr>
        <w:t>四</w:t>
      </w:r>
      <w:r>
        <w:rPr>
          <w:rFonts w:hint="eastAsia" w:ascii="楷体_GB2312" w:eastAsia="楷体_GB2312"/>
          <w:sz w:val="32"/>
          <w:szCs w:val="32"/>
        </w:rPr>
        <w:t>）</w:t>
      </w:r>
      <w:r>
        <w:rPr>
          <w:rFonts w:hint="eastAsia" w:ascii="仿宋_GB2312" w:hAnsi="仿宋_GB2312" w:eastAsia="仿宋_GB2312" w:cs="仿宋_GB2312"/>
          <w:sz w:val="32"/>
          <w:szCs w:val="32"/>
        </w:rPr>
        <w:t>离岸创新基地、孵化载体两年内完成（孵化）的独立项目不少于</w:t>
      </w:r>
      <w:r>
        <w:rPr>
          <w:rFonts w:ascii="仿宋_GB2312" w:hAnsi="仿宋_GB2312" w:eastAsia="仿宋_GB2312" w:cs="仿宋_GB2312"/>
          <w:sz w:val="32"/>
          <w:szCs w:val="32"/>
        </w:rPr>
        <w:t>5个或联合项目不少于10个，且近两年国内母体机构</w:t>
      </w:r>
      <w:r>
        <w:rPr>
          <w:rFonts w:hint="eastAsia" w:ascii="仿宋_GB2312" w:hAnsi="仿宋_GB2312" w:eastAsia="仿宋_GB2312" w:cs="仿宋_GB2312"/>
          <w:sz w:val="32"/>
          <w:szCs w:val="32"/>
        </w:rPr>
        <w:t>对其投入不少于</w:t>
      </w:r>
      <w:r>
        <w:rPr>
          <w:rFonts w:ascii="仿宋_GB2312" w:hAnsi="仿宋_GB2312" w:eastAsia="仿宋_GB2312" w:cs="仿宋_GB2312"/>
          <w:sz w:val="32"/>
          <w:szCs w:val="32"/>
        </w:rPr>
        <w:t>100万元。</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rPr>
        <w:t>四、支持事项</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仿宋_GB2312" w:hAnsi="仿宋_GB2312" w:eastAsia="仿宋_GB2312" w:cs="仿宋_GB2312"/>
          <w:b/>
          <w:bCs/>
          <w:sz w:val="32"/>
          <w:szCs w:val="32"/>
        </w:rPr>
      </w:pPr>
      <w:r>
        <w:rPr>
          <w:rFonts w:hint="eastAsia" w:ascii="楷体_GB2312" w:eastAsia="楷体_GB2312"/>
          <w:sz w:val="32"/>
          <w:szCs w:val="32"/>
        </w:rPr>
        <w:t>（一）</w:t>
      </w:r>
      <w:r>
        <w:rPr>
          <w:rFonts w:hint="eastAsia" w:ascii="楷体_GB2312" w:eastAsia="楷体_GB2312"/>
          <w:sz w:val="32"/>
          <w:szCs w:val="32"/>
          <w:lang w:eastAsia="zh-CN"/>
        </w:rPr>
        <w:t>补助资助。</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根据海（境）外机构起步期、成长期、成熟期等阶段，按国内母体公司近两年内平台建设维护费（包括运营管理团队日常开支、办公设备购置，场地房租水电、物业管理费等）和研发投入等支出总额的</w:t>
      </w:r>
      <w:r>
        <w:rPr>
          <w:rFonts w:ascii="仿宋_GB2312" w:hAnsi="仿宋_GB2312" w:eastAsia="仿宋_GB2312" w:cs="仿宋_GB2312"/>
          <w:sz w:val="32"/>
          <w:szCs w:val="32"/>
        </w:rPr>
        <w:t>40%给予</w:t>
      </w:r>
      <w:r>
        <w:rPr>
          <w:rFonts w:hint="eastAsia" w:ascii="仿宋_GB2312" w:hAnsi="仿宋_GB2312" w:eastAsia="仿宋_GB2312" w:cs="仿宋_GB2312"/>
          <w:sz w:val="32"/>
          <w:szCs w:val="32"/>
        </w:rPr>
        <w:t>补贴，一次给予最高</w:t>
      </w:r>
      <w:r>
        <w:rPr>
          <w:rFonts w:ascii="仿宋_GB2312" w:hAnsi="仿宋_GB2312" w:eastAsia="仿宋_GB2312" w:cs="仿宋_GB2312"/>
          <w:sz w:val="32"/>
          <w:szCs w:val="32"/>
        </w:rPr>
        <w:t>50万元的</w:t>
      </w:r>
      <w:r>
        <w:rPr>
          <w:rFonts w:hint="eastAsia" w:ascii="仿宋_GB2312" w:hAnsi="仿宋_GB2312" w:eastAsia="仿宋_GB2312" w:cs="仿宋_GB2312"/>
          <w:sz w:val="32"/>
          <w:szCs w:val="32"/>
        </w:rPr>
        <w:t>补贴。</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一家企业可申报</w:t>
      </w:r>
      <w:r>
        <w:rPr>
          <w:rFonts w:ascii="仿宋_GB2312" w:hAnsi="仿宋_GB2312" w:eastAsia="仿宋_GB2312" w:cs="仿宋_GB2312"/>
          <w:sz w:val="32"/>
          <w:szCs w:val="32"/>
        </w:rPr>
        <w:t>2个</w:t>
      </w:r>
      <w:r>
        <w:rPr>
          <w:rFonts w:hint="eastAsia" w:ascii="仿宋_GB2312" w:hAnsi="仿宋_GB2312" w:eastAsia="仿宋_GB2312" w:cs="仿宋_GB2312"/>
          <w:sz w:val="32"/>
          <w:szCs w:val="32"/>
        </w:rPr>
        <w:t>海（境）外机构，每个海（境）外机构通过国内母体公司每两年可申报</w:t>
      </w:r>
      <w:r>
        <w:rPr>
          <w:rFonts w:ascii="仿宋_GB2312" w:hAnsi="仿宋_GB2312" w:eastAsia="仿宋_GB2312" w:cs="仿宋_GB2312"/>
          <w:sz w:val="32"/>
          <w:szCs w:val="32"/>
        </w:rPr>
        <w:t>1次</w:t>
      </w:r>
      <w:r>
        <w:rPr>
          <w:rFonts w:hint="eastAsia" w:ascii="仿宋_GB2312" w:hAnsi="仿宋_GB2312" w:eastAsia="仿宋_GB2312" w:cs="仿宋_GB2312"/>
          <w:sz w:val="32"/>
          <w:szCs w:val="32"/>
        </w:rPr>
        <w:t>。每家企业支持次数累计不超过</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次。</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eastAsia="黑体"/>
          <w:sz w:val="32"/>
          <w:szCs w:val="32"/>
        </w:rPr>
      </w:pPr>
      <w:r>
        <w:rPr>
          <w:rFonts w:hint="eastAsia" w:eastAsia="黑体"/>
          <w:sz w:val="32"/>
          <w:szCs w:val="32"/>
        </w:rPr>
        <w:t>五、申请材料</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eastAsia="楷体_GB2312"/>
          <w:sz w:val="32"/>
          <w:szCs w:val="32"/>
        </w:rPr>
        <w:t>（一）</w:t>
      </w:r>
      <w:r>
        <w:rPr>
          <w:rFonts w:hint="eastAsia" w:ascii="仿宋_GB2312" w:hAnsi="仿宋_GB2312" w:eastAsia="仿宋_GB2312" w:cs="仿宋_GB2312"/>
          <w:sz w:val="32"/>
          <w:szCs w:val="32"/>
        </w:rPr>
        <w:t>《福田英才荟设立海外机构支持申请表》。</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eastAsia="楷体_GB2312"/>
          <w:sz w:val="32"/>
          <w:szCs w:val="32"/>
        </w:rPr>
        <w:t>（二）</w:t>
      </w:r>
      <w:r>
        <w:rPr>
          <w:rFonts w:hint="eastAsia" w:ascii="仿宋_GB2312" w:hAnsi="仿宋_GB2312" w:eastAsia="仿宋_GB2312" w:cs="仿宋_GB2312"/>
          <w:sz w:val="32"/>
          <w:szCs w:val="32"/>
        </w:rPr>
        <w:t>申请企业证照（三证合一）。</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楷体_GB2312" w:hAnsi="楷体_GB2312" w:eastAsia="楷体_GB2312" w:cs="楷体_GB2312"/>
          <w:sz w:val="32"/>
          <w:szCs w:val="32"/>
        </w:rPr>
        <w:t>（三）</w:t>
      </w:r>
      <w:r>
        <w:rPr>
          <w:rFonts w:hint="eastAsia" w:ascii="仿宋_GB2312" w:hAnsi="仿宋_GB2312" w:eastAsia="仿宋_GB2312" w:cs="仿宋_GB2312"/>
          <w:sz w:val="32"/>
          <w:szCs w:val="32"/>
        </w:rPr>
        <w:t>申请企业上一年度福田纳税证明。</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楷体_GB2312" w:hAnsi="楷体_GB2312" w:eastAsia="楷体_GB2312" w:cs="楷体_GB2312"/>
          <w:sz w:val="32"/>
          <w:szCs w:val="32"/>
        </w:rPr>
        <w:t>（四）</w:t>
      </w:r>
      <w:r>
        <w:rPr>
          <w:rFonts w:hint="eastAsia" w:ascii="仿宋_GB2312" w:hAnsi="仿宋_GB2312" w:eastAsia="仿宋_GB2312" w:cs="仿宋_GB2312"/>
          <w:sz w:val="32"/>
          <w:szCs w:val="32"/>
        </w:rPr>
        <w:t>国内母体公司与海（境）外机构关系证明材料。</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楷体_GB2312" w:hAnsi="楷体_GB2312" w:eastAsia="楷体_GB2312" w:cs="楷体_GB2312"/>
          <w:sz w:val="32"/>
          <w:szCs w:val="32"/>
          <w:lang w:eastAsia="zh-CN"/>
        </w:rPr>
        <w:t>（五）</w:t>
      </w:r>
      <w:r>
        <w:rPr>
          <w:rFonts w:hint="eastAsia" w:ascii="仿宋_GB2312" w:hAnsi="仿宋_GB2312" w:eastAsia="仿宋_GB2312" w:cs="仿宋_GB2312"/>
          <w:sz w:val="32"/>
          <w:szCs w:val="32"/>
        </w:rPr>
        <w:t>设立海（境）外机构认定证明材料（下达通知、立项批复、合同书或任务书等）。</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楷体_GB2312" w:hAnsi="楷体_GB2312" w:eastAsia="楷体_GB2312" w:cs="楷体_GB2312"/>
          <w:sz w:val="32"/>
          <w:szCs w:val="32"/>
          <w:lang w:eastAsia="zh-CN"/>
        </w:rPr>
        <w:t>（六）</w:t>
      </w:r>
      <w:r>
        <w:rPr>
          <w:rFonts w:hint="eastAsia" w:ascii="仿宋_GB2312" w:hAnsi="仿宋_GB2312" w:eastAsia="仿宋_GB2312" w:cs="仿宋_GB2312"/>
          <w:sz w:val="32"/>
          <w:szCs w:val="32"/>
        </w:rPr>
        <w:t>近两年内平台建设维护费、研发投入支出总额的第三方机构专项审计报告。</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eastAsia="黑体"/>
          <w:sz w:val="32"/>
          <w:szCs w:val="32"/>
        </w:rPr>
      </w:pPr>
      <w:r>
        <w:rPr>
          <w:rFonts w:hint="eastAsia" w:eastAsia="黑体"/>
          <w:sz w:val="32"/>
          <w:szCs w:val="32"/>
          <w:lang w:eastAsia="zh-CN"/>
        </w:rPr>
        <w:t>六</w:t>
      </w:r>
      <w:r>
        <w:rPr>
          <w:rFonts w:hint="eastAsia" w:eastAsia="黑体"/>
          <w:sz w:val="32"/>
          <w:szCs w:val="32"/>
        </w:rPr>
        <w:t>、申报程序</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eastAsia="楷体_GB2312"/>
          <w:sz w:val="32"/>
          <w:szCs w:val="32"/>
        </w:rPr>
        <w:t>（一）网上申请。</w:t>
      </w:r>
      <w:r>
        <w:rPr>
          <w:rFonts w:hint="eastAsia" w:ascii="仿宋_GB2312" w:hAnsi="仿宋_GB2312" w:eastAsia="仿宋_GB2312" w:cs="仿宋_GB2312"/>
          <w:sz w:val="32"/>
          <w:szCs w:val="32"/>
        </w:rPr>
        <w:t>申请企业登录广东政务服务网深圳市福田区科技创新局站注册、提交申请并上传相关材料。</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eastAsia="楷体_GB2312"/>
          <w:sz w:val="32"/>
          <w:szCs w:val="32"/>
        </w:rPr>
        <w:t>（二）</w:t>
      </w:r>
      <w:r>
        <w:rPr>
          <w:rFonts w:hint="eastAsia" w:ascii="楷体_GB2312" w:hAnsi="楷体_GB2312" w:eastAsia="楷体_GB2312" w:cs="楷体_GB2312"/>
          <w:color w:val="000000"/>
          <w:sz w:val="32"/>
          <w:szCs w:val="32"/>
        </w:rPr>
        <w:t>材料提交。</w:t>
      </w:r>
      <w:r>
        <w:rPr>
          <w:rFonts w:hint="eastAsia" w:ascii="仿宋_GB2312" w:hAnsi="仿宋_GB2312" w:eastAsia="仿宋_GB2312" w:cs="仿宋_GB2312"/>
          <w:sz w:val="32"/>
          <w:szCs w:val="32"/>
        </w:rPr>
        <w:t>在网上申请并得到预审受理后将纸质材料现场提交到福田区行政服务大厅综合窗口。</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楷体_GB2312" w:hAnsi="楷体_GB2312" w:eastAsia="楷体_GB2312" w:cs="楷体_GB2312"/>
          <w:sz w:val="32"/>
          <w:szCs w:val="32"/>
        </w:rPr>
        <w:t>（三）审核并受理。</w:t>
      </w:r>
      <w:r>
        <w:rPr>
          <w:rFonts w:hint="eastAsia" w:ascii="仿宋_GB2312" w:hAnsi="仿宋_GB2312" w:eastAsia="仿宋_GB2312" w:cs="仿宋_GB2312"/>
          <w:sz w:val="32"/>
          <w:szCs w:val="32"/>
        </w:rPr>
        <w:t>区科技创新局对申请材料进行审核。</w:t>
      </w:r>
    </w:p>
    <w:p>
      <w:pPr>
        <w:adjustRightInd w:val="0"/>
        <w:snapToGrid w:val="0"/>
        <w:spacing w:after="156" w:afterLines="50" w:line="56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（四）</w:t>
      </w:r>
      <w:r>
        <w:rPr>
          <w:rFonts w:hint="eastAsia" w:ascii="楷体_GB2312" w:hAnsi="楷体_GB2312" w:eastAsia="楷体_GB2312" w:cs="楷体_GB2312"/>
          <w:sz w:val="32"/>
          <w:szCs w:val="32"/>
          <w:lang w:eastAsia="zh-CN"/>
        </w:rPr>
        <w:t>网上</w:t>
      </w:r>
      <w:r>
        <w:rPr>
          <w:rFonts w:hint="eastAsia" w:ascii="楷体_GB2312" w:hAnsi="楷体_GB2312" w:eastAsia="楷体_GB2312" w:cs="楷体_GB2312"/>
          <w:sz w:val="32"/>
          <w:szCs w:val="32"/>
        </w:rPr>
        <w:t>公示。</w:t>
      </w:r>
      <w:r>
        <w:rPr>
          <w:rFonts w:hint="eastAsia" w:ascii="仿宋_GB2312" w:hAnsi="宋体" w:eastAsia="仿宋_GB2312" w:cs="Times New Roman"/>
          <w:sz w:val="32"/>
          <w:szCs w:val="32"/>
        </w:rPr>
        <w:t>对</w:t>
      </w:r>
      <w:r>
        <w:rPr>
          <w:rFonts w:hint="eastAsia" w:ascii="仿宋_GB2312" w:eastAsia="仿宋_GB2312" w:cs="Calibri"/>
          <w:kern w:val="0"/>
          <w:sz w:val="32"/>
          <w:szCs w:val="32"/>
        </w:rPr>
        <w:t>审核通过的申请项目，在福田政府在线网站公示5个工作日。</w:t>
      </w:r>
      <w:r>
        <w:rPr>
          <w:rFonts w:hint="eastAsia" w:ascii="仿宋_GB2312" w:hAnsi="仿宋_GB2312" w:eastAsia="仿宋_GB2312" w:cs="仿宋_GB2312"/>
          <w:sz w:val="32"/>
          <w:szCs w:val="32"/>
        </w:rPr>
        <w:t>在公示期内，对公示内容有异议的，应以书面形式提出。</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楷体_GB2312" w:hAnsi="楷体_GB2312" w:eastAsia="楷体_GB2312" w:cs="楷体_GB2312"/>
          <w:sz w:val="32"/>
          <w:szCs w:val="32"/>
          <w:lang w:eastAsia="zh-CN"/>
        </w:rPr>
        <w:t>（五）拨款。</w:t>
      </w:r>
      <w:r>
        <w:rPr>
          <w:rFonts w:hint="eastAsia" w:ascii="仿宋_GB2312" w:hAnsi="仿宋_GB2312" w:eastAsia="仿宋_GB2312" w:cs="仿宋_GB2312"/>
          <w:sz w:val="32"/>
          <w:szCs w:val="32"/>
        </w:rPr>
        <w:t>对公示后无异议或异议不成立的申请人，按相关财务规定发放补贴。</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楷体_GB2312" w:hAnsi="楷体_GB2312" w:eastAsia="楷体_GB2312" w:cs="楷体_GB2312"/>
          <w:sz w:val="32"/>
          <w:szCs w:val="32"/>
          <w:lang w:eastAsia="zh-CN"/>
        </w:rPr>
        <w:t>（六）存档。</w:t>
      </w:r>
      <w:r>
        <w:rPr>
          <w:rFonts w:hint="eastAsia" w:ascii="仿宋_GB2312" w:hAnsi="仿宋_GB2312" w:eastAsia="仿宋_GB2312" w:cs="仿宋_GB2312"/>
          <w:sz w:val="32"/>
          <w:szCs w:val="32"/>
        </w:rPr>
        <w:t>申请人材料留存于区科技创新局，并存档。</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小贴士：福田区政务服务中心窗口办理地址为深南大道</w:t>
      </w:r>
      <w:r>
        <w:rPr>
          <w:rFonts w:ascii="仿宋_GB2312" w:hAnsi="仿宋_GB2312" w:eastAsia="仿宋_GB2312" w:cs="仿宋_GB2312"/>
          <w:sz w:val="32"/>
          <w:szCs w:val="32"/>
        </w:rPr>
        <w:t xml:space="preserve">1006号国际创新中心F座3层。地铁：2号线岗厦北站B出口附近；公交：32路、49路、101路、113路、K113路、204路、223路至岗厦北地铁站，395路至电子学校。上班时间：星期一至星期五上午 9:00 </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 xml:space="preserve"> 12:00，下午 14:00 </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 xml:space="preserve"> 17:45。</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黑体" w:hAnsi="黑体" w:eastAsia="黑体" w:cstheme="minorBidi"/>
          <w:kern w:val="2"/>
          <w:sz w:val="32"/>
          <w:szCs w:val="32"/>
          <w:lang w:eastAsia="zh-CN"/>
        </w:rPr>
        <w:t>七、</w:t>
      </w:r>
      <w:r>
        <w:rPr>
          <w:rFonts w:hint="eastAsia" w:ascii="黑体" w:hAnsi="黑体" w:eastAsia="黑体" w:cstheme="minorBidi"/>
          <w:kern w:val="2"/>
          <w:sz w:val="32"/>
          <w:szCs w:val="32"/>
        </w:rPr>
        <w:t>受理时间及办理时限</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eastAsia="楷体_GB2312"/>
          <w:sz w:val="32"/>
          <w:szCs w:val="32"/>
        </w:rPr>
        <w:t>（一）</w:t>
      </w:r>
      <w:r>
        <w:rPr>
          <w:rFonts w:hint="eastAsia" w:ascii="仿宋_GB2312" w:hAnsi="仿宋_GB2312" w:eastAsia="仿宋_GB2312" w:cs="仿宋_GB2312"/>
          <w:sz w:val="32"/>
          <w:szCs w:val="32"/>
        </w:rPr>
        <w:t>自印发之日起，每年</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月1日-</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月3</w:t>
      </w:r>
      <w:r>
        <w:rPr>
          <w:rFonts w:hint="eastAsia" w:ascii="仿宋_GB2312" w:hAnsi="仿宋_GB2312" w:eastAsia="仿宋_GB2312" w:cs="仿宋_GB2312"/>
          <w:sz w:val="32"/>
          <w:szCs w:val="32"/>
          <w:lang w:val="en-US" w:eastAsia="zh-CN"/>
        </w:rPr>
        <w:t>0</w:t>
      </w:r>
      <w:bookmarkStart w:id="1" w:name="_GoBack"/>
      <w:bookmarkEnd w:id="1"/>
      <w:r>
        <w:rPr>
          <w:rFonts w:hint="eastAsia" w:ascii="仿宋_GB2312" w:hAnsi="仿宋_GB2312" w:eastAsia="仿宋_GB2312" w:cs="仿宋_GB2312"/>
          <w:sz w:val="32"/>
          <w:szCs w:val="32"/>
        </w:rPr>
        <w:t>日集中受理（2</w:t>
      </w:r>
      <w:r>
        <w:rPr>
          <w:rFonts w:ascii="仿宋_GB2312" w:hAnsi="仿宋_GB2312" w:eastAsia="仿宋_GB2312" w:cs="仿宋_GB2312"/>
          <w:sz w:val="32"/>
          <w:szCs w:val="32"/>
        </w:rPr>
        <w:t>021</w:t>
      </w:r>
      <w:r>
        <w:rPr>
          <w:rFonts w:hint="eastAsia" w:ascii="仿宋_GB2312" w:hAnsi="仿宋_GB2312" w:eastAsia="仿宋_GB2312" w:cs="仿宋_GB2312"/>
          <w:sz w:val="32"/>
          <w:szCs w:val="32"/>
        </w:rPr>
        <w:t>年度受理时间延长至1</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月1</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日前）</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eastAsia="楷体_GB2312"/>
          <w:sz w:val="32"/>
          <w:szCs w:val="32"/>
        </w:rPr>
        <w:t>（二）</w:t>
      </w:r>
      <w:r>
        <w:rPr>
          <w:rFonts w:hint="eastAsia" w:ascii="仿宋_GB2312" w:hAnsi="仿宋_GB2312" w:eastAsia="仿宋_GB2312" w:cs="仿宋_GB2312"/>
          <w:sz w:val="32"/>
          <w:szCs w:val="32"/>
        </w:rPr>
        <w:t>自有效受理日起，原则上</w:t>
      </w:r>
      <w:r>
        <w:rPr>
          <w:rFonts w:ascii="仿宋_GB2312" w:hAnsi="仿宋_GB2312" w:eastAsia="仿宋_GB2312" w:cs="仿宋_GB2312"/>
          <w:sz w:val="32"/>
          <w:szCs w:val="32"/>
        </w:rPr>
        <w:t>30个工作日内办结。</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黑体" w:hAnsi="黑体" w:eastAsia="黑体" w:cstheme="minorBidi"/>
          <w:kern w:val="2"/>
          <w:sz w:val="32"/>
          <w:szCs w:val="32"/>
          <w:lang w:eastAsia="zh-CN"/>
        </w:rPr>
        <w:t>八、</w:t>
      </w:r>
      <w:r>
        <w:rPr>
          <w:rFonts w:hint="eastAsia" w:ascii="黑体" w:hAnsi="黑体" w:eastAsia="黑体" w:cstheme="minorBidi"/>
          <w:kern w:val="2"/>
          <w:sz w:val="32"/>
          <w:szCs w:val="32"/>
        </w:rPr>
        <w:t>其他说明</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eastAsia="楷体_GB2312"/>
          <w:sz w:val="32"/>
          <w:szCs w:val="32"/>
        </w:rPr>
        <w:t>（一）</w:t>
      </w:r>
      <w:r>
        <w:rPr>
          <w:rFonts w:hint="eastAsia" w:ascii="仿宋_GB2312" w:hAnsi="仿宋_GB2312" w:eastAsia="仿宋_GB2312" w:cs="仿宋_GB2312"/>
          <w:sz w:val="32"/>
          <w:szCs w:val="32"/>
        </w:rPr>
        <w:t>本指南项目受年度财政预算限制，支持企业的数量、金额受年度资金规模限制，支持标准存在调整可能，具体以实际发放的补贴金额为准。</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eastAsia="楷体_GB2312"/>
          <w:sz w:val="32"/>
          <w:szCs w:val="32"/>
        </w:rPr>
        <w:t>（二）</w:t>
      </w:r>
      <w:r>
        <w:rPr>
          <w:rFonts w:hint="eastAsia" w:ascii="仿宋_GB2312" w:hAnsi="仿宋_GB2312" w:eastAsia="仿宋_GB2312" w:cs="仿宋_GB2312"/>
          <w:sz w:val="32"/>
          <w:szCs w:val="32"/>
        </w:rPr>
        <w:t>申报单位对申报材料的真实性和准确性负责，如果出现弄虚作假及其它违规申报行为，由有关部门取消人才待遇，并追回本政策</w:t>
      </w:r>
      <w:r>
        <w:rPr>
          <w:rFonts w:hint="eastAsia" w:ascii="仿宋_GB2312" w:hAnsi="仿宋_GB2312" w:eastAsia="仿宋_GB2312" w:cs="仿宋_GB2312"/>
          <w:sz w:val="32"/>
          <w:szCs w:val="32"/>
          <w:highlight w:val="none"/>
        </w:rPr>
        <w:t>补贴</w:t>
      </w:r>
      <w:r>
        <w:rPr>
          <w:rFonts w:hint="eastAsia" w:ascii="仿宋_GB2312" w:hAnsi="仿宋_GB2312" w:eastAsia="仿宋_GB2312" w:cs="仿宋_GB2312"/>
          <w:sz w:val="32"/>
          <w:szCs w:val="32"/>
        </w:rPr>
        <w:t>资金，单位及个人五年内不得申报福田区政策支持。在“信用中国”等网站上有严重失信记录的，不予支持。触犯刑事的，依法追究刑事责任。</w:t>
      </w:r>
    </w:p>
    <w:p>
      <w:pPr>
        <w:pStyle w:val="7"/>
        <w:widowControl/>
        <w:spacing w:beforeAutospacing="0" w:after="0" w:afterLines="-2147483648" w:afterAutospacing="0" w:line="560" w:lineRule="exact"/>
        <w:ind w:firstLine="640" w:firstLineChars="200"/>
        <w:jc w:val="both"/>
        <w:rPr>
          <w:rFonts w:ascii="仿宋_GB2312" w:hAnsi="仿宋_GB2312" w:eastAsia="仿宋_GB2312" w:cs="仿宋_GB2312"/>
          <w:sz w:val="32"/>
          <w:szCs w:val="32"/>
        </w:rPr>
      </w:pPr>
      <w:r>
        <w:rPr>
          <w:rFonts w:hint="eastAsia" w:ascii="楷体_GB2312" w:hAnsi="楷体_GB2312" w:eastAsia="楷体_GB2312" w:cs="楷体_GB2312"/>
          <w:sz w:val="32"/>
          <w:szCs w:val="32"/>
        </w:rPr>
        <w:t>（三）</w:t>
      </w:r>
      <w:r>
        <w:rPr>
          <w:rFonts w:hint="eastAsia" w:ascii="仿宋_GB2312" w:hAnsi="仿宋_GB2312" w:eastAsia="仿宋_GB2312" w:cs="仿宋_GB2312"/>
          <w:sz w:val="32"/>
          <w:szCs w:val="32"/>
        </w:rPr>
        <w:t>本指南有效期自印发之日起至</w:t>
      </w:r>
      <w:r>
        <w:rPr>
          <w:rFonts w:ascii="仿宋_GB2312" w:hAnsi="仿宋_GB2312" w:eastAsia="仿宋_GB2312" w:cs="仿宋_GB2312"/>
          <w:sz w:val="32"/>
          <w:szCs w:val="32"/>
        </w:rPr>
        <w:t>2022年12月31日止。</w:t>
      </w:r>
    </w:p>
    <w:p>
      <w:pPr>
        <w:spacing w:line="59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（四）</w:t>
      </w:r>
      <w:r>
        <w:rPr>
          <w:rFonts w:hint="eastAsia" w:ascii="仿宋_GB2312" w:hAnsi="仿宋_GB2312" w:eastAsia="仿宋_GB2312" w:cs="仿宋_GB2312"/>
          <w:sz w:val="32"/>
          <w:szCs w:val="32"/>
        </w:rPr>
        <w:t>本指南由区科技创新局负责解释，咨询电话：</w:t>
      </w:r>
      <w:bookmarkStart w:id="0" w:name="_Hlk81235399"/>
      <w:r>
        <w:rPr>
          <w:rFonts w:hint="eastAsia" w:ascii="仿宋_GB2312" w:hAnsi="仿宋_GB2312" w:eastAsia="仿宋_GB2312" w:cs="仿宋_GB2312"/>
          <w:sz w:val="32"/>
          <w:szCs w:val="32"/>
        </w:rPr>
        <w:t>23949461</w:t>
      </w:r>
      <w:bookmarkEnd w:id="0"/>
      <w:r>
        <w:rPr>
          <w:rFonts w:hint="eastAsia" w:ascii="仿宋_GB2312" w:hAnsi="仿宋_GB2312" w:eastAsia="仿宋_GB2312" w:cs="仿宋_GB2312"/>
          <w:sz w:val="32"/>
          <w:szCs w:val="32"/>
        </w:rPr>
        <w:t>。</w:t>
      </w:r>
    </w:p>
    <w:p>
      <w:pPr>
        <w:adjustRightInd w:val="0"/>
        <w:snapToGrid w:val="0"/>
        <w:spacing w:line="560" w:lineRule="exact"/>
        <w:rPr>
          <w:rFonts w:ascii="仿宋_GB2312" w:hAnsi="仿宋_GB2312" w:eastAsia="仿宋_GB2312" w:cs="仿宋_GB2312"/>
          <w:sz w:val="32"/>
          <w:szCs w:val="32"/>
          <w:shd w:val="solid" w:color="FFFFFF" w:fill="auto"/>
        </w:rPr>
      </w:pPr>
    </w:p>
    <w:p>
      <w:pPr>
        <w:adjustRightInd w:val="0"/>
        <w:snapToGrid w:val="0"/>
        <w:spacing w:line="560" w:lineRule="exact"/>
        <w:rPr>
          <w:rFonts w:ascii="仿宋_GB2312" w:hAnsi="仿宋_GB2312" w:eastAsia="仿宋_GB2312" w:cs="仿宋_GB2312"/>
          <w:sz w:val="32"/>
          <w:szCs w:val="32"/>
          <w:shd w:val="solid" w:color="FFFFFF" w:fill="auto"/>
        </w:rPr>
      </w:pPr>
    </w:p>
    <w:p>
      <w:pPr>
        <w:adjustRightInd w:val="0"/>
        <w:snapToGrid w:val="0"/>
        <w:spacing w:line="560" w:lineRule="exact"/>
        <w:rPr>
          <w:rFonts w:ascii="仿宋_GB2312" w:hAnsi="仿宋_GB2312" w:eastAsia="仿宋_GB2312" w:cs="仿宋_GB2312"/>
          <w:sz w:val="32"/>
          <w:szCs w:val="32"/>
          <w:shd w:val="solid" w:color="FFFFFF" w:fill="auto"/>
        </w:rPr>
      </w:pPr>
    </w:p>
    <w:p>
      <w:pPr>
        <w:adjustRightInd w:val="0"/>
        <w:snapToGrid w:val="0"/>
        <w:spacing w:line="560" w:lineRule="exact"/>
        <w:rPr>
          <w:rFonts w:ascii="仿宋_GB2312" w:hAnsi="仿宋_GB2312" w:eastAsia="仿宋_GB2312" w:cs="仿宋_GB2312"/>
          <w:sz w:val="32"/>
          <w:szCs w:val="32"/>
          <w:shd w:val="solid" w:color="FFFFFF" w:fill="auto"/>
        </w:rPr>
      </w:pPr>
    </w:p>
    <w:p>
      <w:pPr>
        <w:adjustRightInd w:val="0"/>
        <w:snapToGrid w:val="0"/>
        <w:spacing w:line="560" w:lineRule="exact"/>
        <w:rPr>
          <w:rFonts w:ascii="仿宋_GB2312" w:hAnsi="仿宋_GB2312" w:eastAsia="仿宋_GB2312" w:cs="仿宋_GB2312"/>
          <w:sz w:val="32"/>
          <w:szCs w:val="32"/>
          <w:shd w:val="solid" w:color="FFFFFF" w:fill="auto"/>
        </w:rPr>
      </w:pPr>
    </w:p>
    <w:p>
      <w:pPr>
        <w:adjustRightInd w:val="0"/>
        <w:snapToGrid w:val="0"/>
        <w:spacing w:line="560" w:lineRule="exact"/>
        <w:rPr>
          <w:rFonts w:ascii="仿宋_GB2312" w:hAnsi="仿宋_GB2312" w:eastAsia="仿宋_GB2312" w:cs="仿宋_GB2312"/>
          <w:sz w:val="32"/>
          <w:szCs w:val="32"/>
          <w:shd w:val="solid" w:color="FFFFFF" w:fill="auto"/>
        </w:rPr>
      </w:pPr>
    </w:p>
    <w:p>
      <w:pPr>
        <w:adjustRightInd w:val="0"/>
        <w:snapToGrid w:val="0"/>
        <w:spacing w:line="560" w:lineRule="exact"/>
        <w:rPr>
          <w:rFonts w:ascii="仿宋_GB2312" w:hAnsi="仿宋_GB2312" w:eastAsia="仿宋_GB2312" w:cs="仿宋_GB2312"/>
          <w:sz w:val="32"/>
          <w:szCs w:val="32"/>
          <w:shd w:val="solid" w:color="FFFFFF" w:fill="auto"/>
        </w:rPr>
      </w:pPr>
    </w:p>
    <w:p>
      <w:pPr>
        <w:pStyle w:val="2"/>
      </w:pPr>
    </w:p>
    <w:tbl>
      <w:tblPr>
        <w:tblStyle w:val="8"/>
        <w:tblpPr w:leftFromText="180" w:rightFromText="180" w:vertAnchor="text" w:horzAnchor="page" w:tblpX="1386" w:tblpY="36"/>
        <w:tblOverlap w:val="never"/>
        <w:tblW w:w="10258" w:type="dxa"/>
        <w:tblInd w:w="0" w:type="dxa"/>
        <w:tblLayout w:type="fixed"/>
        <w:tblCellMar>
          <w:top w:w="0" w:type="dxa"/>
          <w:left w:w="108" w:type="dxa"/>
          <w:bottom w:w="0" w:type="dxa"/>
          <w:right w:w="108" w:type="dxa"/>
        </w:tblCellMar>
      </w:tblPr>
      <w:tblGrid>
        <w:gridCol w:w="692"/>
        <w:gridCol w:w="822"/>
        <w:gridCol w:w="654"/>
        <w:gridCol w:w="3816"/>
        <w:gridCol w:w="1622"/>
        <w:gridCol w:w="816"/>
        <w:gridCol w:w="552"/>
        <w:gridCol w:w="1284"/>
      </w:tblGrid>
      <w:tr>
        <w:tblPrEx>
          <w:tblCellMar>
            <w:top w:w="0" w:type="dxa"/>
            <w:left w:w="108" w:type="dxa"/>
            <w:bottom w:w="0" w:type="dxa"/>
            <w:right w:w="108" w:type="dxa"/>
          </w:tblCellMar>
        </w:tblPrEx>
        <w:trPr>
          <w:trHeight w:val="560" w:hRule="atLeast"/>
        </w:trPr>
        <w:tc>
          <w:tcPr>
            <w:tcW w:w="10258" w:type="dxa"/>
            <w:gridSpan w:val="8"/>
            <w:tcBorders>
              <w:top w:val="nil"/>
              <w:left w:val="nil"/>
              <w:bottom w:val="nil"/>
              <w:right w:val="nil"/>
            </w:tcBorders>
            <w:shd w:val="clear" w:color="auto" w:fill="auto"/>
            <w:noWrap/>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lang w:bidi="ar"/>
              </w:rPr>
              <w:t>福田英才荟设立海（境）外机构支持申请表</w:t>
            </w:r>
          </w:p>
        </w:tc>
      </w:tr>
      <w:tr>
        <w:tblPrEx>
          <w:tblCellMar>
            <w:top w:w="0" w:type="dxa"/>
            <w:left w:w="108" w:type="dxa"/>
            <w:bottom w:w="0" w:type="dxa"/>
            <w:right w:w="108" w:type="dxa"/>
          </w:tblCellMar>
        </w:tblPrEx>
        <w:trPr>
          <w:trHeight w:val="513" w:hRule="atLeast"/>
        </w:trPr>
        <w:tc>
          <w:tcPr>
            <w:tcW w:w="69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申请单位</w:t>
            </w:r>
          </w:p>
        </w:tc>
        <w:tc>
          <w:tcPr>
            <w:tcW w:w="6914" w:type="dxa"/>
            <w:gridSpan w:val="4"/>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368"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联系人及电话</w:t>
            </w:r>
          </w:p>
        </w:tc>
        <w:tc>
          <w:tcPr>
            <w:tcW w:w="1284" w:type="dxa"/>
            <w:tcBorders>
              <w:top w:val="single" w:color="000000" w:sz="4" w:space="0"/>
              <w:left w:val="single" w:color="000000" w:sz="4" w:space="0"/>
              <w:bottom w:val="nil"/>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0" w:type="dxa"/>
            <w:left w:w="108" w:type="dxa"/>
            <w:bottom w:w="0" w:type="dxa"/>
            <w:right w:w="108" w:type="dxa"/>
          </w:tblCellMar>
        </w:tblPrEx>
        <w:trPr>
          <w:trHeight w:val="444" w:hRule="atLeast"/>
        </w:trPr>
        <w:tc>
          <w:tcPr>
            <w:tcW w:w="692" w:type="dxa"/>
            <w:tcBorders>
              <w:top w:val="single" w:color="000000" w:sz="4" w:space="0"/>
              <w:left w:val="single" w:color="000000" w:sz="4" w:space="0"/>
              <w:bottom w:val="nil"/>
              <w:right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设立方式</w:t>
            </w: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□收购兼并</w:t>
            </w:r>
          </w:p>
        </w:tc>
        <w:tc>
          <w:tcPr>
            <w:tcW w:w="5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□合资合作</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□独资新建</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□其他</w:t>
            </w:r>
          </w:p>
        </w:tc>
      </w:tr>
      <w:tr>
        <w:tblPrEx>
          <w:tblCellMar>
            <w:top w:w="0" w:type="dxa"/>
            <w:left w:w="108" w:type="dxa"/>
            <w:bottom w:w="0" w:type="dxa"/>
            <w:right w:w="108" w:type="dxa"/>
          </w:tblCellMar>
        </w:tblPrEx>
        <w:trPr>
          <w:trHeight w:val="480" w:hRule="atLeast"/>
        </w:trPr>
        <w:tc>
          <w:tcPr>
            <w:tcW w:w="6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申请项目</w:t>
            </w:r>
          </w:p>
        </w:tc>
        <w:tc>
          <w:tcPr>
            <w:tcW w:w="52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□设立研发机构支持</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□设立离岸创新基地支持</w:t>
            </w:r>
          </w:p>
        </w:tc>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□设立孵化载体支持</w:t>
            </w:r>
          </w:p>
        </w:tc>
      </w:tr>
      <w:tr>
        <w:tblPrEx>
          <w:tblCellMar>
            <w:top w:w="0" w:type="dxa"/>
            <w:left w:w="108" w:type="dxa"/>
            <w:bottom w:w="0" w:type="dxa"/>
            <w:right w:w="108" w:type="dxa"/>
          </w:tblCellMar>
        </w:tblPrEx>
        <w:trPr>
          <w:trHeight w:val="480" w:hRule="atLeast"/>
        </w:trPr>
        <w:tc>
          <w:tcPr>
            <w:tcW w:w="6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4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R&amp;D投入占比</w:t>
            </w:r>
          </w:p>
        </w:tc>
        <w:tc>
          <w:tcPr>
            <w:tcW w:w="3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6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两年内承担项目</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□独立项目</w:t>
            </w:r>
          </w:p>
        </w:tc>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   ）个</w:t>
            </w:r>
          </w:p>
        </w:tc>
      </w:tr>
      <w:tr>
        <w:tblPrEx>
          <w:tblCellMar>
            <w:top w:w="0" w:type="dxa"/>
            <w:left w:w="108" w:type="dxa"/>
            <w:bottom w:w="0" w:type="dxa"/>
            <w:right w:w="108" w:type="dxa"/>
          </w:tblCellMar>
        </w:tblPrEx>
        <w:trPr>
          <w:trHeight w:val="480" w:hRule="atLeast"/>
        </w:trPr>
        <w:tc>
          <w:tcPr>
            <w:tcW w:w="6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4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6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□联合项目</w:t>
            </w:r>
          </w:p>
        </w:tc>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   ）个</w:t>
            </w:r>
          </w:p>
        </w:tc>
      </w:tr>
      <w:tr>
        <w:tblPrEx>
          <w:tblCellMar>
            <w:top w:w="0" w:type="dxa"/>
            <w:left w:w="108" w:type="dxa"/>
            <w:bottom w:w="0" w:type="dxa"/>
            <w:right w:w="108" w:type="dxa"/>
          </w:tblCellMar>
        </w:tblPrEx>
        <w:trPr>
          <w:trHeight w:val="90" w:hRule="atLeast"/>
        </w:trPr>
        <w:tc>
          <w:tcPr>
            <w:tcW w:w="6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4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622" w:type="dxa"/>
            <w:tcBorders>
              <w:top w:val="single" w:color="000000" w:sz="4" w:space="0"/>
              <w:left w:val="single" w:color="000000" w:sz="4" w:space="0"/>
              <w:bottom w:val="nil"/>
              <w:right w:val="single" w:color="000000" w:sz="4" w:space="0"/>
            </w:tcBorders>
            <w:shd w:val="clear" w:color="auto" w:fill="auto"/>
            <w:noWrap/>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申请单位投融资金额</w:t>
            </w:r>
          </w:p>
        </w:tc>
        <w:tc>
          <w:tcPr>
            <w:tcW w:w="816" w:type="dxa"/>
            <w:tcBorders>
              <w:top w:val="single" w:color="000000" w:sz="4" w:space="0"/>
              <w:left w:val="single" w:color="000000" w:sz="4" w:space="0"/>
              <w:bottom w:val="nil"/>
              <w:right w:val="single" w:color="000000" w:sz="4" w:space="0"/>
            </w:tcBorders>
            <w:shd w:val="clear" w:color="auto" w:fill="auto"/>
            <w:noWrap/>
            <w:vAlign w:val="center"/>
          </w:tcPr>
          <w:p>
            <w:pPr>
              <w:rPr>
                <w:rFonts w:ascii="宋体" w:hAnsi="宋体" w:eastAsia="宋体" w:cs="宋体"/>
                <w:color w:val="000000"/>
                <w:sz w:val="24"/>
              </w:rPr>
            </w:pPr>
          </w:p>
        </w:tc>
        <w:tc>
          <w:tcPr>
            <w:tcW w:w="1836" w:type="dxa"/>
            <w:gridSpan w:val="2"/>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r>
      <w:tr>
        <w:tblPrEx>
          <w:tblCellMar>
            <w:top w:w="0" w:type="dxa"/>
            <w:left w:w="108" w:type="dxa"/>
            <w:bottom w:w="0" w:type="dxa"/>
            <w:right w:w="108" w:type="dxa"/>
          </w:tblCellMar>
        </w:tblPrEx>
        <w:trPr>
          <w:trHeight w:val="72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上一年度福田区综合贡献</w:t>
            </w:r>
          </w:p>
        </w:tc>
        <w:tc>
          <w:tcPr>
            <w:tcW w:w="52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 xml:space="preserve">     万元</w:t>
            </w:r>
          </w:p>
        </w:tc>
        <w:tc>
          <w:tcPr>
            <w:tcW w:w="29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近两年R&amp;D投入或平台维护费总额</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r>
      <w:tr>
        <w:tblPrEx>
          <w:tblCellMar>
            <w:top w:w="0" w:type="dxa"/>
            <w:left w:w="108" w:type="dxa"/>
            <w:bottom w:w="0" w:type="dxa"/>
            <w:right w:w="108" w:type="dxa"/>
          </w:tblCellMar>
        </w:tblPrEx>
        <w:trPr>
          <w:trHeight w:val="980" w:hRule="atLeast"/>
        </w:trPr>
        <w:tc>
          <w:tcPr>
            <w:tcW w:w="692" w:type="dxa"/>
            <w:vMerge w:val="restart"/>
            <w:tcBorders>
              <w:top w:val="nil"/>
              <w:left w:val="single" w:color="000000" w:sz="4" w:space="0"/>
              <w:bottom w:val="nil"/>
              <w:right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申请单位声明</w:t>
            </w:r>
          </w:p>
        </w:tc>
        <w:tc>
          <w:tcPr>
            <w:tcW w:w="9566" w:type="dxa"/>
            <w:gridSpan w:val="7"/>
            <w:tcBorders>
              <w:top w:val="nil"/>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 xml:space="preserve">    本公司经营规范，无违纪违法行为，申请落实福田英才荟设立海外机构支持相关政策，如所填资料与事实不符，愿意承担相应的法律责任。</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本公司承诺自获得支持之日起5年内，注册地址不迁离福田区，不改变在福田区的纳税义务。 </w:t>
            </w:r>
          </w:p>
        </w:tc>
      </w:tr>
      <w:tr>
        <w:tblPrEx>
          <w:tblCellMar>
            <w:top w:w="0" w:type="dxa"/>
            <w:left w:w="108" w:type="dxa"/>
            <w:bottom w:w="0" w:type="dxa"/>
            <w:right w:w="108" w:type="dxa"/>
          </w:tblCellMar>
        </w:tblPrEx>
        <w:trPr>
          <w:trHeight w:val="501" w:hRule="atLeast"/>
        </w:trPr>
        <w:tc>
          <w:tcPr>
            <w:tcW w:w="692" w:type="dxa"/>
            <w:vMerge w:val="continue"/>
            <w:tcBorders>
              <w:top w:val="nil"/>
              <w:left w:val="single" w:color="000000" w:sz="4" w:space="0"/>
              <w:bottom w:val="nil"/>
              <w:right w:val="nil"/>
            </w:tcBorders>
            <w:shd w:val="clear" w:color="auto" w:fill="auto"/>
            <w:vAlign w:val="center"/>
          </w:tcPr>
          <w:p>
            <w:pPr>
              <w:jc w:val="center"/>
              <w:rPr>
                <w:rFonts w:ascii="宋体" w:hAnsi="宋体" w:eastAsia="宋体" w:cs="宋体"/>
                <w:color w:val="000000"/>
                <w:sz w:val="18"/>
                <w:szCs w:val="18"/>
              </w:rPr>
            </w:pPr>
          </w:p>
        </w:tc>
        <w:tc>
          <w:tcPr>
            <w:tcW w:w="822" w:type="dxa"/>
            <w:tcBorders>
              <w:top w:val="nil"/>
              <w:left w:val="single" w:color="000000" w:sz="4" w:space="0"/>
              <w:bottom w:val="nil"/>
              <w:right w:val="nil"/>
            </w:tcBorders>
            <w:shd w:val="clear" w:color="auto" w:fill="auto"/>
            <w:vAlign w:val="center"/>
          </w:tcPr>
          <w:p>
            <w:pPr>
              <w:jc w:val="left"/>
              <w:rPr>
                <w:rFonts w:ascii="宋体" w:hAnsi="宋体" w:eastAsia="宋体" w:cs="宋体"/>
                <w:color w:val="000000"/>
                <w:sz w:val="18"/>
                <w:szCs w:val="18"/>
              </w:rPr>
            </w:pPr>
          </w:p>
        </w:tc>
        <w:tc>
          <w:tcPr>
            <w:tcW w:w="654" w:type="dxa"/>
            <w:tcBorders>
              <w:top w:val="nil"/>
              <w:left w:val="nil"/>
              <w:bottom w:val="nil"/>
              <w:right w:val="nil"/>
            </w:tcBorders>
            <w:shd w:val="clear" w:color="auto" w:fill="auto"/>
            <w:vAlign w:val="center"/>
          </w:tcPr>
          <w:p>
            <w:pPr>
              <w:jc w:val="left"/>
              <w:rPr>
                <w:rFonts w:ascii="宋体" w:hAnsi="宋体" w:eastAsia="宋体" w:cs="宋体"/>
                <w:color w:val="000000"/>
                <w:sz w:val="18"/>
                <w:szCs w:val="18"/>
              </w:rPr>
            </w:pPr>
          </w:p>
        </w:tc>
        <w:tc>
          <w:tcPr>
            <w:tcW w:w="3816" w:type="dxa"/>
            <w:tcBorders>
              <w:top w:val="nil"/>
              <w:left w:val="nil"/>
              <w:bottom w:val="nil"/>
              <w:right w:val="nil"/>
            </w:tcBorders>
            <w:shd w:val="clear" w:color="auto" w:fill="auto"/>
            <w:vAlign w:val="center"/>
          </w:tcPr>
          <w:p>
            <w:pPr>
              <w:jc w:val="left"/>
              <w:rPr>
                <w:rFonts w:ascii="宋体" w:hAnsi="宋体" w:eastAsia="宋体" w:cs="宋体"/>
                <w:color w:val="000000"/>
                <w:sz w:val="18"/>
                <w:szCs w:val="18"/>
              </w:rPr>
            </w:pPr>
          </w:p>
        </w:tc>
        <w:tc>
          <w:tcPr>
            <w:tcW w:w="4274" w:type="dxa"/>
            <w:gridSpan w:val="4"/>
            <w:tcBorders>
              <w:top w:val="nil"/>
              <w:left w:val="nil"/>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法定代表人（负责人）签字：</w:t>
            </w:r>
          </w:p>
        </w:tc>
      </w:tr>
      <w:tr>
        <w:tblPrEx>
          <w:tblCellMar>
            <w:top w:w="0" w:type="dxa"/>
            <w:left w:w="108" w:type="dxa"/>
            <w:bottom w:w="0" w:type="dxa"/>
            <w:right w:w="108" w:type="dxa"/>
          </w:tblCellMar>
        </w:tblPrEx>
        <w:trPr>
          <w:trHeight w:val="360" w:hRule="atLeast"/>
        </w:trPr>
        <w:tc>
          <w:tcPr>
            <w:tcW w:w="692" w:type="dxa"/>
            <w:vMerge w:val="continue"/>
            <w:tcBorders>
              <w:top w:val="nil"/>
              <w:left w:val="single" w:color="000000" w:sz="4" w:space="0"/>
              <w:bottom w:val="nil"/>
              <w:right w:val="nil"/>
            </w:tcBorders>
            <w:shd w:val="clear" w:color="auto" w:fill="auto"/>
            <w:vAlign w:val="center"/>
          </w:tcPr>
          <w:p>
            <w:pPr>
              <w:jc w:val="center"/>
              <w:rPr>
                <w:rFonts w:ascii="宋体" w:hAnsi="宋体" w:eastAsia="宋体" w:cs="宋体"/>
                <w:color w:val="000000"/>
                <w:sz w:val="18"/>
                <w:szCs w:val="18"/>
              </w:rPr>
            </w:pPr>
          </w:p>
        </w:tc>
        <w:tc>
          <w:tcPr>
            <w:tcW w:w="822" w:type="dxa"/>
            <w:tcBorders>
              <w:top w:val="nil"/>
              <w:left w:val="single" w:color="000000" w:sz="4" w:space="0"/>
              <w:bottom w:val="nil"/>
              <w:right w:val="nil"/>
            </w:tcBorders>
            <w:shd w:val="clear" w:color="auto" w:fill="auto"/>
            <w:vAlign w:val="center"/>
          </w:tcPr>
          <w:p>
            <w:pPr>
              <w:jc w:val="left"/>
              <w:rPr>
                <w:rFonts w:ascii="宋体" w:hAnsi="宋体" w:eastAsia="宋体" w:cs="宋体"/>
                <w:color w:val="000000"/>
                <w:sz w:val="18"/>
                <w:szCs w:val="18"/>
              </w:rPr>
            </w:pPr>
          </w:p>
        </w:tc>
        <w:tc>
          <w:tcPr>
            <w:tcW w:w="654" w:type="dxa"/>
            <w:tcBorders>
              <w:top w:val="nil"/>
              <w:left w:val="nil"/>
              <w:bottom w:val="nil"/>
              <w:right w:val="nil"/>
            </w:tcBorders>
            <w:shd w:val="clear" w:color="auto" w:fill="auto"/>
            <w:vAlign w:val="center"/>
          </w:tcPr>
          <w:p>
            <w:pPr>
              <w:jc w:val="left"/>
              <w:rPr>
                <w:rFonts w:ascii="宋体" w:hAnsi="宋体" w:eastAsia="宋体" w:cs="宋体"/>
                <w:color w:val="000000"/>
                <w:sz w:val="18"/>
                <w:szCs w:val="18"/>
              </w:rPr>
            </w:pPr>
          </w:p>
        </w:tc>
        <w:tc>
          <w:tcPr>
            <w:tcW w:w="3816" w:type="dxa"/>
            <w:tcBorders>
              <w:top w:val="nil"/>
              <w:left w:val="nil"/>
              <w:bottom w:val="nil"/>
              <w:right w:val="nil"/>
            </w:tcBorders>
            <w:shd w:val="clear" w:color="auto" w:fill="auto"/>
            <w:vAlign w:val="center"/>
          </w:tcPr>
          <w:p>
            <w:pPr>
              <w:jc w:val="left"/>
              <w:rPr>
                <w:rFonts w:ascii="宋体" w:hAnsi="宋体" w:eastAsia="宋体" w:cs="宋体"/>
                <w:color w:val="000000"/>
                <w:sz w:val="18"/>
                <w:szCs w:val="18"/>
              </w:rPr>
            </w:pPr>
          </w:p>
        </w:tc>
        <w:tc>
          <w:tcPr>
            <w:tcW w:w="1622" w:type="dxa"/>
            <w:tcBorders>
              <w:top w:val="nil"/>
              <w:left w:val="nil"/>
              <w:bottom w:val="nil"/>
              <w:right w:val="nil"/>
            </w:tcBorders>
            <w:shd w:val="clear" w:color="auto" w:fill="auto"/>
            <w:vAlign w:val="center"/>
          </w:tcPr>
          <w:p>
            <w:pPr>
              <w:jc w:val="center"/>
              <w:rPr>
                <w:rFonts w:ascii="宋体" w:hAnsi="宋体" w:eastAsia="宋体" w:cs="宋体"/>
                <w:color w:val="000000"/>
                <w:sz w:val="18"/>
                <w:szCs w:val="18"/>
              </w:rPr>
            </w:pPr>
          </w:p>
        </w:tc>
        <w:tc>
          <w:tcPr>
            <w:tcW w:w="1368" w:type="dxa"/>
            <w:gridSpan w:val="2"/>
            <w:tcBorders>
              <w:top w:val="nil"/>
              <w:left w:val="nil"/>
              <w:bottom w:val="nil"/>
              <w:right w:val="nil"/>
            </w:tcBorders>
            <w:shd w:val="clear" w:color="auto" w:fill="auto"/>
            <w:vAlign w:val="center"/>
          </w:tcPr>
          <w:p>
            <w:pPr>
              <w:widowControl/>
              <w:jc w:val="both"/>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（单位公章）</w:t>
            </w:r>
          </w:p>
        </w:tc>
        <w:tc>
          <w:tcPr>
            <w:tcW w:w="1284" w:type="dxa"/>
            <w:tcBorders>
              <w:top w:val="nil"/>
              <w:left w:val="nil"/>
              <w:bottom w:val="nil"/>
              <w:right w:val="single" w:color="000000" w:sz="4" w:space="0"/>
            </w:tcBorders>
            <w:shd w:val="clear" w:color="auto" w:fill="auto"/>
            <w:vAlign w:val="center"/>
          </w:tcPr>
          <w:p>
            <w:pPr>
              <w:jc w:val="left"/>
              <w:rPr>
                <w:rFonts w:ascii="宋体" w:hAnsi="宋体" w:eastAsia="宋体" w:cs="宋体"/>
                <w:color w:val="000000"/>
                <w:sz w:val="18"/>
                <w:szCs w:val="18"/>
              </w:rPr>
            </w:pPr>
          </w:p>
        </w:tc>
      </w:tr>
      <w:tr>
        <w:tblPrEx>
          <w:tblCellMar>
            <w:top w:w="0" w:type="dxa"/>
            <w:left w:w="108" w:type="dxa"/>
            <w:bottom w:w="0" w:type="dxa"/>
            <w:right w:w="108" w:type="dxa"/>
          </w:tblCellMar>
        </w:tblPrEx>
        <w:trPr>
          <w:trHeight w:val="90" w:hRule="atLeast"/>
        </w:trPr>
        <w:tc>
          <w:tcPr>
            <w:tcW w:w="692" w:type="dxa"/>
            <w:vMerge w:val="continue"/>
            <w:tcBorders>
              <w:top w:val="nil"/>
              <w:left w:val="single" w:color="000000" w:sz="4" w:space="0"/>
              <w:bottom w:val="nil"/>
              <w:right w:val="nil"/>
            </w:tcBorders>
            <w:shd w:val="clear" w:color="auto" w:fill="auto"/>
            <w:vAlign w:val="center"/>
          </w:tcPr>
          <w:p>
            <w:pPr>
              <w:jc w:val="center"/>
              <w:rPr>
                <w:rFonts w:ascii="宋体" w:hAnsi="宋体" w:eastAsia="宋体" w:cs="宋体"/>
                <w:color w:val="000000"/>
                <w:sz w:val="18"/>
                <w:szCs w:val="18"/>
              </w:rPr>
            </w:pPr>
          </w:p>
        </w:tc>
        <w:tc>
          <w:tcPr>
            <w:tcW w:w="822" w:type="dxa"/>
            <w:tcBorders>
              <w:top w:val="nil"/>
              <w:left w:val="single" w:color="000000" w:sz="4" w:space="0"/>
              <w:bottom w:val="single" w:color="000000" w:sz="4" w:space="0"/>
              <w:right w:val="nil"/>
            </w:tcBorders>
            <w:shd w:val="clear" w:color="auto" w:fill="auto"/>
            <w:vAlign w:val="center"/>
          </w:tcPr>
          <w:p>
            <w:pPr>
              <w:jc w:val="left"/>
              <w:rPr>
                <w:rFonts w:ascii="宋体" w:hAnsi="宋体" w:eastAsia="宋体" w:cs="宋体"/>
                <w:color w:val="000000"/>
                <w:sz w:val="18"/>
                <w:szCs w:val="18"/>
              </w:rPr>
            </w:pPr>
          </w:p>
        </w:tc>
        <w:tc>
          <w:tcPr>
            <w:tcW w:w="654" w:type="dxa"/>
            <w:tcBorders>
              <w:top w:val="nil"/>
              <w:left w:val="nil"/>
              <w:bottom w:val="single" w:color="000000" w:sz="4" w:space="0"/>
              <w:right w:val="nil"/>
            </w:tcBorders>
            <w:shd w:val="clear" w:color="auto" w:fill="auto"/>
            <w:vAlign w:val="center"/>
          </w:tcPr>
          <w:p>
            <w:pPr>
              <w:jc w:val="left"/>
              <w:rPr>
                <w:rFonts w:ascii="宋体" w:hAnsi="宋体" w:eastAsia="宋体" w:cs="宋体"/>
                <w:color w:val="000000"/>
                <w:sz w:val="18"/>
                <w:szCs w:val="18"/>
              </w:rPr>
            </w:pPr>
          </w:p>
        </w:tc>
        <w:tc>
          <w:tcPr>
            <w:tcW w:w="3816" w:type="dxa"/>
            <w:tcBorders>
              <w:top w:val="nil"/>
              <w:left w:val="nil"/>
              <w:bottom w:val="single" w:color="000000" w:sz="4" w:space="0"/>
              <w:right w:val="nil"/>
            </w:tcBorders>
            <w:shd w:val="clear" w:color="auto" w:fill="auto"/>
            <w:vAlign w:val="center"/>
          </w:tcPr>
          <w:p>
            <w:pPr>
              <w:jc w:val="left"/>
              <w:rPr>
                <w:rFonts w:ascii="宋体" w:hAnsi="宋体" w:eastAsia="宋体" w:cs="宋体"/>
                <w:color w:val="000000"/>
                <w:sz w:val="18"/>
                <w:szCs w:val="18"/>
              </w:rPr>
            </w:pPr>
          </w:p>
        </w:tc>
        <w:tc>
          <w:tcPr>
            <w:tcW w:w="1622" w:type="dxa"/>
            <w:tcBorders>
              <w:top w:val="nil"/>
              <w:left w:val="nil"/>
              <w:bottom w:val="single" w:color="000000" w:sz="4" w:space="0"/>
              <w:right w:val="nil"/>
            </w:tcBorders>
            <w:shd w:val="clear" w:color="auto" w:fill="auto"/>
            <w:vAlign w:val="center"/>
          </w:tcPr>
          <w:p>
            <w:pPr>
              <w:jc w:val="center"/>
              <w:rPr>
                <w:rFonts w:ascii="宋体" w:hAnsi="宋体" w:eastAsia="宋体" w:cs="宋体"/>
                <w:color w:val="000000"/>
                <w:sz w:val="18"/>
                <w:szCs w:val="18"/>
              </w:rPr>
            </w:pPr>
          </w:p>
        </w:tc>
        <w:tc>
          <w:tcPr>
            <w:tcW w:w="816" w:type="dxa"/>
            <w:tcBorders>
              <w:top w:val="nil"/>
              <w:left w:val="nil"/>
              <w:bottom w:val="single" w:color="000000" w:sz="4" w:space="0"/>
              <w:right w:val="nil"/>
            </w:tcBorders>
            <w:shd w:val="clear" w:color="auto" w:fill="auto"/>
            <w:vAlign w:val="center"/>
          </w:tcPr>
          <w:p>
            <w:pPr>
              <w:jc w:val="center"/>
              <w:rPr>
                <w:rFonts w:ascii="宋体" w:hAnsi="宋体" w:eastAsia="宋体" w:cs="宋体"/>
                <w:color w:val="000000"/>
                <w:sz w:val="18"/>
                <w:szCs w:val="18"/>
              </w:rPr>
            </w:pPr>
          </w:p>
        </w:tc>
        <w:tc>
          <w:tcPr>
            <w:tcW w:w="1836" w:type="dxa"/>
            <w:gridSpan w:val="2"/>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年   月   日</w:t>
            </w:r>
          </w:p>
        </w:tc>
      </w:tr>
      <w:tr>
        <w:tblPrEx>
          <w:tblCellMar>
            <w:top w:w="0" w:type="dxa"/>
            <w:left w:w="108" w:type="dxa"/>
            <w:bottom w:w="0" w:type="dxa"/>
            <w:right w:w="108" w:type="dxa"/>
          </w:tblCellMar>
        </w:tblPrEx>
        <w:trPr>
          <w:trHeight w:val="352" w:hRule="atLeast"/>
        </w:trPr>
        <w:tc>
          <w:tcPr>
            <w:tcW w:w="10258"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□审批部门填写</w:t>
            </w:r>
          </w:p>
        </w:tc>
      </w:tr>
      <w:tr>
        <w:tblPrEx>
          <w:tblCellMar>
            <w:top w:w="0" w:type="dxa"/>
            <w:left w:w="108" w:type="dxa"/>
            <w:bottom w:w="0" w:type="dxa"/>
            <w:right w:w="108" w:type="dxa"/>
          </w:tblCellMar>
        </w:tblPrEx>
        <w:trPr>
          <w:trHeight w:val="640" w:hRule="atLeast"/>
        </w:trPr>
        <w:tc>
          <w:tcPr>
            <w:tcW w:w="6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初审意见</w:t>
            </w:r>
          </w:p>
        </w:tc>
        <w:tc>
          <w:tcPr>
            <w:tcW w:w="14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拟安排支持金额</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w:t>
            </w:r>
            <w:r>
              <w:rPr>
                <w:rFonts w:ascii="Times New Roman" w:hAnsi="Times New Roman" w:eastAsia="宋体" w:cs="Times New Roman"/>
                <w:color w:val="000000"/>
                <w:kern w:val="0"/>
                <w:sz w:val="18"/>
                <w:szCs w:val="18"/>
                <w:lang w:bidi="ar"/>
              </w:rPr>
              <w:t>______________________________________</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8"/>
                <w:szCs w:val="18"/>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8"/>
                <w:szCs w:val="18"/>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8"/>
                <w:szCs w:val="18"/>
              </w:rPr>
            </w:pPr>
          </w:p>
        </w:tc>
      </w:tr>
      <w:tr>
        <w:tblPrEx>
          <w:tblCellMar>
            <w:top w:w="0" w:type="dxa"/>
            <w:left w:w="108" w:type="dxa"/>
            <w:bottom w:w="0" w:type="dxa"/>
            <w:right w:w="108" w:type="dxa"/>
          </w:tblCellMar>
        </w:tblPrEx>
        <w:trPr>
          <w:trHeight w:val="340" w:hRule="atLeast"/>
        </w:trPr>
        <w:tc>
          <w:tcPr>
            <w:tcW w:w="6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4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809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大写：</w:t>
            </w:r>
          </w:p>
        </w:tc>
      </w:tr>
      <w:tr>
        <w:tblPrEx>
          <w:tblCellMar>
            <w:top w:w="0" w:type="dxa"/>
            <w:left w:w="108" w:type="dxa"/>
            <w:bottom w:w="0" w:type="dxa"/>
            <w:right w:w="108" w:type="dxa"/>
          </w:tblCellMar>
        </w:tblPrEx>
        <w:trPr>
          <w:trHeight w:val="95" w:hRule="atLeast"/>
        </w:trPr>
        <w:tc>
          <w:tcPr>
            <w:tcW w:w="6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956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备注：</w:t>
            </w:r>
          </w:p>
        </w:tc>
      </w:tr>
      <w:tr>
        <w:tblPrEx>
          <w:tblCellMar>
            <w:top w:w="0" w:type="dxa"/>
            <w:left w:w="108" w:type="dxa"/>
            <w:bottom w:w="0" w:type="dxa"/>
            <w:right w:w="108" w:type="dxa"/>
          </w:tblCellMar>
        </w:tblPrEx>
        <w:trPr>
          <w:trHeight w:val="415"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cs="宋体"/>
                <w:color w:val="000000"/>
                <w:kern w:val="0"/>
                <w:sz w:val="18"/>
                <w:szCs w:val="18"/>
                <w:lang w:eastAsia="zh-CN" w:bidi="ar"/>
              </w:rPr>
              <w:t>单位审批意</w:t>
            </w:r>
            <w:r>
              <w:rPr>
                <w:rFonts w:hint="eastAsia" w:ascii="宋体" w:hAnsi="宋体" w:eastAsia="宋体" w:cs="宋体"/>
                <w:color w:val="000000"/>
                <w:kern w:val="0"/>
                <w:sz w:val="18"/>
                <w:szCs w:val="18"/>
                <w:lang w:bidi="ar"/>
              </w:rPr>
              <w:t>见</w:t>
            </w:r>
          </w:p>
        </w:tc>
        <w:tc>
          <w:tcPr>
            <w:tcW w:w="956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bl>
    <w:p>
      <w:pPr>
        <w:spacing w:line="579" w:lineRule="exact"/>
        <w:rPr>
          <w:rFonts w:hint="eastAsia" w:ascii="仿宋_GB2312" w:hAnsi="仿宋_GB2312" w:eastAsia="仿宋_GB2312" w:cs="仿宋_GB2312"/>
          <w:sz w:val="32"/>
          <w:szCs w:val="32"/>
        </w:rPr>
      </w:pPr>
    </w:p>
    <w:sectPr>
      <w:footerReference r:id="rId3" w:type="default"/>
      <w:pgSz w:w="11906" w:h="16838"/>
      <w:pgMar w:top="2098" w:right="1474" w:bottom="1984" w:left="1587" w:header="851" w:footer="1587" w:gutter="0"/>
      <w:cols w:space="0" w:num="1"/>
      <w:rtlGutter w:val="0"/>
      <w:docGrid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ind w:left="315" w:leftChars="150" w:right="315" w:rightChars="15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NotTrackMoves/>
  <w:documentProtection w:enforcement="0"/>
  <w:defaultTabStop w:val="420"/>
  <w:drawingGridHorizontalSpacing w:val="210"/>
  <w:drawingGridVerticalSpacing w:val="290"/>
  <w:displayHorizontalDrawingGridEvery w:val="1"/>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1B9E"/>
    <w:rsid w:val="002B1B9E"/>
    <w:rsid w:val="004F2DF5"/>
    <w:rsid w:val="00B87191"/>
    <w:rsid w:val="022C3409"/>
    <w:rsid w:val="0779145D"/>
    <w:rsid w:val="07796B0B"/>
    <w:rsid w:val="17916BA3"/>
    <w:rsid w:val="1E684FD0"/>
    <w:rsid w:val="205C473E"/>
    <w:rsid w:val="207B3322"/>
    <w:rsid w:val="236C3CCC"/>
    <w:rsid w:val="240526BD"/>
    <w:rsid w:val="28893DC2"/>
    <w:rsid w:val="2B8A4300"/>
    <w:rsid w:val="2B9E1892"/>
    <w:rsid w:val="2D0039A9"/>
    <w:rsid w:val="38013B43"/>
    <w:rsid w:val="3D050F63"/>
    <w:rsid w:val="53EC6373"/>
    <w:rsid w:val="54040A37"/>
    <w:rsid w:val="570C67B2"/>
    <w:rsid w:val="580D7778"/>
    <w:rsid w:val="5AFE7831"/>
    <w:rsid w:val="60241EE2"/>
    <w:rsid w:val="6CAA7715"/>
    <w:rsid w:val="6D440465"/>
    <w:rsid w:val="703D0F2B"/>
    <w:rsid w:val="769B636B"/>
    <w:rsid w:val="77DA3475"/>
    <w:rsid w:val="7C507248"/>
    <w:rsid w:val="7D485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rFonts w:eastAsia="仿宋_GB2312"/>
      <w:b/>
      <w:bCs/>
      <w:kern w:val="44"/>
      <w:sz w:val="44"/>
      <w:szCs w:val="44"/>
    </w:rPr>
  </w:style>
  <w:style w:type="paragraph" w:styleId="3">
    <w:name w:val="heading 2"/>
    <w:basedOn w:val="1"/>
    <w:next w:val="1"/>
    <w:qFormat/>
    <w:uiPriority w:val="9"/>
    <w:pPr>
      <w:spacing w:before="50" w:beforeLines="50" w:after="50" w:afterLines="50" w:line="400" w:lineRule="exact"/>
      <w:jc w:val="center"/>
      <w:outlineLvl w:val="1"/>
    </w:pPr>
    <w:rPr>
      <w:rFonts w:hint="eastAsia" w:ascii="宋体" w:hAnsi="宋体" w:cs="宋体"/>
      <w:kern w:val="0"/>
      <w:sz w:val="32"/>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0"/>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rFonts w:cs="Times New Roman"/>
      <w:kern w:val="0"/>
      <w:sz w:val="24"/>
    </w:rPr>
  </w:style>
  <w:style w:type="character" w:customStyle="1" w:styleId="10">
    <w:name w:val="批注框文本 Char"/>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631</Words>
  <Characters>3599</Characters>
  <Lines>1</Lines>
  <Paragraphs>1</Paragraphs>
  <TotalTime>9</TotalTime>
  <ScaleCrop>false</ScaleCrop>
  <LinksUpToDate>false</LinksUpToDate>
  <CharactersWithSpaces>4222</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2021-09-27T10:02:00Z</dcterms:created>
  <dc:creator>user</dc:creator>
  <cp:lastModifiedBy>吴楚辉</cp:lastModifiedBy>
  <dcterms:modified xsi:type="dcterms:W3CDTF">2021-10-15T07:16:48Z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4DDA2F5FA8CD4206A30D4FB96106B0ED</vt:lpwstr>
  </property>
</Properties>
</file>