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center"/>
        <w:textAlignment w:val="auto"/>
        <w:outlineLvl w:val="9"/>
        <w:rPr>
          <w:rFonts w:hint="eastAsia" w:ascii="黑体" w:hAnsi="黑体" w:eastAsia="黑体" w:cs="黑体"/>
          <w:color w:val="000000"/>
          <w:sz w:val="28"/>
          <w:lang w:val="en-US" w:eastAsia="zh-CN"/>
        </w:rPr>
      </w:pPr>
      <w:r>
        <w:rPr>
          <w:rFonts w:hint="eastAsia" w:ascii="黑体" w:hAnsi="黑体" w:eastAsia="黑体" w:cs="黑体"/>
          <w:color w:val="000000"/>
          <w:sz w:val="28"/>
          <w:lang w:val="en-US" w:eastAsia="zh-CN"/>
        </w:rPr>
        <w:t>深圳市福田区政府物业管理中心2018年</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center"/>
        <w:textAlignment w:val="auto"/>
        <w:outlineLvl w:val="9"/>
        <w:rPr>
          <w:rFonts w:ascii="黑体" w:hAnsi="黑体" w:eastAsia="黑体" w:cs="黑体"/>
          <w:color w:val="000000"/>
          <w:sz w:val="28"/>
        </w:rPr>
      </w:pPr>
      <w:bookmarkStart w:id="0" w:name="_GoBack"/>
      <w:bookmarkEnd w:id="0"/>
      <w:r>
        <w:rPr>
          <w:rFonts w:ascii="黑体" w:hAnsi="黑体" w:eastAsia="黑体" w:cs="黑体"/>
          <w:color w:val="000000"/>
          <w:sz w:val="28"/>
        </w:rPr>
        <w:t>“三公”经费财政拨款预算情况</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both"/>
        <w:textAlignment w:val="auto"/>
        <w:outlineLvl w:val="9"/>
        <w:rPr>
          <w:rFonts w:ascii="黑体" w:hAnsi="黑体" w:eastAsia="黑体" w:cs="黑体"/>
          <w:color w:val="000000"/>
          <w:sz w:val="28"/>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390" w:firstLineChars="0"/>
        <w:textAlignment w:val="auto"/>
        <w:outlineLvl w:val="9"/>
        <w:rPr>
          <w:color w:val="000000"/>
          <w:sz w:val="24"/>
          <w:szCs w:val="24"/>
        </w:rPr>
      </w:pPr>
      <w:r>
        <w:rPr>
          <w:rFonts w:ascii="宋体" w:hAnsi="宋体" w:eastAsia="宋体" w:cs="宋体"/>
          <w:b/>
          <w:color w:val="000000"/>
          <w:sz w:val="24"/>
        </w:rPr>
        <w:t> </w:t>
      </w:r>
      <w:r>
        <w:rPr>
          <w:rFonts w:ascii="宋体" w:hAnsi="宋体" w:eastAsia="宋体" w:cs="宋体"/>
          <w:b/>
          <w:color w:val="000000"/>
          <w:sz w:val="24"/>
          <w:szCs w:val="24"/>
        </w:rPr>
        <w:t>一、“三公”经费的单位范围</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20"/>
        <w:textAlignment w:val="auto"/>
        <w:outlineLvl w:val="9"/>
        <w:rPr>
          <w:rFonts w:ascii="宋体" w:hAnsi="宋体" w:eastAsia="宋体" w:cs="宋体"/>
          <w:color w:val="000000"/>
          <w:sz w:val="24"/>
          <w:szCs w:val="24"/>
        </w:rPr>
      </w:pPr>
      <w:r>
        <w:rPr>
          <w:rFonts w:hint="eastAsia" w:ascii="宋体" w:hAnsi="宋体" w:cs="宋体"/>
          <w:color w:val="000000"/>
          <w:sz w:val="24"/>
          <w:szCs w:val="24"/>
          <w:lang w:val="en-US" w:eastAsia="zh-CN"/>
        </w:rPr>
        <w:t>深圳市福田区政府物业管理中心</w:t>
      </w:r>
      <w:r>
        <w:rPr>
          <w:rFonts w:ascii="宋体" w:hAnsi="宋体" w:eastAsia="宋体" w:cs="宋体"/>
          <w:color w:val="000000"/>
          <w:sz w:val="24"/>
          <w:szCs w:val="24"/>
        </w:rPr>
        <w:t>因公出国（境）费用、公务接待费、公务用车购置和运行维护费开支单位包括</w:t>
      </w:r>
      <w:r>
        <w:rPr>
          <w:rFonts w:hint="eastAsia" w:ascii="宋体" w:hAnsi="宋体" w:cs="宋体"/>
          <w:color w:val="000000"/>
          <w:sz w:val="24"/>
          <w:szCs w:val="24"/>
          <w:lang w:eastAsia="zh-CN"/>
        </w:rPr>
        <w:t>中心</w:t>
      </w:r>
      <w:r>
        <w:rPr>
          <w:rFonts w:ascii="宋体" w:hAnsi="宋体" w:eastAsia="宋体" w:cs="宋体"/>
          <w:color w:val="000000"/>
          <w:sz w:val="24"/>
          <w:szCs w:val="24"/>
        </w:rPr>
        <w:t>本级</w:t>
      </w:r>
      <w:r>
        <w:rPr>
          <w:rFonts w:hint="eastAsia" w:ascii="宋体" w:hAnsi="宋体" w:cs="宋体"/>
          <w:color w:val="000000"/>
          <w:sz w:val="24"/>
          <w:szCs w:val="24"/>
          <w:lang w:eastAsia="zh-CN"/>
        </w:rPr>
        <w:t>和</w:t>
      </w:r>
      <w:r>
        <w:rPr>
          <w:rFonts w:hint="eastAsia" w:ascii="宋体" w:hAnsi="宋体" w:cs="宋体"/>
          <w:color w:val="000000"/>
          <w:sz w:val="24"/>
          <w:szCs w:val="24"/>
          <w:lang w:val="en-US" w:eastAsia="zh-CN"/>
        </w:rPr>
        <w:t>3个</w:t>
      </w:r>
      <w:r>
        <w:rPr>
          <w:rFonts w:hint="eastAsia" w:ascii="宋体" w:hAnsi="宋体" w:cs="宋体"/>
          <w:color w:val="000000"/>
          <w:sz w:val="24"/>
          <w:szCs w:val="24"/>
          <w:lang w:eastAsia="zh-CN"/>
        </w:rPr>
        <w:t>下属单位，分别是沙尾工业区物业管理所、国际创新中心物业管理所、城管基地物业管理所</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3个</w:t>
      </w:r>
      <w:r>
        <w:rPr>
          <w:rFonts w:hint="eastAsia" w:ascii="宋体" w:hAnsi="宋体" w:cs="宋体"/>
          <w:color w:val="000000"/>
          <w:sz w:val="24"/>
          <w:szCs w:val="24"/>
          <w:lang w:eastAsia="zh-CN"/>
        </w:rPr>
        <w:t>管理所为非独立核算单位</w:t>
      </w:r>
      <w:r>
        <w:rPr>
          <w:rFonts w:hint="eastAsia" w:ascii="宋体" w:hAnsi="宋体" w:eastAsia="宋体" w:cs="宋体"/>
          <w:color w:val="000000"/>
          <w:sz w:val="24"/>
          <w:szCs w:val="24"/>
          <w:lang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20"/>
        <w:textAlignment w:val="auto"/>
        <w:outlineLvl w:val="9"/>
        <w:rPr>
          <w:rFonts w:ascii="宋体" w:hAnsi="宋体" w:eastAsia="宋体" w:cs="宋体"/>
          <w:color w:val="000000"/>
          <w:sz w:val="24"/>
          <w:szCs w:val="24"/>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left="0" w:right="0" w:rightChars="0" w:firstLine="420"/>
        <w:textAlignment w:val="auto"/>
        <w:outlineLvl w:val="9"/>
        <w:rPr>
          <w:color w:val="000000"/>
          <w:sz w:val="24"/>
          <w:szCs w:val="24"/>
        </w:rPr>
      </w:pPr>
      <w:r>
        <w:rPr>
          <w:rFonts w:ascii="宋体" w:hAnsi="宋体" w:eastAsia="宋体" w:cs="宋体"/>
          <w:b/>
          <w:color w:val="000000"/>
          <w:sz w:val="24"/>
          <w:szCs w:val="24"/>
        </w:rPr>
        <w:t xml:space="preserve">    二、“三公”经费财政拨款预算情况说明</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391"/>
        <w:textAlignment w:val="auto"/>
        <w:outlineLvl w:val="9"/>
        <w:rPr>
          <w:color w:val="000000"/>
          <w:sz w:val="24"/>
          <w:szCs w:val="24"/>
        </w:rPr>
      </w:pPr>
      <w:r>
        <w:rPr>
          <w:rFonts w:ascii="宋体" w:hAnsi="宋体" w:eastAsia="宋体" w:cs="宋体"/>
          <w:color w:val="000000"/>
          <w:sz w:val="24"/>
          <w:szCs w:val="24"/>
        </w:rPr>
        <w:t>201</w:t>
      </w:r>
      <w:r>
        <w:rPr>
          <w:rFonts w:hint="eastAsia" w:ascii="宋体" w:hAnsi="宋体" w:cs="宋体"/>
          <w:color w:val="000000"/>
          <w:sz w:val="24"/>
          <w:szCs w:val="24"/>
          <w:lang w:val="en-US" w:eastAsia="zh-CN"/>
        </w:rPr>
        <w:t>8</w:t>
      </w:r>
      <w:r>
        <w:rPr>
          <w:rFonts w:ascii="宋体" w:hAnsi="宋体" w:eastAsia="宋体" w:cs="宋体"/>
          <w:color w:val="000000"/>
          <w:sz w:val="24"/>
          <w:szCs w:val="24"/>
        </w:rPr>
        <w:t>年“三公”经费财政拨款预算</w:t>
      </w:r>
      <w:r>
        <w:rPr>
          <w:rFonts w:hint="eastAsia" w:ascii="宋体" w:hAnsi="宋体" w:cs="宋体"/>
          <w:color w:val="000000"/>
          <w:sz w:val="24"/>
          <w:szCs w:val="24"/>
          <w:lang w:val="en-US" w:eastAsia="zh-CN"/>
        </w:rPr>
        <w:t>5.9</w:t>
      </w:r>
      <w:r>
        <w:rPr>
          <w:rFonts w:ascii="宋体" w:hAnsi="宋体" w:eastAsia="宋体" w:cs="宋体"/>
          <w:color w:val="000000"/>
          <w:sz w:val="24"/>
          <w:szCs w:val="24"/>
        </w:rPr>
        <w:t>万元，与201</w:t>
      </w:r>
      <w:r>
        <w:rPr>
          <w:rFonts w:hint="eastAsia" w:ascii="宋体" w:hAnsi="宋体" w:cs="宋体"/>
          <w:color w:val="000000"/>
          <w:sz w:val="24"/>
          <w:szCs w:val="24"/>
          <w:lang w:val="en-US" w:eastAsia="zh-CN"/>
        </w:rPr>
        <w:t>7</w:t>
      </w:r>
      <w:r>
        <w:rPr>
          <w:rFonts w:ascii="宋体" w:hAnsi="宋体" w:eastAsia="宋体" w:cs="宋体"/>
          <w:color w:val="000000"/>
          <w:sz w:val="24"/>
          <w:szCs w:val="24"/>
        </w:rPr>
        <w:t>年“三公”经费财政拨款预算持平。</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2" w:firstLineChars="200"/>
        <w:textAlignment w:val="auto"/>
        <w:outlineLvl w:val="9"/>
        <w:rPr>
          <w:color w:val="000000"/>
          <w:sz w:val="24"/>
          <w:szCs w:val="24"/>
        </w:rPr>
      </w:pPr>
      <w:r>
        <w:rPr>
          <w:rFonts w:ascii="宋体" w:hAnsi="宋体" w:eastAsia="宋体" w:cs="宋体"/>
          <w:b/>
          <w:color w:val="000000"/>
          <w:sz w:val="24"/>
          <w:szCs w:val="24"/>
        </w:rPr>
        <w:t>（一）因公出国（境）费用。</w:t>
      </w:r>
      <w:r>
        <w:rPr>
          <w:rFonts w:ascii="宋体" w:hAnsi="宋体" w:eastAsia="宋体" w:cs="宋体"/>
          <w:color w:val="000000"/>
          <w:sz w:val="24"/>
          <w:szCs w:val="24"/>
        </w:rPr>
        <w:t>201</w:t>
      </w:r>
      <w:r>
        <w:rPr>
          <w:rFonts w:hint="eastAsia" w:ascii="宋体" w:hAnsi="宋体" w:cs="宋体"/>
          <w:color w:val="000000"/>
          <w:sz w:val="24"/>
          <w:szCs w:val="24"/>
          <w:lang w:val="en-US" w:eastAsia="zh-CN"/>
        </w:rPr>
        <w:t>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0</w:t>
      </w:r>
      <w:r>
        <w:rPr>
          <w:rFonts w:ascii="宋体" w:hAnsi="宋体" w:eastAsia="宋体" w:cs="宋体"/>
          <w:color w:val="000000"/>
          <w:sz w:val="24"/>
          <w:szCs w:val="24"/>
        </w:rPr>
        <w:t>万元。为进一步规范因公出国（境）经费管理，我区因公出国（境）经费完全按零基预算的原则根据市因公出国计划预审会议审定计划动态调配使用，因此各单位201</w:t>
      </w:r>
      <w:r>
        <w:rPr>
          <w:rFonts w:hint="eastAsia" w:ascii="宋体" w:hAnsi="宋体" w:cs="宋体"/>
          <w:color w:val="000000"/>
          <w:sz w:val="24"/>
          <w:szCs w:val="24"/>
          <w:lang w:val="en-US" w:eastAsia="zh-CN"/>
        </w:rPr>
        <w:t>8</w:t>
      </w:r>
      <w:r>
        <w:rPr>
          <w:rFonts w:ascii="宋体" w:hAnsi="宋体" w:eastAsia="宋体" w:cs="宋体"/>
          <w:color w:val="000000"/>
          <w:sz w:val="24"/>
          <w:szCs w:val="24"/>
        </w:rPr>
        <w:t>年因公出国（境）经费预算数为零，在实际执行中根据计划据实调配。</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2" w:firstLineChars="200"/>
        <w:textAlignment w:val="auto"/>
        <w:outlineLvl w:val="9"/>
        <w:rPr>
          <w:color w:val="000000"/>
          <w:sz w:val="24"/>
          <w:szCs w:val="24"/>
        </w:rPr>
      </w:pPr>
      <w:r>
        <w:rPr>
          <w:rFonts w:ascii="宋体" w:hAnsi="宋体" w:eastAsia="宋体" w:cs="宋体"/>
          <w:b/>
          <w:color w:val="000000"/>
          <w:sz w:val="24"/>
          <w:szCs w:val="24"/>
        </w:rPr>
        <w:t>（二）公务接待费。</w:t>
      </w:r>
      <w:r>
        <w:rPr>
          <w:rFonts w:ascii="宋体" w:hAnsi="宋体" w:eastAsia="宋体" w:cs="宋体"/>
          <w:color w:val="000000"/>
          <w:sz w:val="24"/>
          <w:szCs w:val="24"/>
        </w:rPr>
        <w:t>201</w:t>
      </w:r>
      <w:r>
        <w:rPr>
          <w:rFonts w:hint="eastAsia" w:ascii="宋体" w:hAnsi="宋体" w:cs="宋体"/>
          <w:color w:val="000000"/>
          <w:sz w:val="24"/>
          <w:szCs w:val="24"/>
          <w:lang w:val="en-US" w:eastAsia="zh-CN"/>
        </w:rPr>
        <w:t>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2</w:t>
      </w:r>
      <w:r>
        <w:rPr>
          <w:rFonts w:ascii="宋体" w:hAnsi="宋体" w:eastAsia="宋体" w:cs="宋体"/>
          <w:color w:val="000000"/>
          <w:sz w:val="24"/>
          <w:szCs w:val="24"/>
        </w:rPr>
        <w:t>万元，与201</w:t>
      </w:r>
      <w:r>
        <w:rPr>
          <w:rFonts w:hint="eastAsia" w:ascii="宋体" w:hAnsi="宋体" w:cs="宋体"/>
          <w:color w:val="000000"/>
          <w:sz w:val="24"/>
          <w:szCs w:val="24"/>
          <w:lang w:val="en-US" w:eastAsia="zh-CN"/>
        </w:rPr>
        <w:t>7</w:t>
      </w:r>
      <w:r>
        <w:rPr>
          <w:rFonts w:ascii="宋体" w:hAnsi="宋体" w:eastAsia="宋体" w:cs="宋体"/>
          <w:color w:val="000000"/>
          <w:sz w:val="24"/>
          <w:szCs w:val="24"/>
        </w:rPr>
        <w:t>年预算数持平。主要用于</w:t>
      </w:r>
      <w:r>
        <w:rPr>
          <w:rFonts w:hint="eastAsia" w:ascii="宋体" w:hAnsi="宋体" w:cs="宋体"/>
          <w:color w:val="000000"/>
          <w:sz w:val="24"/>
          <w:szCs w:val="24"/>
          <w:lang w:val="en-US" w:eastAsia="zh-CN"/>
        </w:rPr>
        <w:t>接待上级部门、相关业务部门、对口扶贫单位等检查、学习、考察、工作联系等业务</w:t>
      </w:r>
      <w:r>
        <w:rPr>
          <w:rFonts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textAlignment w:val="auto"/>
        <w:outlineLvl w:val="9"/>
        <w:rPr>
          <w:rFonts w:ascii="宋体" w:hAnsi="宋体" w:eastAsia="宋体" w:cs="宋体"/>
          <w:color w:val="000000"/>
          <w:szCs w:val="21"/>
        </w:rPr>
      </w:pPr>
      <w:r>
        <w:rPr>
          <w:rFonts w:ascii="宋体" w:hAnsi="宋体" w:eastAsia="宋体" w:cs="宋体"/>
          <w:b/>
          <w:color w:val="000000"/>
          <w:sz w:val="24"/>
          <w:szCs w:val="24"/>
        </w:rPr>
        <w:t>（三）公务用车购置和运行维护费。</w:t>
      </w:r>
      <w:r>
        <w:rPr>
          <w:rFonts w:ascii="宋体" w:hAnsi="宋体" w:eastAsia="宋体" w:cs="宋体"/>
          <w:color w:val="000000"/>
          <w:sz w:val="24"/>
          <w:szCs w:val="24"/>
        </w:rPr>
        <w:t>201</w:t>
      </w:r>
      <w:r>
        <w:rPr>
          <w:rFonts w:hint="eastAsia" w:ascii="宋体" w:hAnsi="宋体" w:cs="宋体"/>
          <w:color w:val="000000"/>
          <w:sz w:val="24"/>
          <w:szCs w:val="24"/>
          <w:lang w:val="en-US" w:eastAsia="zh-CN"/>
        </w:rPr>
        <w:t>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3.9</w:t>
      </w:r>
      <w:r>
        <w:rPr>
          <w:rFonts w:ascii="宋体" w:hAnsi="宋体" w:eastAsia="宋体" w:cs="宋体"/>
          <w:color w:val="000000"/>
          <w:sz w:val="24"/>
          <w:szCs w:val="24"/>
        </w:rPr>
        <w:t>万元，其中：公务用车购置费201</w:t>
      </w:r>
      <w:r>
        <w:rPr>
          <w:rFonts w:hint="eastAsia" w:ascii="宋体" w:hAnsi="宋体" w:cs="宋体"/>
          <w:color w:val="000000"/>
          <w:sz w:val="24"/>
          <w:szCs w:val="24"/>
          <w:lang w:val="en-US" w:eastAsia="zh-CN"/>
        </w:rPr>
        <w:t>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0</w:t>
      </w:r>
      <w:r>
        <w:rPr>
          <w:rFonts w:ascii="宋体" w:hAnsi="宋体" w:eastAsia="宋体" w:cs="宋体"/>
          <w:color w:val="000000"/>
          <w:sz w:val="24"/>
          <w:szCs w:val="24"/>
        </w:rPr>
        <w:t>万元</w:t>
      </w:r>
      <w:r>
        <w:rPr>
          <w:rFonts w:hint="eastAsia" w:ascii="宋体" w:hAnsi="宋体" w:cs="宋体"/>
          <w:color w:val="000000"/>
          <w:sz w:val="24"/>
          <w:szCs w:val="24"/>
          <w:lang w:eastAsia="zh-CN"/>
        </w:rPr>
        <w:t>，</w:t>
      </w:r>
      <w:r>
        <w:rPr>
          <w:rFonts w:ascii="宋体" w:hAnsi="宋体" w:eastAsia="宋体" w:cs="宋体"/>
          <w:color w:val="000000"/>
          <w:sz w:val="24"/>
          <w:szCs w:val="24"/>
        </w:rPr>
        <w:t>与2018年预算数持平</w:t>
      </w:r>
      <w:r>
        <w:rPr>
          <w:rFonts w:hint="eastAsia" w:ascii="宋体" w:hAnsi="宋体" w:eastAsia="宋体"/>
          <w:sz w:val="24"/>
        </w:rPr>
        <w:t>；本单位公务用车</w:t>
      </w:r>
      <w:r>
        <w:rPr>
          <w:rFonts w:hint="eastAsia" w:ascii="宋体" w:hAnsi="宋体"/>
          <w:sz w:val="24"/>
          <w:lang w:val="en-US" w:eastAsia="zh-CN"/>
        </w:rPr>
        <w:t>1</w:t>
      </w:r>
      <w:r>
        <w:rPr>
          <w:rFonts w:hint="eastAsia" w:ascii="宋体" w:hAnsi="宋体" w:eastAsia="宋体"/>
          <w:sz w:val="24"/>
        </w:rPr>
        <w:t xml:space="preserve"> 台，</w:t>
      </w:r>
      <w:r>
        <w:rPr>
          <w:rFonts w:ascii="宋体" w:hAnsi="宋体" w:eastAsia="宋体" w:cs="宋体"/>
          <w:color w:val="000000"/>
          <w:sz w:val="24"/>
          <w:szCs w:val="24"/>
        </w:rPr>
        <w:t>公务用车运行维护费201</w:t>
      </w:r>
      <w:r>
        <w:rPr>
          <w:rFonts w:hint="eastAsia" w:ascii="宋体" w:hAnsi="宋体" w:cs="宋体"/>
          <w:color w:val="000000"/>
          <w:sz w:val="24"/>
          <w:szCs w:val="24"/>
          <w:lang w:val="en-US" w:eastAsia="zh-CN"/>
        </w:rPr>
        <w:t>8</w:t>
      </w:r>
      <w:r>
        <w:rPr>
          <w:rFonts w:ascii="宋体" w:hAnsi="宋体" w:eastAsia="宋体" w:cs="宋体"/>
          <w:color w:val="000000"/>
          <w:sz w:val="24"/>
          <w:szCs w:val="24"/>
        </w:rPr>
        <w:t>年预算数</w:t>
      </w:r>
      <w:r>
        <w:rPr>
          <w:rFonts w:hint="eastAsia" w:ascii="宋体" w:hAnsi="宋体" w:cs="宋体"/>
          <w:color w:val="000000"/>
          <w:sz w:val="24"/>
          <w:szCs w:val="24"/>
          <w:lang w:val="en-US" w:eastAsia="zh-CN"/>
        </w:rPr>
        <w:t>3.9</w:t>
      </w:r>
      <w:r>
        <w:rPr>
          <w:rFonts w:ascii="宋体" w:hAnsi="宋体" w:eastAsia="宋体" w:cs="宋体"/>
          <w:color w:val="000000"/>
          <w:sz w:val="24"/>
          <w:szCs w:val="24"/>
        </w:rPr>
        <w:t>万元，</w:t>
      </w:r>
      <w:r>
        <w:rPr>
          <w:rFonts w:hint="eastAsia" w:ascii="宋体" w:hAnsi="宋体" w:cs="宋体"/>
          <w:color w:val="000000"/>
          <w:sz w:val="24"/>
          <w:szCs w:val="24"/>
          <w:lang w:eastAsia="zh-CN"/>
        </w:rPr>
        <w:t>增长</w:t>
      </w:r>
      <w:r>
        <w:rPr>
          <w:rFonts w:hint="eastAsia" w:ascii="宋体" w:hAnsi="宋体" w:cs="宋体"/>
          <w:color w:val="000000"/>
          <w:sz w:val="24"/>
          <w:szCs w:val="24"/>
          <w:lang w:val="en-US" w:eastAsia="zh-CN"/>
        </w:rPr>
        <w:t>0%</w:t>
      </w:r>
      <w:r>
        <w:rPr>
          <w:rFonts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textAlignment w:val="auto"/>
        <w:outlineLvl w:val="9"/>
        <w:rPr>
          <w:rFonts w:ascii="宋体" w:hAnsi="宋体" w:eastAsia="宋体" w:cs="宋体"/>
          <w:color w:val="000000"/>
          <w:szCs w:val="21"/>
        </w:rPr>
      </w:pPr>
    </w:p>
    <w:p>
      <w:pPr>
        <w:jc w:val="center"/>
        <w:rPr>
          <w:b/>
          <w:bCs/>
          <w:color w:val="000000"/>
          <w:sz w:val="24"/>
          <w:szCs w:val="24"/>
        </w:rPr>
      </w:pPr>
      <w:r>
        <w:rPr>
          <w:rFonts w:hint="eastAsia" w:ascii="宋体" w:hAnsi="宋体" w:cs="宋体"/>
          <w:b/>
          <w:color w:val="000000"/>
          <w:sz w:val="24"/>
          <w:szCs w:val="24"/>
          <w:lang w:eastAsia="zh-CN"/>
        </w:rPr>
        <w:t>附表：</w:t>
      </w:r>
      <w:r>
        <w:rPr>
          <w:rFonts w:hint="eastAsia" w:ascii="宋体" w:hAnsi="宋体" w:cs="宋体"/>
          <w:b/>
          <w:color w:val="000000"/>
          <w:sz w:val="24"/>
          <w:szCs w:val="24"/>
          <w:lang w:val="en-US" w:eastAsia="zh-CN"/>
        </w:rPr>
        <w:t>2018年</w:t>
      </w:r>
      <w:r>
        <w:rPr>
          <w:rFonts w:hint="eastAsia" w:ascii="宋体" w:hAnsi="宋体" w:eastAsia="宋体" w:cs="宋体"/>
          <w:b/>
          <w:color w:val="000000"/>
          <w:sz w:val="24"/>
          <w:szCs w:val="24"/>
        </w:rPr>
        <w:t>“三公”经费财政拨款预算情况表</w:t>
      </w:r>
    </w:p>
    <w:tbl>
      <w:tblPr>
        <w:tblStyle w:val="3"/>
        <w:tblW w:w="90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595"/>
        <w:gridCol w:w="960"/>
        <w:gridCol w:w="925"/>
        <w:gridCol w:w="989"/>
        <w:gridCol w:w="937"/>
        <w:gridCol w:w="948"/>
        <w:gridCol w:w="872"/>
        <w:gridCol w:w="83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35" w:hRule="atLeast"/>
          <w:jc w:val="center"/>
        </w:trPr>
        <w:tc>
          <w:tcPr>
            <w:tcW w:w="6406" w:type="dxa"/>
            <w:gridSpan w:val="5"/>
            <w:tcBorders>
              <w:top w:val="nil"/>
              <w:left w:val="nil"/>
              <w:bottom w:val="single" w:color="auto" w:sz="4" w:space="0"/>
              <w:right w:val="nil"/>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left"/>
              <w:rPr>
                <w:rFonts w:ascii="宋体" w:hAnsi="宋体" w:eastAsia="宋体" w:cs="宋体"/>
                <w:color w:val="000000"/>
                <w:kern w:val="0"/>
                <w:sz w:val="20"/>
                <w:szCs w:val="20"/>
                <w:lang w:eastAsia="zh-CN" w:bidi="en-US"/>
              </w:rPr>
            </w:pPr>
            <w:r>
              <w:rPr>
                <w:rFonts w:hint="eastAsia" w:ascii="Times New Roman" w:hAnsi="Times New Roman" w:eastAsia="宋体" w:cs="Times New Roman"/>
                <w:color w:val="000000"/>
                <w:kern w:val="0"/>
                <w:sz w:val="20"/>
                <w:szCs w:val="20"/>
                <w:lang w:eastAsia="zh-CN" w:bidi="en-US"/>
              </w:rPr>
              <w:t>单位名称：</w:t>
            </w:r>
            <w:r>
              <w:rPr>
                <w:rFonts w:hint="eastAsia" w:ascii="Times New Roman" w:hAnsi="Times New Roman" w:cs="Times New Roman"/>
                <w:color w:val="000000"/>
                <w:kern w:val="0"/>
                <w:sz w:val="20"/>
                <w:szCs w:val="20"/>
                <w:lang w:val="en-US" w:eastAsia="zh-CN" w:bidi="en-US"/>
              </w:rPr>
              <w:t>福田区政府物业管理中心</w:t>
            </w:r>
          </w:p>
        </w:tc>
        <w:tc>
          <w:tcPr>
            <w:tcW w:w="2654" w:type="dxa"/>
            <w:gridSpan w:val="3"/>
            <w:tcBorders>
              <w:top w:val="nil"/>
              <w:left w:val="nil"/>
              <w:bottom w:val="single" w:color="auto" w:sz="4" w:space="0"/>
              <w:right w:val="nil"/>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eastAsia="宋体" w:cs="宋体"/>
                <w:color w:val="000000"/>
                <w:kern w:val="0"/>
                <w:sz w:val="20"/>
                <w:szCs w:val="20"/>
                <w:lang w:eastAsia="en-US" w:bidi="en-US"/>
              </w:rPr>
            </w:pPr>
            <w:r>
              <w:rPr>
                <w:rFonts w:hint="eastAsia" w:ascii="Times New Roman" w:hAnsi="Times New Roman" w:eastAsia="宋体" w:cs="Times New Roman"/>
                <w:color w:val="000000"/>
                <w:kern w:val="0"/>
                <w:sz w:val="20"/>
                <w:szCs w:val="20"/>
                <w:lang w:eastAsia="en-US" w:bidi="en-US"/>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45" w:hRule="atLeast"/>
          <w:jc w:val="center"/>
        </w:trPr>
        <w:tc>
          <w:tcPr>
            <w:tcW w:w="2595" w:type="dxa"/>
            <w:vMerge w:val="restart"/>
            <w:tcBorders>
              <w:top w:val="single" w:color="auto" w:sz="4" w:space="0"/>
              <w:bottom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预算单位</w:t>
            </w:r>
          </w:p>
        </w:tc>
        <w:tc>
          <w:tcPr>
            <w:tcW w:w="960" w:type="dxa"/>
            <w:vMerge w:val="restart"/>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年度</w:t>
            </w:r>
          </w:p>
        </w:tc>
        <w:tc>
          <w:tcPr>
            <w:tcW w:w="925" w:type="dxa"/>
            <w:vMerge w:val="restart"/>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r>
              <w:rPr>
                <w:rFonts w:hint="eastAsia" w:ascii="宋体" w:hAnsi="宋体" w:eastAsia="宋体" w:cs="宋体"/>
                <w:color w:val="000000"/>
                <w:kern w:val="0"/>
                <w:sz w:val="20"/>
                <w:szCs w:val="20"/>
                <w:lang w:eastAsia="zh-CN" w:bidi="en-US"/>
              </w:rPr>
              <w:t>“三公”经费财政拨款预算总额</w:t>
            </w:r>
          </w:p>
        </w:tc>
        <w:tc>
          <w:tcPr>
            <w:tcW w:w="989" w:type="dxa"/>
            <w:vMerge w:val="restart"/>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因公出国(境)费</w:t>
            </w:r>
          </w:p>
        </w:tc>
        <w:tc>
          <w:tcPr>
            <w:tcW w:w="937" w:type="dxa"/>
            <w:vMerge w:val="restart"/>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公务接待费</w:t>
            </w:r>
          </w:p>
        </w:tc>
        <w:tc>
          <w:tcPr>
            <w:tcW w:w="2654" w:type="dxa"/>
            <w:gridSpan w:val="3"/>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r>
              <w:rPr>
                <w:rFonts w:hint="eastAsia" w:ascii="宋体" w:hAnsi="宋体" w:eastAsia="宋体" w:cs="宋体"/>
                <w:color w:val="000000"/>
                <w:kern w:val="0"/>
                <w:sz w:val="20"/>
                <w:szCs w:val="20"/>
                <w:lang w:eastAsia="zh-CN" w:bidi="en-US"/>
              </w:rPr>
              <w:t>公务用车购置及运行维护费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05" w:hRule="atLeast"/>
          <w:jc w:val="center"/>
        </w:trPr>
        <w:tc>
          <w:tcPr>
            <w:tcW w:w="2595" w:type="dxa"/>
            <w:vMerge w:val="continue"/>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89" w:type="dxa"/>
            <w:vMerge w:val="continue"/>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37" w:type="dxa"/>
            <w:vMerge w:val="continue"/>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48" w:type="dxa"/>
            <w:tcBorders>
              <w:top w:val="single" w:color="auto" w:sz="4" w:space="0"/>
              <w:lef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小计</w:t>
            </w:r>
          </w:p>
        </w:tc>
        <w:tc>
          <w:tcPr>
            <w:tcW w:w="872" w:type="dxa"/>
            <w:tcBorders>
              <w:top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公务用车购置费</w:t>
            </w:r>
          </w:p>
        </w:tc>
        <w:tc>
          <w:tcPr>
            <w:tcW w:w="834" w:type="dxa"/>
            <w:tcBorders>
              <w:top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公务用车运行维护费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340" w:hRule="exact"/>
          <w:jc w:val="center"/>
        </w:trPr>
        <w:tc>
          <w:tcPr>
            <w:tcW w:w="2595"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0"/>
                <w:sz w:val="20"/>
                <w:lang w:eastAsia="zh-CN" w:bidi="en-US"/>
              </w:rPr>
            </w:pPr>
            <w:r>
              <w:rPr>
                <w:rFonts w:hint="eastAsia" w:ascii="Times New Roman" w:hAnsi="Times New Roman" w:cs="Times New Roman"/>
                <w:color w:val="000000"/>
                <w:kern w:val="0"/>
                <w:sz w:val="20"/>
                <w:lang w:eastAsia="zh-CN" w:bidi="en-US"/>
              </w:rPr>
              <w:t>区物业中心</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imes New Roman" w:hAnsi="Times New Roman" w:eastAsia="宋体" w:cs="Times New Roman"/>
                <w:color w:val="000000"/>
                <w:kern w:val="0"/>
                <w:sz w:val="20"/>
                <w:lang w:eastAsia="zh-CN" w:bidi="en-US"/>
              </w:rPr>
            </w:pPr>
            <w:r>
              <w:rPr>
                <w:rFonts w:ascii="Times New Roman" w:hAnsi="Times New Roman" w:eastAsia="宋体" w:cs="Times New Roman"/>
                <w:color w:val="000000"/>
                <w:kern w:val="0"/>
                <w:sz w:val="20"/>
                <w:lang w:eastAsia="en-US" w:bidi="en-US"/>
              </w:rPr>
              <w:t>201</w:t>
            </w:r>
            <w:r>
              <w:rPr>
                <w:rFonts w:hint="eastAsia" w:ascii="Times New Roman" w:hAnsi="Times New Roman" w:cs="Times New Roman"/>
                <w:color w:val="000000"/>
                <w:kern w:val="0"/>
                <w:sz w:val="20"/>
                <w:lang w:val="en-US" w:eastAsia="zh-CN" w:bidi="en-US"/>
              </w:rPr>
              <w:t>7</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default"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5.9</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宋体" w:hAnsi="宋体" w:eastAsia="宋体" w:cs="宋体"/>
                <w:color w:val="000000"/>
                <w:kern w:val="0"/>
                <w:sz w:val="18"/>
                <w:szCs w:val="18"/>
                <w:lang w:val="en-US" w:eastAsia="zh-CN" w:bidi="en-US"/>
              </w:rPr>
            </w:pPr>
            <w:r>
              <w:rPr>
                <w:rFonts w:hint="eastAsia" w:ascii="宋体" w:hAnsi="宋体" w:cs="宋体"/>
                <w:color w:val="000000"/>
                <w:kern w:val="0"/>
                <w:sz w:val="18"/>
                <w:szCs w:val="18"/>
                <w:lang w:val="en-US" w:eastAsia="zh-CN" w:bidi="en-US"/>
              </w:rPr>
              <w:t>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2</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default"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3.9</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宋体" w:hAnsi="宋体" w:eastAsia="宋体" w:cs="宋体"/>
                <w:color w:val="000000"/>
                <w:kern w:val="0"/>
                <w:sz w:val="18"/>
                <w:szCs w:val="18"/>
                <w:lang w:val="en-US" w:eastAsia="zh-CN" w:bidi="en-US"/>
              </w:rPr>
            </w:pPr>
            <w:r>
              <w:rPr>
                <w:rFonts w:hint="eastAsia" w:ascii="宋体" w:hAnsi="宋体" w:cs="宋体"/>
                <w:color w:val="000000"/>
                <w:kern w:val="0"/>
                <w:sz w:val="18"/>
                <w:szCs w:val="18"/>
                <w:lang w:val="en-US" w:eastAsia="zh-CN" w:bidi="en-US"/>
              </w:rPr>
              <w:t>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default"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3.9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340" w:hRule="exact"/>
          <w:jc w:val="center"/>
        </w:trPr>
        <w:tc>
          <w:tcPr>
            <w:tcW w:w="2595"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0"/>
                <w:sz w:val="20"/>
                <w:lang w:eastAsia="zh-CN" w:bidi="en-US"/>
              </w:rPr>
            </w:pPr>
            <w:r>
              <w:rPr>
                <w:rFonts w:hint="eastAsia" w:ascii="Times New Roman" w:hAnsi="Times New Roman" w:cs="Times New Roman"/>
                <w:color w:val="000000"/>
                <w:kern w:val="0"/>
                <w:sz w:val="20"/>
                <w:lang w:eastAsia="zh-CN" w:bidi="en-US"/>
              </w:rPr>
              <w:t>区物业中心</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imes New Roman" w:hAnsi="Times New Roman" w:eastAsia="宋体" w:cs="Times New Roman"/>
                <w:color w:val="000000"/>
                <w:kern w:val="0"/>
                <w:sz w:val="20"/>
                <w:lang w:eastAsia="zh-CN" w:bidi="en-US"/>
              </w:rPr>
            </w:pPr>
            <w:r>
              <w:rPr>
                <w:rFonts w:ascii="Times New Roman" w:hAnsi="Times New Roman" w:eastAsia="宋体" w:cs="Times New Roman"/>
                <w:color w:val="000000"/>
                <w:kern w:val="0"/>
                <w:sz w:val="20"/>
                <w:lang w:eastAsia="en-US" w:bidi="en-US"/>
              </w:rPr>
              <w:t>201</w:t>
            </w:r>
            <w:r>
              <w:rPr>
                <w:rFonts w:hint="eastAsia" w:ascii="Times New Roman" w:hAnsi="Times New Roman" w:cs="Times New Roman"/>
                <w:color w:val="000000"/>
                <w:kern w:val="0"/>
                <w:sz w:val="20"/>
                <w:lang w:val="en-US" w:eastAsia="zh-CN" w:bidi="en-US"/>
              </w:rPr>
              <w:t>8</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default"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5.9</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宋体" w:hAnsi="宋体" w:eastAsia="宋体" w:cs="宋体"/>
                <w:color w:val="000000"/>
                <w:kern w:val="0"/>
                <w:sz w:val="18"/>
                <w:szCs w:val="18"/>
                <w:lang w:val="en-US" w:eastAsia="zh-CN" w:bidi="en-US"/>
              </w:rPr>
            </w:pPr>
            <w:r>
              <w:rPr>
                <w:rFonts w:hint="eastAsia" w:ascii="宋体" w:hAnsi="宋体" w:cs="宋体"/>
                <w:color w:val="000000"/>
                <w:kern w:val="0"/>
                <w:sz w:val="18"/>
                <w:szCs w:val="18"/>
                <w:lang w:val="en-US" w:eastAsia="zh-CN" w:bidi="en-US"/>
              </w:rPr>
              <w:t>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2</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default"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3.9</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宋体" w:hAnsi="宋体" w:eastAsia="宋体" w:cs="宋体"/>
                <w:color w:val="000000"/>
                <w:kern w:val="0"/>
                <w:sz w:val="18"/>
                <w:szCs w:val="18"/>
                <w:lang w:val="en-US" w:eastAsia="zh-CN" w:bidi="en-US"/>
              </w:rPr>
            </w:pPr>
            <w:r>
              <w:rPr>
                <w:rFonts w:hint="eastAsia" w:ascii="宋体" w:hAnsi="宋体" w:cs="宋体"/>
                <w:color w:val="000000"/>
                <w:kern w:val="0"/>
                <w:sz w:val="18"/>
                <w:szCs w:val="18"/>
                <w:lang w:val="en-US" w:eastAsia="zh-CN" w:bidi="en-US"/>
              </w:rPr>
              <w:t>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default"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3.9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52470"/>
    <w:rsid w:val="2218694A"/>
    <w:rsid w:val="24980172"/>
    <w:rsid w:val="32552470"/>
    <w:rsid w:val="6509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2019-08-05T02:11:00Z</dcterms:created>
  <dc:creator>见一</dc:creator>
  <cp:lastModifiedBy>见一</cp:lastModifiedBy>
  <dcterms:modified xsi:type="dcterms:W3CDTF">2019-08-08T07:08:05Z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