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黑体" w:hAnsi="黑体" w:eastAsia="黑体" w:cs="黑体"/>
          <w:color w:val="000000"/>
          <w:sz w:val="30"/>
          <w:szCs w:val="30"/>
          <w:lang w:eastAsia="zh-CN"/>
        </w:rPr>
      </w:pPr>
      <w:r>
        <w:rPr>
          <w:rFonts w:hint="eastAsia" w:ascii="黑体" w:hAnsi="黑体" w:eastAsia="黑体" w:cs="黑体"/>
          <w:color w:val="000000"/>
          <w:sz w:val="30"/>
          <w:szCs w:val="30"/>
          <w:lang w:eastAsia="zh-CN"/>
        </w:rPr>
        <w:t>深圳市</w:t>
      </w:r>
      <w:r>
        <w:rPr>
          <w:rFonts w:hint="default" w:ascii="黑体" w:hAnsi="黑体" w:eastAsia="黑体" w:cs="黑体"/>
          <w:color w:val="000000"/>
          <w:sz w:val="30"/>
          <w:szCs w:val="30"/>
          <w:lang w:eastAsia="zh-CN"/>
        </w:rPr>
        <w:t>福田区公共文化体育发展中心</w:t>
      </w:r>
    </w:p>
    <w:p>
      <w:pPr>
        <w:jc w:val="center"/>
        <w:rPr>
          <w:rFonts w:ascii="黑体" w:hAnsi="黑体" w:eastAsia="黑体" w:cs="黑体"/>
          <w:color w:val="000000"/>
          <w:sz w:val="28"/>
        </w:rPr>
      </w:pPr>
      <w:r>
        <w:rPr>
          <w:rFonts w:hint="default" w:ascii="黑体" w:hAnsi="黑体" w:eastAsia="黑体" w:cs="黑体"/>
          <w:color w:val="000000"/>
          <w:sz w:val="30"/>
          <w:szCs w:val="30"/>
          <w:lang w:val="en-US" w:eastAsia="zh-CN"/>
        </w:rPr>
        <w:t>2</w:t>
      </w:r>
      <w:r>
        <w:rPr>
          <w:rFonts w:hint="eastAsia" w:ascii="黑体" w:hAnsi="黑体" w:eastAsia="黑体" w:cs="黑体"/>
          <w:color w:val="000000"/>
          <w:sz w:val="30"/>
          <w:szCs w:val="30"/>
          <w:lang w:val="en-US" w:eastAsia="zh-CN"/>
        </w:rPr>
        <w:t>020年</w:t>
      </w:r>
      <w:r>
        <w:rPr>
          <w:rFonts w:ascii="黑体" w:hAnsi="黑体" w:eastAsia="黑体" w:cs="黑体"/>
          <w:color w:val="000000"/>
          <w:sz w:val="30"/>
          <w:szCs w:val="30"/>
        </w:rPr>
        <w:t>“三公”经费财政拨款预算情况</w:t>
      </w:r>
    </w:p>
    <w:p>
      <w:pPr>
        <w:keepNext w:val="0"/>
        <w:keepLines w:val="0"/>
        <w:pageBreakBefore w:val="0"/>
        <w:widowControl w:val="0"/>
        <w:numPr>
          <w:ilvl w:val="0"/>
          <w:numId w:val="0"/>
        </w:numPr>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jc w:val="both"/>
        <w:textAlignment w:val="auto"/>
        <w:outlineLvl w:val="9"/>
        <w:rPr>
          <w:rFonts w:ascii="黑体" w:hAnsi="黑体" w:eastAsia="黑体" w:cs="黑体"/>
          <w:color w:val="000000"/>
          <w:sz w:val="28"/>
        </w:rPr>
      </w:pP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390" w:firstLineChars="0"/>
        <w:textAlignment w:val="auto"/>
        <w:outlineLvl w:val="9"/>
        <w:rPr>
          <w:color w:val="000000"/>
          <w:sz w:val="24"/>
          <w:szCs w:val="24"/>
        </w:rPr>
      </w:pPr>
      <w:r>
        <w:rPr>
          <w:rFonts w:ascii="宋体" w:hAnsi="宋体" w:eastAsia="宋体" w:cs="宋体"/>
          <w:b/>
          <w:color w:val="000000"/>
          <w:sz w:val="24"/>
        </w:rPr>
        <w:t> </w:t>
      </w:r>
      <w:r>
        <w:rPr>
          <w:rFonts w:ascii="宋体" w:hAnsi="宋体" w:eastAsia="宋体" w:cs="宋体"/>
          <w:b/>
          <w:color w:val="000000"/>
          <w:sz w:val="24"/>
          <w:szCs w:val="24"/>
        </w:rPr>
        <w:t>一、“三公”经费的单位范围</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20"/>
        <w:textAlignment w:val="auto"/>
        <w:outlineLvl w:val="9"/>
        <w:rPr>
          <w:rFonts w:hint="default" w:ascii="宋体" w:hAnsi="宋体" w:cs="宋体"/>
          <w:bCs w:val="0"/>
          <w:color w:val="000000"/>
          <w:sz w:val="24"/>
          <w:szCs w:val="24"/>
        </w:rPr>
      </w:pPr>
      <w:r>
        <w:rPr>
          <w:rFonts w:hint="default" w:ascii="宋体" w:hAnsi="宋体" w:cs="宋体"/>
          <w:bCs w:val="0"/>
          <w:color w:val="000000"/>
          <w:sz w:val="24"/>
          <w:szCs w:val="24"/>
        </w:rPr>
        <w:t>深圳市福田区公共文化体育发展中心</w:t>
      </w:r>
      <w:r>
        <w:rPr>
          <w:rFonts w:ascii="宋体" w:hAnsi="宋体" w:eastAsia="宋体" w:cs="宋体"/>
          <w:color w:val="000000"/>
          <w:sz w:val="24"/>
          <w:szCs w:val="24"/>
        </w:rPr>
        <w:t>因公出国（境）费用、公务接待费、公务用车购置和运行维护费</w:t>
      </w:r>
      <w:r>
        <w:rPr>
          <w:rFonts w:hint="eastAsia" w:ascii="宋体" w:hAnsi="宋体" w:cs="宋体"/>
          <w:color w:val="000000"/>
          <w:sz w:val="24"/>
          <w:szCs w:val="24"/>
          <w:lang w:eastAsia="zh-CN"/>
        </w:rPr>
        <w:t>，</w:t>
      </w:r>
      <w:r>
        <w:rPr>
          <w:rFonts w:hint="eastAsia" w:ascii="宋体" w:hAnsi="宋体"/>
          <w:bCs/>
          <w:sz w:val="24"/>
          <w:szCs w:val="24"/>
        </w:rPr>
        <w:t>开支单位</w:t>
      </w:r>
      <w:r>
        <w:rPr>
          <w:rFonts w:ascii="宋体" w:hAnsi="宋体"/>
          <w:bCs/>
          <w:sz w:val="24"/>
          <w:szCs w:val="24"/>
        </w:rPr>
        <w:t>包括：</w:t>
      </w:r>
      <w:r>
        <w:rPr>
          <w:rFonts w:hint="default" w:ascii="宋体" w:hAnsi="宋体" w:cs="宋体"/>
          <w:bCs w:val="0"/>
          <w:color w:val="000000"/>
          <w:sz w:val="24"/>
          <w:szCs w:val="24"/>
        </w:rPr>
        <w:t>深圳市福田区公共文化体育发展中心（本级）共1家基层单位。</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left="2" w:right="0" w:rightChars="0" w:firstLine="481"/>
        <w:textAlignment w:val="auto"/>
        <w:outlineLvl w:val="9"/>
        <w:rPr>
          <w:rFonts w:ascii="宋体" w:hAnsi="宋体" w:eastAsia="宋体" w:cs="宋体"/>
          <w:b/>
          <w:color w:val="000000"/>
          <w:sz w:val="24"/>
          <w:szCs w:val="24"/>
        </w:rPr>
      </w:pPr>
      <w:r>
        <w:rPr>
          <w:rFonts w:ascii="宋体" w:hAnsi="宋体" w:eastAsia="宋体" w:cs="宋体"/>
          <w:b/>
          <w:color w:val="000000"/>
          <w:sz w:val="24"/>
          <w:szCs w:val="24"/>
        </w:rPr>
        <w:t>二、“三公”经费财政拨款预算情况说明</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20"/>
        <w:textAlignment w:val="auto"/>
        <w:outlineLvl w:val="9"/>
        <w:rPr>
          <w:rFonts w:hint="default" w:ascii="宋体" w:hAnsi="宋体" w:cs="宋体"/>
          <w:bCs w:val="0"/>
          <w:color w:val="000000"/>
          <w:sz w:val="24"/>
          <w:szCs w:val="24"/>
        </w:rPr>
      </w:pPr>
      <w:r>
        <w:rPr>
          <w:rFonts w:hint="eastAsia" w:ascii="宋体" w:hAnsi="宋体" w:cs="宋体"/>
          <w:bCs w:val="0"/>
          <w:color w:val="000000"/>
          <w:sz w:val="24"/>
          <w:szCs w:val="24"/>
        </w:rPr>
        <w:t>2020年“三公”经费财政拨款预算9.34万元，比2019年“三公”经费财政拨款预算减少1.06万元。</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color w:val="000000"/>
          <w:sz w:val="24"/>
          <w:szCs w:val="24"/>
        </w:rPr>
      </w:pPr>
      <w:r>
        <w:rPr>
          <w:rFonts w:ascii="宋体" w:hAnsi="宋体" w:eastAsia="宋体" w:cs="宋体"/>
          <w:b/>
          <w:color w:val="000000"/>
          <w:sz w:val="24"/>
          <w:szCs w:val="24"/>
        </w:rPr>
        <w:t>（一）因公出国（境）费用。</w:t>
      </w:r>
      <w:r>
        <w:rPr>
          <w:rFonts w:ascii="宋体" w:hAnsi="宋体" w:eastAsia="宋体" w:cs="宋体"/>
          <w:color w:val="000000"/>
          <w:sz w:val="24"/>
          <w:szCs w:val="24"/>
        </w:rPr>
        <w:t>20</w:t>
      </w:r>
      <w:r>
        <w:rPr>
          <w:rFonts w:hint="eastAsia" w:ascii="宋体" w:hAnsi="宋体" w:cs="宋体"/>
          <w:color w:val="000000"/>
          <w:sz w:val="24"/>
          <w:szCs w:val="24"/>
          <w:lang w:val="en-US" w:eastAsia="zh-CN"/>
        </w:rPr>
        <w:t>20</w:t>
      </w:r>
      <w:r>
        <w:rPr>
          <w:rFonts w:ascii="宋体" w:hAnsi="宋体" w:eastAsia="宋体" w:cs="宋体"/>
          <w:color w:val="000000"/>
          <w:sz w:val="24"/>
          <w:szCs w:val="24"/>
        </w:rPr>
        <w:t>年预算数</w:t>
      </w:r>
      <w:r>
        <w:rPr>
          <w:rFonts w:hint="eastAsia" w:ascii="宋体" w:hAnsi="宋体" w:cs="宋体"/>
          <w:color w:val="000000"/>
          <w:sz w:val="24"/>
          <w:szCs w:val="24"/>
          <w:lang w:val="en-US" w:eastAsia="zh-CN"/>
        </w:rPr>
        <w:t>0</w:t>
      </w:r>
      <w:r>
        <w:rPr>
          <w:rFonts w:ascii="宋体" w:hAnsi="宋体" w:eastAsia="宋体" w:cs="宋体"/>
          <w:color w:val="000000"/>
          <w:sz w:val="24"/>
          <w:szCs w:val="24"/>
        </w:rPr>
        <w:t>万元。为进一步规范因公出国（境）经费管理，我区因公出国（境）经费完全按零基预算的原则根据市因公出国计划预审会议审定计划动态调配使用，因此各单位20</w:t>
      </w:r>
      <w:r>
        <w:rPr>
          <w:rFonts w:hint="eastAsia" w:ascii="宋体" w:hAnsi="宋体" w:cs="宋体"/>
          <w:color w:val="000000"/>
          <w:sz w:val="24"/>
          <w:szCs w:val="24"/>
          <w:lang w:val="en-US" w:eastAsia="zh-CN"/>
        </w:rPr>
        <w:t>20</w:t>
      </w:r>
      <w:r>
        <w:rPr>
          <w:rFonts w:ascii="宋体" w:hAnsi="宋体" w:eastAsia="宋体" w:cs="宋体"/>
          <w:color w:val="000000"/>
          <w:sz w:val="24"/>
          <w:szCs w:val="24"/>
        </w:rPr>
        <w:t>年因公出国（境）经费预算数为零，在实际执行中根据计划据实调配。</w:t>
      </w:r>
    </w:p>
    <w:p>
      <w:pPr>
        <w:shd w:val="clear" w:color="auto" w:fill="auto"/>
        <w:spacing w:line="420" w:lineRule="exact"/>
        <w:ind w:firstLine="390"/>
        <w:rPr>
          <w:rFonts w:ascii="宋体" w:hAnsi="宋体" w:eastAsia="宋体" w:cs="宋体"/>
          <w:color w:val="000000"/>
          <w:sz w:val="24"/>
          <w:szCs w:val="24"/>
        </w:rPr>
      </w:pPr>
      <w:r>
        <w:rPr>
          <w:rFonts w:ascii="宋体" w:hAnsi="宋体" w:eastAsia="宋体" w:cs="宋体"/>
          <w:b/>
          <w:color w:val="000000"/>
          <w:sz w:val="24"/>
          <w:szCs w:val="24"/>
        </w:rPr>
        <w:t>（二）公务接待费。</w:t>
      </w:r>
      <w:r>
        <w:rPr>
          <w:rFonts w:hint="eastAsia" w:ascii="宋体" w:hAnsi="宋体" w:eastAsia="宋体" w:cs="宋体"/>
          <w:color w:val="000000"/>
          <w:sz w:val="24"/>
          <w:szCs w:val="24"/>
        </w:rPr>
        <w:t>2020年预算数2.00万元，比2019年减少0.60万元。</w:t>
      </w:r>
      <w:r>
        <w:rPr>
          <w:rFonts w:ascii="宋体" w:hAnsi="宋体" w:eastAsia="宋体" w:cs="宋体"/>
          <w:color w:val="000000"/>
          <w:sz w:val="24"/>
          <w:szCs w:val="24"/>
        </w:rPr>
        <w:t>减少原因为压缩公务接待开支。</w:t>
      </w:r>
    </w:p>
    <w:p>
      <w:pPr>
        <w:keepNext w:val="0"/>
        <w:keepLines w:val="0"/>
        <w:pageBreakBefore w:val="0"/>
        <w:widowControl w:val="0"/>
        <w:pBdr>
          <w:top w:val="none" w:color="000000" w:sz="0" w:space="0"/>
          <w:left w:val="none" w:color="000000" w:sz="0" w:space="0"/>
          <w:bottom w:val="none" w:color="000000" w:sz="0" w:space="0"/>
          <w:right w:val="none" w:color="000000" w:sz="0" w:space="0"/>
          <w:between w:val="none" w:color="000000" w:sz="0" w:space="0"/>
        </w:pBdr>
        <w:kinsoku/>
        <w:wordWrap/>
        <w:overflowPunct/>
        <w:topLinePunct w:val="0"/>
        <w:autoSpaceDE/>
        <w:autoSpaceDN/>
        <w:bidi w:val="0"/>
        <w:adjustRightInd/>
        <w:snapToGrid/>
        <w:spacing w:line="500" w:lineRule="exact"/>
        <w:ind w:right="0" w:rightChars="0" w:firstLine="482" w:firstLineChars="200"/>
        <w:textAlignment w:val="auto"/>
        <w:outlineLvl w:val="9"/>
        <w:rPr>
          <w:rFonts w:ascii="宋体" w:hAnsi="宋体" w:eastAsia="宋体" w:cs="宋体"/>
          <w:color w:val="000000"/>
          <w:sz w:val="24"/>
          <w:szCs w:val="24"/>
        </w:rPr>
      </w:pPr>
      <w:r>
        <w:rPr>
          <w:rFonts w:hint="eastAsia" w:ascii="宋体" w:hAnsi="宋体" w:cs="宋体"/>
          <w:b/>
          <w:color w:val="000000"/>
          <w:sz w:val="24"/>
          <w:szCs w:val="24"/>
          <w:lang w:eastAsia="zh-CN"/>
        </w:rPr>
        <w:t>（三）</w:t>
      </w:r>
      <w:r>
        <w:rPr>
          <w:rFonts w:ascii="宋体" w:hAnsi="宋体" w:eastAsia="宋体" w:cs="宋体"/>
          <w:b/>
          <w:color w:val="000000"/>
          <w:sz w:val="24"/>
          <w:szCs w:val="24"/>
        </w:rPr>
        <w:t>公务用车购置和运行维护费。</w:t>
      </w:r>
      <w:r>
        <w:rPr>
          <w:rFonts w:hint="eastAsia" w:ascii="宋体" w:hAnsi="宋体" w:eastAsia="宋体" w:cs="宋体"/>
          <w:color w:val="000000"/>
          <w:sz w:val="24"/>
          <w:szCs w:val="24"/>
        </w:rPr>
        <w:t>2020年预算数7.34万元，其中：公务用车购置费2020年预算数0.00万元，比2019年预算数增加0.00万元；公务用车运行维护费2020年预算数7.34万元，比2019年预算数减少0.46万元。</w:t>
      </w:r>
      <w:r>
        <w:rPr>
          <w:rFonts w:ascii="宋体" w:hAnsi="宋体" w:eastAsia="宋体" w:cs="宋体"/>
          <w:color w:val="000000"/>
          <w:sz w:val="24"/>
          <w:szCs w:val="24"/>
        </w:rPr>
        <w:t>我单位公务车2台，公务用车运行维护费2019年预算数7.80万元，减少原因为压缩公务用车运行维护费的开支。</w:t>
      </w: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color w:val="000000"/>
          <w:szCs w:val="21"/>
        </w:rPr>
      </w:pPr>
    </w:p>
    <w:p>
      <w:pPr>
        <w:keepNext w:val="0"/>
        <w:keepLines w:val="0"/>
        <w:pageBreakBefore w:val="0"/>
        <w:widowControl w:val="0"/>
        <w:kinsoku/>
        <w:wordWrap/>
        <w:overflowPunct/>
        <w:topLinePunct w:val="0"/>
        <w:autoSpaceDE/>
        <w:autoSpaceDN/>
        <w:bidi w:val="0"/>
        <w:adjustRightInd/>
        <w:snapToGrid/>
        <w:spacing w:line="500" w:lineRule="exact"/>
        <w:ind w:right="0" w:rightChars="0"/>
        <w:textAlignment w:val="auto"/>
        <w:outlineLvl w:val="9"/>
        <w:rPr>
          <w:rFonts w:ascii="宋体" w:hAnsi="宋体" w:eastAsia="宋体" w:cs="宋体"/>
          <w:color w:val="000000"/>
          <w:szCs w:val="21"/>
        </w:rPr>
      </w:pPr>
    </w:p>
    <w:p>
      <w:pPr>
        <w:jc w:val="both"/>
        <w:rPr>
          <w:rFonts w:hint="eastAsia" w:eastAsia="宋体"/>
          <w:b/>
          <w:bCs/>
          <w:sz w:val="32"/>
          <w:szCs w:val="32"/>
          <w:lang w:eastAsia="zh-CN"/>
        </w:rPr>
      </w:pPr>
      <w:r>
        <w:rPr>
          <w:rFonts w:hint="eastAsia"/>
          <w:b/>
          <w:bCs/>
          <w:sz w:val="32"/>
          <w:szCs w:val="32"/>
          <w:lang w:eastAsia="zh-CN"/>
        </w:rPr>
        <w:t>附表：</w:t>
      </w:r>
    </w:p>
    <w:p>
      <w:pPr>
        <w:jc w:val="center"/>
        <w:rPr>
          <w:b/>
          <w:bCs/>
          <w:sz w:val="32"/>
          <w:szCs w:val="32"/>
        </w:rPr>
      </w:pPr>
      <w:r>
        <w:rPr>
          <w:rFonts w:hint="eastAsia"/>
          <w:b/>
          <w:bCs/>
          <w:sz w:val="32"/>
          <w:szCs w:val="32"/>
        </w:rPr>
        <w:t>“三公”经费财政拨款预算情况表</w:t>
      </w:r>
    </w:p>
    <w:p>
      <w:pPr>
        <w:jc w:val="center"/>
        <w:rPr>
          <w:b/>
          <w:bCs/>
          <w:sz w:val="32"/>
          <w:szCs w:val="32"/>
        </w:rPr>
      </w:pPr>
    </w:p>
    <w:tbl>
      <w:tblPr>
        <w:tblStyle w:val="5"/>
        <w:tblW w:w="9350" w:type="dxa"/>
        <w:jc w:val="center"/>
        <w:tblInd w:w="7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62"/>
        <w:gridCol w:w="708"/>
        <w:gridCol w:w="926"/>
        <w:gridCol w:w="974"/>
        <w:gridCol w:w="930"/>
        <w:gridCol w:w="1020"/>
        <w:gridCol w:w="870"/>
        <w:gridCol w:w="1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 w:hRule="atLeast"/>
          <w:tblHeader/>
          <w:jc w:val="center"/>
        </w:trPr>
        <w:tc>
          <w:tcPr>
            <w:tcW w:w="6400" w:type="dxa"/>
            <w:gridSpan w:val="5"/>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left"/>
              <w:rPr>
                <w:rFonts w:ascii="宋体" w:hAnsi="宋体" w:cs="宋体"/>
                <w:sz w:val="20"/>
                <w:szCs w:val="20"/>
              </w:rPr>
            </w:pPr>
            <w:r>
              <w:rPr>
                <w:rFonts w:hint="eastAsia" w:ascii="宋体" w:hAnsi="宋体" w:cs="宋体"/>
                <w:sz w:val="20"/>
                <w:szCs w:val="20"/>
              </w:rPr>
              <w:t>单位名称：深圳市福田区公共文化体育发展中心（本级）</w:t>
            </w:r>
          </w:p>
        </w:tc>
        <w:tc>
          <w:tcPr>
            <w:tcW w:w="2950" w:type="dxa"/>
            <w:gridSpan w:val="3"/>
            <w:tcBorders>
              <w:top w:val="nil"/>
              <w:left w:val="nil"/>
              <w:bottom w:val="single" w:color="auto" w:sz="4" w:space="0"/>
              <w:right w:val="nil"/>
            </w:tcBorders>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blHeader/>
          <w:jc w:val="center"/>
        </w:trPr>
        <w:tc>
          <w:tcPr>
            <w:tcW w:w="2862"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预算单位</w:t>
            </w:r>
          </w:p>
        </w:tc>
        <w:tc>
          <w:tcPr>
            <w:tcW w:w="708"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年度</w:t>
            </w:r>
          </w:p>
        </w:tc>
        <w:tc>
          <w:tcPr>
            <w:tcW w:w="926"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“三公”经费财政拨款预算总额</w:t>
            </w:r>
          </w:p>
        </w:tc>
        <w:tc>
          <w:tcPr>
            <w:tcW w:w="974"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因公出国(境)费</w:t>
            </w:r>
          </w:p>
        </w:tc>
        <w:tc>
          <w:tcPr>
            <w:tcW w:w="930" w:type="dxa"/>
            <w:vMerge w:val="restart"/>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公务接待费</w:t>
            </w:r>
          </w:p>
        </w:tc>
        <w:tc>
          <w:tcPr>
            <w:tcW w:w="2950" w:type="dxa"/>
            <w:gridSpan w:val="3"/>
            <w:tcBorders>
              <w:top w:val="single" w:color="auto" w:sz="4" w:space="0"/>
              <w:bottom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公务用车购置及运行维护费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2" w:hRule="atLeast"/>
          <w:tblHeader/>
          <w:jc w:val="center"/>
        </w:trPr>
        <w:tc>
          <w:tcPr>
            <w:tcW w:w="2862" w:type="dxa"/>
            <w:vMerge w:val="continue"/>
            <w:tcBorders>
              <w:top w:val="single" w:color="auto" w:sz="4" w:space="0"/>
            </w:tcBorders>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p>
        </w:tc>
        <w:tc>
          <w:tcPr>
            <w:tcW w:w="708" w:type="dxa"/>
            <w:vMerge w:val="continue"/>
            <w:tcBorders>
              <w:top w:val="single" w:color="auto" w:sz="4" w:space="0"/>
            </w:tcBorders>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p>
        </w:tc>
        <w:tc>
          <w:tcPr>
            <w:tcW w:w="926" w:type="dxa"/>
            <w:vMerge w:val="continue"/>
            <w:tcBorders>
              <w:top w:val="single" w:color="auto" w:sz="4" w:space="0"/>
            </w:tcBorders>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p>
        </w:tc>
        <w:tc>
          <w:tcPr>
            <w:tcW w:w="974" w:type="dxa"/>
            <w:vMerge w:val="continue"/>
            <w:tcBorders>
              <w:top w:val="single" w:color="auto" w:sz="4" w:space="0"/>
            </w:tcBorders>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p>
        </w:tc>
        <w:tc>
          <w:tcPr>
            <w:tcW w:w="930" w:type="dxa"/>
            <w:vMerge w:val="continue"/>
            <w:tcBorders>
              <w:top w:val="single" w:color="auto" w:sz="4" w:space="0"/>
            </w:tcBorders>
            <w:textDirection w:val="tbRl"/>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p>
        </w:tc>
        <w:tc>
          <w:tcPr>
            <w:tcW w:w="1020"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小计</w:t>
            </w:r>
          </w:p>
        </w:tc>
        <w:tc>
          <w:tcPr>
            <w:tcW w:w="870"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公务用车购置费</w:t>
            </w:r>
          </w:p>
        </w:tc>
        <w:tc>
          <w:tcPr>
            <w:tcW w:w="1060" w:type="dxa"/>
            <w:tcBorders>
              <w:top w:val="single" w:color="auto" w:sz="4" w:space="0"/>
            </w:tcBorders>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公务用车运行维护费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62" w:type="dxa"/>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sz w:val="20"/>
                <w:szCs w:val="20"/>
              </w:rPr>
            </w:pPr>
            <w:r>
              <w:rPr>
                <w:rFonts w:hint="eastAsia" w:ascii="宋体" w:hAnsi="宋体" w:cs="宋体"/>
                <w:sz w:val="20"/>
                <w:szCs w:val="20"/>
              </w:rPr>
              <w:t>深圳市福田区公共文化体育发展中心</w:t>
            </w:r>
          </w:p>
        </w:tc>
        <w:tc>
          <w:tcPr>
            <w:tcW w:w="708" w:type="dxa"/>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2019</w:t>
            </w:r>
          </w:p>
        </w:tc>
        <w:tc>
          <w:tcPr>
            <w:tcW w:w="926"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10.40</w:t>
            </w:r>
          </w:p>
        </w:tc>
        <w:tc>
          <w:tcPr>
            <w:tcW w:w="974"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93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2.60</w:t>
            </w:r>
          </w:p>
        </w:tc>
        <w:tc>
          <w:tcPr>
            <w:tcW w:w="102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7.80</w:t>
            </w:r>
          </w:p>
        </w:tc>
        <w:tc>
          <w:tcPr>
            <w:tcW w:w="87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106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62" w:type="dxa"/>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sz w:val="20"/>
                <w:szCs w:val="20"/>
              </w:rPr>
            </w:pPr>
            <w:r>
              <w:rPr>
                <w:rFonts w:hint="eastAsia" w:ascii="宋体" w:hAnsi="宋体" w:cs="宋体"/>
                <w:sz w:val="20"/>
                <w:szCs w:val="20"/>
              </w:rPr>
              <w:t>深圳市福田区公共文化体育发展中心</w:t>
            </w:r>
          </w:p>
        </w:tc>
        <w:tc>
          <w:tcPr>
            <w:tcW w:w="708" w:type="dxa"/>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2020</w:t>
            </w:r>
          </w:p>
        </w:tc>
        <w:tc>
          <w:tcPr>
            <w:tcW w:w="926"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9.34</w:t>
            </w:r>
          </w:p>
        </w:tc>
        <w:tc>
          <w:tcPr>
            <w:tcW w:w="974"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93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2.00</w:t>
            </w:r>
          </w:p>
        </w:tc>
        <w:tc>
          <w:tcPr>
            <w:tcW w:w="102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7.34</w:t>
            </w:r>
          </w:p>
        </w:tc>
        <w:tc>
          <w:tcPr>
            <w:tcW w:w="87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106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62" w:type="dxa"/>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sz w:val="20"/>
                <w:szCs w:val="20"/>
              </w:rPr>
            </w:pPr>
            <w:r>
              <w:rPr>
                <w:rFonts w:hint="eastAsia" w:ascii="宋体" w:hAnsi="宋体" w:cs="宋体"/>
                <w:sz w:val="20"/>
                <w:szCs w:val="20"/>
              </w:rPr>
              <w:t>深圳市福田区公共文化体育发展中心（本级）</w:t>
            </w:r>
            <w:bookmarkStart w:id="0" w:name="_GoBack"/>
            <w:bookmarkEnd w:id="0"/>
          </w:p>
        </w:tc>
        <w:tc>
          <w:tcPr>
            <w:tcW w:w="708" w:type="dxa"/>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2019</w:t>
            </w:r>
          </w:p>
        </w:tc>
        <w:tc>
          <w:tcPr>
            <w:tcW w:w="926"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10.40</w:t>
            </w:r>
          </w:p>
        </w:tc>
        <w:tc>
          <w:tcPr>
            <w:tcW w:w="974"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93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2.60</w:t>
            </w:r>
          </w:p>
        </w:tc>
        <w:tc>
          <w:tcPr>
            <w:tcW w:w="102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7.80</w:t>
            </w:r>
          </w:p>
        </w:tc>
        <w:tc>
          <w:tcPr>
            <w:tcW w:w="87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106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6" w:hRule="atLeast"/>
          <w:jc w:val="center"/>
        </w:trPr>
        <w:tc>
          <w:tcPr>
            <w:tcW w:w="2862" w:type="dxa"/>
            <w:vAlign w:val="center"/>
          </w:tcPr>
          <w:p>
            <w:pPr>
              <w:pBdr>
                <w:top w:val="none" w:color="000000" w:sz="0" w:space="0"/>
                <w:left w:val="none" w:color="000000" w:sz="0" w:space="0"/>
                <w:bottom w:val="none" w:color="000000" w:sz="0" w:space="0"/>
                <w:right w:val="none" w:color="000000" w:sz="0" w:space="0"/>
                <w:between w:val="none" w:color="000000" w:sz="0" w:space="0"/>
              </w:pBdr>
              <w:rPr>
                <w:rFonts w:ascii="宋体" w:hAnsi="宋体" w:cs="宋体"/>
                <w:sz w:val="20"/>
                <w:szCs w:val="20"/>
              </w:rPr>
            </w:pPr>
            <w:r>
              <w:rPr>
                <w:rFonts w:hint="eastAsia" w:ascii="宋体" w:hAnsi="宋体" w:cs="宋体"/>
                <w:sz w:val="20"/>
                <w:szCs w:val="20"/>
              </w:rPr>
              <w:t>深圳市福田区公共文化体育发展中心（本级）</w:t>
            </w:r>
          </w:p>
        </w:tc>
        <w:tc>
          <w:tcPr>
            <w:tcW w:w="708" w:type="dxa"/>
            <w:vAlign w:val="center"/>
          </w:tcPr>
          <w:p>
            <w:pPr>
              <w:pBdr>
                <w:top w:val="none" w:color="000000" w:sz="0" w:space="0"/>
                <w:left w:val="none" w:color="000000" w:sz="0" w:space="0"/>
                <w:bottom w:val="none" w:color="000000" w:sz="0" w:space="0"/>
                <w:right w:val="none" w:color="000000" w:sz="0" w:space="0"/>
                <w:between w:val="none" w:color="000000" w:sz="0" w:space="0"/>
              </w:pBdr>
              <w:jc w:val="center"/>
              <w:rPr>
                <w:rFonts w:ascii="宋体" w:hAnsi="宋体" w:cs="宋体"/>
                <w:sz w:val="20"/>
                <w:szCs w:val="20"/>
              </w:rPr>
            </w:pPr>
            <w:r>
              <w:rPr>
                <w:rFonts w:hint="eastAsia" w:ascii="宋体" w:hAnsi="宋体" w:cs="宋体"/>
                <w:sz w:val="20"/>
                <w:szCs w:val="20"/>
              </w:rPr>
              <w:t>2020</w:t>
            </w:r>
          </w:p>
        </w:tc>
        <w:tc>
          <w:tcPr>
            <w:tcW w:w="926"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9.34</w:t>
            </w:r>
          </w:p>
        </w:tc>
        <w:tc>
          <w:tcPr>
            <w:tcW w:w="974"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93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2.00</w:t>
            </w:r>
          </w:p>
        </w:tc>
        <w:tc>
          <w:tcPr>
            <w:tcW w:w="102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7.34</w:t>
            </w:r>
          </w:p>
        </w:tc>
        <w:tc>
          <w:tcPr>
            <w:tcW w:w="87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p>
        </w:tc>
        <w:tc>
          <w:tcPr>
            <w:tcW w:w="1060" w:type="dxa"/>
            <w:vAlign w:val="center"/>
          </w:tcPr>
          <w:p>
            <w:pPr>
              <w:pBdr>
                <w:top w:val="none" w:color="000000" w:sz="0" w:space="0"/>
                <w:left w:val="none" w:color="000000" w:sz="0" w:space="0"/>
                <w:bottom w:val="none" w:color="000000" w:sz="0" w:space="0"/>
                <w:right w:val="none" w:color="000000" w:sz="0" w:space="0"/>
                <w:between w:val="none" w:color="000000" w:sz="0" w:space="0"/>
              </w:pBdr>
              <w:jc w:val="right"/>
              <w:rPr>
                <w:rFonts w:ascii="宋体" w:hAnsi="宋体" w:cs="宋体"/>
                <w:sz w:val="20"/>
                <w:szCs w:val="20"/>
              </w:rPr>
            </w:pPr>
            <w:r>
              <w:rPr>
                <w:rFonts w:hint="eastAsia" w:ascii="宋体" w:hAnsi="宋体" w:cs="宋体"/>
                <w:sz w:val="20"/>
                <w:szCs w:val="20"/>
              </w:rPr>
              <w:t>7.34</w:t>
            </w:r>
          </w:p>
        </w:tc>
      </w:tr>
    </w:tbl>
    <w:p>
      <w:pPr>
        <w:widowControl w:val="0"/>
        <w:wordWrap/>
        <w:adjustRightInd/>
        <w:snapToGrid/>
        <w:spacing w:line="600" w:lineRule="exact"/>
        <w:ind w:right="0"/>
        <w:textAlignment w:val="auto"/>
        <w:outlineLvl w:val="9"/>
        <w:rPr>
          <w:rFonts w:hint="eastAsia" w:ascii="仿宋_GB2312" w:hAnsi="仿宋_GB2312" w:eastAsia="仿宋_GB2312" w:cs="仿宋_GB2312"/>
          <w:b/>
          <w:bCs/>
          <w:sz w:val="32"/>
          <w:szCs w:val="32"/>
          <w:lang w:eastAsia="zh-CN"/>
        </w:rPr>
      </w:pPr>
    </w:p>
    <w:sectPr>
      <w:pgSz w:w="11906" w:h="16838"/>
      <w:pgMar w:top="1757" w:right="1474" w:bottom="1757" w:left="1587" w:header="851" w:footer="992" w:gutter="0"/>
      <w:pgNumType w:fmt="numberInDash"/>
      <w:cols w:space="72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Arial">
    <w:panose1 w:val="020B0604020202020204"/>
    <w:charset w:val="00"/>
    <w:family w:val="swiss"/>
    <w:pitch w:val="default"/>
    <w:sig w:usb0="E0002AFF" w:usb1="C0007843" w:usb2="00000009" w:usb3="00000000" w:csb0="400001FF" w:csb1="FFFF0000"/>
  </w:font>
  <w:font w:name="serif">
    <w:altName w:val="Segoe Print"/>
    <w:panose1 w:val="00000000000000000000"/>
    <w:charset w:val="00"/>
    <w:family w:val="auto"/>
    <w:pitch w:val="default"/>
    <w:sig w:usb0="00000000" w:usb1="00000000" w:usb2="00000000" w:usb3="00000000" w:csb0="00000000" w:csb1="00000000"/>
  </w:font>
  <w:font w:name="PMingLiUfalt">
    <w:altName w:val="Segoe Print"/>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C66FEE"/>
    <w:rsid w:val="002A7CBE"/>
    <w:rsid w:val="00385C41"/>
    <w:rsid w:val="003B0AB9"/>
    <w:rsid w:val="00B95A21"/>
    <w:rsid w:val="00C66FEE"/>
    <w:rsid w:val="00D95363"/>
    <w:rsid w:val="00EA4B9C"/>
    <w:rsid w:val="0EFA0C9D"/>
    <w:rsid w:val="1B163067"/>
    <w:rsid w:val="1BDA12E5"/>
    <w:rsid w:val="21B7742A"/>
    <w:rsid w:val="233608D2"/>
    <w:rsid w:val="28AD59ED"/>
    <w:rsid w:val="35516D9F"/>
    <w:rsid w:val="37E54640"/>
    <w:rsid w:val="3AA50CB8"/>
    <w:rsid w:val="3C552437"/>
    <w:rsid w:val="3C722675"/>
    <w:rsid w:val="41545A92"/>
    <w:rsid w:val="42C56DF1"/>
    <w:rsid w:val="44335726"/>
    <w:rsid w:val="48F63EC0"/>
    <w:rsid w:val="4A494A9B"/>
    <w:rsid w:val="4FD212DD"/>
    <w:rsid w:val="51761720"/>
    <w:rsid w:val="57D76E56"/>
    <w:rsid w:val="58601F06"/>
    <w:rsid w:val="5CC73D68"/>
    <w:rsid w:val="672F4ABC"/>
    <w:rsid w:val="691B2508"/>
    <w:rsid w:val="6A0A1334"/>
    <w:rsid w:val="7874576E"/>
    <w:rsid w:val="7B327CAD"/>
    <w:rsid w:val="7C393B0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rPr>
  </w:style>
  <w:style w:type="table" w:styleId="5">
    <w:name w:val="Table Grid"/>
    <w:basedOn w:val="4"/>
    <w:uiPriority w:val="59"/>
    <w:pPr>
      <w:widowControl w:val="0"/>
      <w:pBdr>
        <w:top w:val="none" w:color="000000" w:sz="0" w:space="0"/>
        <w:left w:val="none" w:color="000000" w:sz="0" w:space="0"/>
        <w:bottom w:val="none" w:color="000000" w:sz="0" w:space="0"/>
        <w:right w:val="none" w:color="000000" w:sz="0" w:space="0"/>
        <w:between w:val="none" w:color="000000" w:sz="0" w:space="0"/>
      </w:pBdr>
      <w:jc w:val="both"/>
    </w:pPr>
    <w:rPr>
      <w:lang w:eastAsia="en-US" w:bidi="en-US"/>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paragraph" w:customStyle="1" w:styleId="6">
    <w:name w:val="List Paragraph"/>
    <w:basedOn w:val="1"/>
    <w:qFormat/>
    <w:uiPriority w:val="34"/>
    <w:pPr>
      <w:ind w:firstLine="420" w:firstLineChars="200"/>
    </w:pPr>
  </w:style>
  <w:style w:type="paragraph" w:customStyle="1" w:styleId="7">
    <w:name w:val="p0"/>
    <w:basedOn w:val="1"/>
    <w:qFormat/>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41</Words>
  <Characters>238</Characters>
  <Lines>1</Lines>
  <Paragraphs>1</Paragraphs>
  <ScaleCrop>false</ScaleCrop>
  <LinksUpToDate>false</LinksUpToDate>
  <CharactersWithSpaces>0</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2018-01-25T08:13:00Z</dcterms:created>
  <dc:creator>af</dc:creator>
  <cp:lastModifiedBy>SZH</cp:lastModifiedBy>
  <cp:lastPrinted>2019-01-18T07:17:00Z</cp:lastPrinted>
  <dcterms:modified xsi:type="dcterms:W3CDTF">2020-02-19T07:35:31Z</dcterms:modified>
  <dc:title>关于申请拨入文化事业建设费及宣传文化事业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ies>
</file>