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福田区工程质量潜在缺陷保险</w:t>
      </w: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扩大试点工作实施办法</w:t>
      </w:r>
    </w:p>
    <w:p>
      <w:pPr>
        <w:spacing w:line="560" w:lineRule="exact"/>
        <w:ind w:firstLine="640" w:firstLineChars="200"/>
        <w:jc w:val="center"/>
        <w:rPr>
          <w:rFonts w:hint="eastAsia" w:ascii="仿宋_GB2312" w:eastAsia="仿宋_GB2312"/>
          <w:sz w:val="32"/>
          <w:szCs w:val="32"/>
        </w:rPr>
      </w:pPr>
      <w:r>
        <w:rPr>
          <w:rFonts w:hint="eastAsia" w:ascii="仿宋_GB2312" w:eastAsia="仿宋_GB2312"/>
          <w:sz w:val="32"/>
          <w:szCs w:val="32"/>
        </w:rPr>
        <w:t>（征求意见稿）</w:t>
      </w:r>
    </w:p>
    <w:p>
      <w:pPr>
        <w:spacing w:line="560" w:lineRule="exact"/>
        <w:ind w:firstLine="640" w:firstLineChars="200"/>
        <w:rPr>
          <w:rFonts w:ascii="仿宋" w:hAnsi="仿宋" w:eastAsia="仿宋"/>
          <w:sz w:val="32"/>
        </w:rPr>
      </w:pPr>
    </w:p>
    <w:p>
      <w:pPr>
        <w:spacing w:line="560" w:lineRule="exact"/>
        <w:jc w:val="center"/>
        <w:outlineLvl w:val="0"/>
        <w:rPr>
          <w:rFonts w:ascii="黑体" w:hAnsi="黑体" w:eastAsia="黑体" w:cs="黑体"/>
          <w:bCs/>
          <w:sz w:val="32"/>
          <w:szCs w:val="32"/>
        </w:rPr>
      </w:pPr>
      <w:r>
        <w:rPr>
          <w:rFonts w:hint="eastAsia" w:ascii="黑体" w:hAnsi="黑体" w:eastAsia="黑体" w:cs="黑体"/>
          <w:bCs/>
          <w:sz w:val="32"/>
          <w:szCs w:val="32"/>
        </w:rPr>
        <w:t>第一章  总则</w:t>
      </w:r>
    </w:p>
    <w:p>
      <w:pPr>
        <w:spacing w:line="560" w:lineRule="exact"/>
        <w:ind w:firstLine="640" w:firstLineChars="200"/>
        <w:rPr>
          <w:rFonts w:ascii="仿宋_GB2312" w:eastAsia="仿宋_GB2312"/>
          <w:sz w:val="32"/>
          <w:szCs w:val="32"/>
        </w:rPr>
      </w:pPr>
      <w:r>
        <w:rPr>
          <w:rFonts w:hint="eastAsia" w:ascii="楷体" w:hAnsi="楷体" w:eastAsia="楷体" w:cs="楷体"/>
          <w:bCs/>
          <w:sz w:val="32"/>
          <w:szCs w:val="32"/>
        </w:rPr>
        <w:t>第一条 【目的依据】</w:t>
      </w:r>
      <w:r>
        <w:rPr>
          <w:rFonts w:hint="eastAsia" w:ascii="仿宋_GB2312" w:eastAsia="仿宋_GB2312"/>
          <w:sz w:val="32"/>
          <w:szCs w:val="32"/>
        </w:rPr>
        <w:t>为推进辖区内工程质量潜在缺陷保险试点工作，进一步完善建设工程质量风险保障机制，切实维护工程所有权人的合法利益，提高我区建设工程质量水平，保障社会公共安全，根据《中华人民共和国建筑法》、《中华人民共和国保险法》、《建设工程质量管理条例》等法律法规，制定本实施办法。</w:t>
      </w:r>
    </w:p>
    <w:p>
      <w:pPr>
        <w:spacing w:line="560" w:lineRule="exact"/>
        <w:ind w:firstLine="640" w:firstLineChars="200"/>
        <w:rPr>
          <w:rFonts w:ascii="仿宋_GB2312" w:eastAsia="仿宋_GB2312"/>
          <w:sz w:val="32"/>
          <w:szCs w:val="32"/>
        </w:rPr>
      </w:pPr>
      <w:r>
        <w:rPr>
          <w:rFonts w:hint="eastAsia" w:ascii="楷体" w:hAnsi="楷体" w:eastAsia="楷体" w:cs="楷体"/>
          <w:bCs/>
          <w:sz w:val="32"/>
          <w:szCs w:val="32"/>
        </w:rPr>
        <w:t>第二条 【基本定义】</w:t>
      </w:r>
      <w:r>
        <w:rPr>
          <w:rFonts w:hint="eastAsia" w:ascii="仿宋_GB2312" w:eastAsia="仿宋_GB2312"/>
          <w:sz w:val="32"/>
          <w:szCs w:val="32"/>
        </w:rPr>
        <w:t>工程质量潜在缺陷保险（Inherent Defect Insurance，简称IDI），是指在正常使用条件下，承保建设工程在竣工后的保险赔偿责任期限内因勘查设计、施工或材料等潜在缺陷造成被保工程的结构、防水或其它约定项出现影响安全或使用的损坏，由保险公司履行维修或赔偿义务的保险。</w:t>
      </w:r>
    </w:p>
    <w:p>
      <w:pPr>
        <w:spacing w:line="560" w:lineRule="exact"/>
        <w:ind w:firstLine="640" w:firstLineChars="200"/>
        <w:rPr>
          <w:rFonts w:ascii="仿宋_GB2312" w:eastAsia="仿宋_GB2312"/>
          <w:sz w:val="32"/>
          <w:szCs w:val="32"/>
        </w:rPr>
      </w:pPr>
      <w:r>
        <w:rPr>
          <w:rFonts w:hint="eastAsia" w:ascii="楷体" w:hAnsi="楷体" w:eastAsia="楷体" w:cs="楷体"/>
          <w:bCs/>
          <w:sz w:val="32"/>
          <w:szCs w:val="32"/>
        </w:rPr>
        <w:t>第三条 【适用范围】</w:t>
      </w:r>
      <w:r>
        <w:rPr>
          <w:rFonts w:hint="eastAsia" w:ascii="仿宋_GB2312" w:eastAsia="仿宋_GB2312"/>
          <w:sz w:val="32"/>
          <w:szCs w:val="32"/>
        </w:rPr>
        <w:t>本办法适用于辖区内政府投资代建工程，及可承保的政府投资、社会投资建设工程。其中保障性住房、人才住房必须购买</w:t>
      </w:r>
      <w:r>
        <w:rPr>
          <w:rFonts w:ascii="仿宋_GB2312" w:eastAsia="仿宋_GB2312"/>
          <w:sz w:val="32"/>
          <w:szCs w:val="32"/>
        </w:rPr>
        <w:t>IDI</w:t>
      </w:r>
      <w:r>
        <w:rPr>
          <w:rFonts w:hint="eastAsia" w:ascii="仿宋_GB2312" w:eastAsia="仿宋_GB2312"/>
          <w:sz w:val="32"/>
          <w:szCs w:val="32"/>
        </w:rPr>
        <w:t>，政府投资代建项目按照《福田区政府投资代建项目工程质量潜在缺陷保险实施细则》实施。其他房屋建筑工程、市政工程可自愿投保。</w:t>
      </w:r>
    </w:p>
    <w:p>
      <w:pPr>
        <w:spacing w:line="560" w:lineRule="exact"/>
        <w:ind w:firstLine="640" w:firstLineChars="200"/>
        <w:rPr>
          <w:rFonts w:ascii="仿宋_GB2312" w:eastAsia="仿宋_GB2312"/>
          <w:sz w:val="32"/>
          <w:szCs w:val="32"/>
        </w:rPr>
      </w:pPr>
      <w:r>
        <w:rPr>
          <w:rFonts w:ascii="仿宋_GB2312" w:eastAsia="仿宋_GB2312"/>
          <w:sz w:val="32"/>
          <w:szCs w:val="32"/>
        </w:rPr>
        <w:t>房屋建筑工程</w:t>
      </w:r>
      <w:r>
        <w:rPr>
          <w:rFonts w:hint="eastAsia" w:ascii="仿宋_GB2312" w:eastAsia="仿宋_GB2312"/>
          <w:sz w:val="32"/>
          <w:szCs w:val="32"/>
        </w:rPr>
        <w:t>包括住宅、园区、办公楼、医院、学校、博物馆、工业楼宇以及文体中心等；市政工程包括桥梁、高架桥、明挖隧道、明挖箱涵以及挡土墙等同类型项目。</w:t>
      </w:r>
    </w:p>
    <w:p>
      <w:pPr>
        <w:spacing w:line="560" w:lineRule="exact"/>
        <w:jc w:val="center"/>
        <w:outlineLvl w:val="0"/>
        <w:rPr>
          <w:rFonts w:ascii="黑体" w:hAnsi="黑体" w:eastAsia="黑体" w:cs="黑体"/>
          <w:bCs/>
          <w:sz w:val="32"/>
          <w:szCs w:val="32"/>
        </w:rPr>
      </w:pPr>
      <w:r>
        <w:rPr>
          <w:rFonts w:hint="eastAsia" w:ascii="黑体" w:hAnsi="黑体" w:eastAsia="黑体" w:cs="黑体"/>
          <w:bCs/>
          <w:sz w:val="32"/>
          <w:szCs w:val="32"/>
        </w:rPr>
        <w:t>第二章  保险责任</w:t>
      </w:r>
    </w:p>
    <w:p>
      <w:pPr>
        <w:spacing w:line="560" w:lineRule="exact"/>
        <w:ind w:firstLine="640" w:firstLineChars="200"/>
        <w:rPr>
          <w:rFonts w:ascii="仿宋_GB2312" w:eastAsia="仿宋_GB2312"/>
          <w:b/>
          <w:sz w:val="32"/>
          <w:szCs w:val="32"/>
        </w:rPr>
      </w:pPr>
      <w:r>
        <w:rPr>
          <w:rFonts w:hint="eastAsia" w:ascii="楷体" w:hAnsi="楷体" w:eastAsia="楷体" w:cs="楷体"/>
          <w:bCs/>
          <w:sz w:val="32"/>
          <w:szCs w:val="32"/>
        </w:rPr>
        <w:t>第四条 【房屋建筑工程保险范围及期限】</w:t>
      </w:r>
    </w:p>
    <w:p>
      <w:pPr>
        <w:spacing w:line="560" w:lineRule="exact"/>
        <w:ind w:firstLine="640" w:firstLineChars="200"/>
        <w:rPr>
          <w:rFonts w:ascii="仿宋_GB2312" w:hAnsi="Times New Roman" w:eastAsia="仿宋_GB2312"/>
          <w:sz w:val="32"/>
          <w:szCs w:val="32"/>
        </w:rPr>
      </w:pPr>
      <w:r>
        <w:rPr>
          <w:rFonts w:hint="eastAsia" w:ascii="仿宋_GB2312" w:eastAsia="仿宋_GB2312"/>
          <w:sz w:val="32"/>
          <w:szCs w:val="32"/>
        </w:rPr>
        <w:t>房屋建筑工程质量潜在缺陷保险的</w:t>
      </w:r>
      <w:r>
        <w:rPr>
          <w:rFonts w:hint="eastAsia" w:ascii="仿宋_GB2312" w:hAnsi="Times New Roman" w:eastAsia="仿宋_GB2312"/>
          <w:sz w:val="32"/>
          <w:szCs w:val="32"/>
        </w:rPr>
        <w:t>保险范围包括：</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（一）整体或局部倒塌。</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（二）地基产生超出设计规范允许的不均匀沉降。</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（三）阳台、雨篷、挑檐等悬挑构件和外墙面坍塌或出现影响使用安全的裂缝、破损、断裂。</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（四）主体承重结构部位出现影响结构安全的裂缝、变形、破坏、断裂。</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（五）屋面防水工程，地下室、外墙面、门窗的防渗漏工程，有防水要求的卫生间、房间的渗漏。</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（六）外墙围护结构出现影响使用安全的脱落、开裂、破损。</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（七）电气管线、给排水管道、设备安装的质量缺陷。</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（八）装修工程（不含业主自行装修）的质量缺陷。</w:t>
      </w:r>
    </w:p>
    <w:p>
      <w:pPr>
        <w:spacing w:line="56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w:t>
      </w:r>
      <w:r>
        <w:rPr>
          <w:rFonts w:hint="eastAsia" w:ascii="仿宋_GB2312" w:hAnsi="仿宋" w:eastAsia="仿宋_GB2312" w:cs="仿宋_GB2312"/>
          <w:sz w:val="32"/>
          <w:szCs w:val="32"/>
        </w:rPr>
        <w:t>九）供热、供冷系统的质量缺陷。</w:t>
      </w:r>
    </w:p>
    <w:p>
      <w:pPr>
        <w:spacing w:line="56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w:t>
      </w:r>
      <w:r>
        <w:rPr>
          <w:rFonts w:hint="eastAsia" w:ascii="仿宋_GB2312" w:hAnsi="仿宋" w:eastAsia="仿宋_GB2312" w:cs="仿宋_GB2312"/>
          <w:sz w:val="32"/>
          <w:szCs w:val="32"/>
        </w:rPr>
        <w:t>十）其他经投保人和保险人双方约定的内容。</w:t>
      </w:r>
    </w:p>
    <w:p>
      <w:pPr>
        <w:spacing w:line="560" w:lineRule="exact"/>
        <w:ind w:firstLine="640" w:firstLineChars="200"/>
        <w:rPr>
          <w:rFonts w:ascii="仿宋_GB2312" w:hAnsi="仿宋" w:eastAsia="仿宋_GB2312" w:cs="仿宋_GB2312"/>
          <w:bCs/>
          <w:sz w:val="32"/>
          <w:szCs w:val="32"/>
        </w:rPr>
      </w:pPr>
      <w:r>
        <w:rPr>
          <w:rFonts w:hint="eastAsia" w:ascii="仿宋_GB2312" w:hAnsi="仿宋" w:eastAsia="仿宋_GB2312" w:cs="仿宋_GB2312"/>
          <w:sz w:val="32"/>
          <w:szCs w:val="32"/>
        </w:rPr>
        <w:t>保险赔偿责任期</w:t>
      </w:r>
      <w:r>
        <w:rPr>
          <w:rFonts w:hint="eastAsia" w:ascii="仿宋_GB2312" w:hAnsi="仿宋" w:eastAsia="仿宋_GB2312" w:cs="仿宋_GB2312"/>
          <w:bCs/>
          <w:sz w:val="32"/>
          <w:szCs w:val="32"/>
        </w:rPr>
        <w:t>限</w:t>
      </w:r>
      <w:r>
        <w:rPr>
          <w:rFonts w:hint="eastAsia" w:ascii="仿宋_GB2312" w:eastAsia="仿宋_GB2312"/>
          <w:sz w:val="32"/>
          <w:szCs w:val="32"/>
        </w:rPr>
        <w:t>自工程缺陷责任期结束之日起算，</w:t>
      </w:r>
      <w:r>
        <w:rPr>
          <w:rFonts w:hint="eastAsia" w:ascii="仿宋_GB2312" w:hAnsi="仿宋" w:eastAsia="仿宋_GB2312" w:cs="仿宋_GB2312"/>
          <w:sz w:val="32"/>
          <w:szCs w:val="32"/>
        </w:rPr>
        <w:t>分别为：第（一）至（四）项为十年；第（五）和（六）项为五年；第（七）至（九）项为两年；第（十）项为约定的保险期。</w:t>
      </w:r>
      <w:r>
        <w:rPr>
          <w:rFonts w:hint="eastAsia" w:ascii="仿宋_GB2312" w:hAnsi="仿宋" w:eastAsia="仿宋_GB2312" w:cs="仿宋_GB2312"/>
          <w:bCs/>
          <w:sz w:val="32"/>
          <w:szCs w:val="32"/>
        </w:rPr>
        <w:t>保险</w:t>
      </w:r>
      <w:r>
        <w:rPr>
          <w:rFonts w:hint="eastAsia" w:ascii="仿宋_GB2312" w:hAnsi="仿宋" w:eastAsia="仿宋_GB2312" w:cs="仿宋_GB2312"/>
          <w:sz w:val="32"/>
          <w:szCs w:val="32"/>
        </w:rPr>
        <w:t>赔偿责任</w:t>
      </w:r>
      <w:r>
        <w:rPr>
          <w:rFonts w:hint="eastAsia" w:ascii="仿宋_GB2312" w:hAnsi="仿宋" w:eastAsia="仿宋_GB2312" w:cs="仿宋_GB2312"/>
          <w:bCs/>
          <w:sz w:val="32"/>
          <w:szCs w:val="32"/>
        </w:rPr>
        <w:t>期限可以由双方协商进行延长，到期后可以续保。</w:t>
      </w:r>
    </w:p>
    <w:p>
      <w:pPr>
        <w:spacing w:line="560" w:lineRule="exact"/>
        <w:ind w:firstLine="640" w:firstLineChars="200"/>
        <w:rPr>
          <w:rFonts w:ascii="仿宋_GB2312" w:hAnsi="仿宋" w:eastAsia="仿宋_GB2312" w:cs="仿宋_GB2312"/>
          <w:sz w:val="32"/>
          <w:szCs w:val="32"/>
        </w:rPr>
      </w:pPr>
      <w:r>
        <w:rPr>
          <w:rFonts w:hint="eastAsia" w:ascii="仿宋_GB2312" w:eastAsia="仿宋_GB2312"/>
          <w:sz w:val="32"/>
          <w:szCs w:val="32"/>
        </w:rPr>
        <w:t>保障性住房、人才住房等必须覆盖以上所有保险范围和期限。</w:t>
      </w:r>
      <w:r>
        <w:rPr>
          <w:rFonts w:ascii="仿宋_GB2312" w:hAnsi="仿宋" w:eastAsia="仿宋_GB2312" w:cs="仿宋_GB2312"/>
          <w:sz w:val="32"/>
          <w:szCs w:val="32"/>
        </w:rPr>
        <w:t>自愿投保的房屋建筑工程可由投保人和保险人协商约定</w:t>
      </w:r>
      <w:r>
        <w:rPr>
          <w:rFonts w:hint="eastAsia" w:ascii="仿宋_GB2312" w:hAnsi="仿宋" w:eastAsia="仿宋_GB2312" w:cs="仿宋_GB2312"/>
          <w:sz w:val="32"/>
          <w:szCs w:val="32"/>
        </w:rPr>
        <w:t>保险</w:t>
      </w:r>
      <w:r>
        <w:rPr>
          <w:rFonts w:ascii="仿宋_GB2312" w:hAnsi="仿宋" w:eastAsia="仿宋_GB2312" w:cs="仿宋_GB2312"/>
          <w:sz w:val="32"/>
          <w:szCs w:val="32"/>
        </w:rPr>
        <w:t>范围和期限</w:t>
      </w:r>
      <w:r>
        <w:rPr>
          <w:rFonts w:hint="eastAsia" w:ascii="仿宋_GB2312" w:hAnsi="仿宋" w:eastAsia="仿宋_GB2312" w:cs="仿宋_GB2312"/>
          <w:sz w:val="32"/>
          <w:szCs w:val="32"/>
        </w:rPr>
        <w:t>。</w:t>
      </w:r>
    </w:p>
    <w:p>
      <w:pPr>
        <w:spacing w:line="560" w:lineRule="exact"/>
        <w:ind w:firstLine="640" w:firstLineChars="200"/>
        <w:rPr>
          <w:rFonts w:ascii="楷体" w:hAnsi="楷体" w:eastAsia="楷体" w:cs="楷体"/>
          <w:bCs/>
          <w:sz w:val="32"/>
          <w:szCs w:val="32"/>
        </w:rPr>
      </w:pPr>
      <w:r>
        <w:rPr>
          <w:rFonts w:hint="eastAsia" w:ascii="楷体" w:hAnsi="楷体" w:eastAsia="楷体" w:cs="楷体"/>
          <w:bCs/>
          <w:sz w:val="32"/>
          <w:szCs w:val="32"/>
        </w:rPr>
        <w:t>第五条 【市政工程保险范围和期限】</w:t>
      </w:r>
    </w:p>
    <w:p>
      <w:pPr>
        <w:spacing w:line="560" w:lineRule="exact"/>
        <w:ind w:firstLine="640" w:firstLineChars="200"/>
        <w:rPr>
          <w:rFonts w:ascii="仿宋_GB2312" w:hAnsi="Times New Roman" w:eastAsia="仿宋_GB2312"/>
          <w:sz w:val="32"/>
          <w:szCs w:val="32"/>
        </w:rPr>
      </w:pPr>
      <w:r>
        <w:rPr>
          <w:rFonts w:hint="eastAsia" w:ascii="仿宋_GB2312" w:eastAsia="仿宋_GB2312"/>
          <w:sz w:val="32"/>
          <w:szCs w:val="32"/>
        </w:rPr>
        <w:t>市政项目工程质量潜在缺陷保险的</w:t>
      </w:r>
      <w:r>
        <w:rPr>
          <w:rFonts w:hint="eastAsia" w:ascii="仿宋_GB2312" w:hAnsi="Times New Roman" w:eastAsia="仿宋_GB2312"/>
          <w:sz w:val="32"/>
          <w:szCs w:val="32"/>
        </w:rPr>
        <w:t>保险责任可根据工程实际情况从以下内容中选择：</w:t>
      </w:r>
      <w:bookmarkStart w:id="0" w:name="_GoBack"/>
      <w:bookmarkEnd w:id="0"/>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（一）整体或局部倒塌。</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（二）地基产生超出设计规范允许的不均匀沉降。</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（三）主体结构及附属设施出现影响结构安全和运营使用的裂缝、变形、破坏、断裂。</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（四）有防水要求的部位出现的渗漏水。</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（五）管道、管线、设备安装的质量缺陷。</w:t>
      </w:r>
    </w:p>
    <w:p>
      <w:pPr>
        <w:spacing w:line="56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w:t>
      </w:r>
      <w:r>
        <w:rPr>
          <w:rFonts w:hint="eastAsia" w:ascii="仿宋_GB2312" w:hAnsi="仿宋" w:eastAsia="仿宋_GB2312" w:cs="仿宋_GB2312"/>
          <w:sz w:val="32"/>
          <w:szCs w:val="32"/>
        </w:rPr>
        <w:t>六</w:t>
      </w:r>
      <w:r>
        <w:rPr>
          <w:rFonts w:ascii="仿宋_GB2312" w:hAnsi="仿宋" w:eastAsia="仿宋_GB2312" w:cs="仿宋_GB2312"/>
          <w:sz w:val="32"/>
          <w:szCs w:val="32"/>
        </w:rPr>
        <w:t>）</w:t>
      </w:r>
      <w:r>
        <w:rPr>
          <w:rFonts w:hint="eastAsia" w:ascii="仿宋_GB2312" w:hAnsi="仿宋" w:eastAsia="仿宋_GB2312" w:cs="仿宋_GB2312"/>
          <w:sz w:val="32"/>
          <w:szCs w:val="32"/>
        </w:rPr>
        <w:t>供气、供热、供冷系统的质量缺陷。</w:t>
      </w:r>
    </w:p>
    <w:p>
      <w:pPr>
        <w:spacing w:line="56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w:t>
      </w:r>
      <w:r>
        <w:rPr>
          <w:rFonts w:hint="eastAsia" w:ascii="仿宋_GB2312" w:hAnsi="仿宋" w:eastAsia="仿宋_GB2312" w:cs="仿宋_GB2312"/>
          <w:sz w:val="32"/>
          <w:szCs w:val="32"/>
        </w:rPr>
        <w:t>七）其他经投保人和保险人双方约定的内容。</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保险赔偿责任期限</w:t>
      </w:r>
      <w:r>
        <w:rPr>
          <w:rFonts w:hint="eastAsia" w:ascii="仿宋_GB2312" w:eastAsia="仿宋_GB2312"/>
          <w:sz w:val="32"/>
          <w:szCs w:val="32"/>
        </w:rPr>
        <w:t>自工程缺陷责任期结束之日起算</w:t>
      </w:r>
      <w:r>
        <w:rPr>
          <w:rFonts w:hint="eastAsia" w:ascii="仿宋_GB2312" w:hAnsi="仿宋" w:eastAsia="仿宋_GB2312" w:cs="仿宋_GB2312"/>
          <w:sz w:val="32"/>
          <w:szCs w:val="32"/>
        </w:rPr>
        <w:t>，保险期限分别为：第（一）至（三）项为十年；第（四）项为五年；第（五）、（六）项为两年。第（七）项为约定的保险期。保险赔偿责任期限可以由双方协商进行延长，到期后可以续保。</w:t>
      </w:r>
    </w:p>
    <w:p>
      <w:pPr>
        <w:spacing w:line="56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自愿投保的</w:t>
      </w:r>
      <w:r>
        <w:rPr>
          <w:rFonts w:hint="eastAsia" w:ascii="仿宋_GB2312" w:hAnsi="仿宋" w:eastAsia="仿宋_GB2312" w:cs="仿宋_GB2312"/>
          <w:sz w:val="32"/>
          <w:szCs w:val="32"/>
        </w:rPr>
        <w:t>市政</w:t>
      </w:r>
      <w:r>
        <w:rPr>
          <w:rFonts w:ascii="仿宋_GB2312" w:hAnsi="仿宋" w:eastAsia="仿宋_GB2312" w:cs="仿宋_GB2312"/>
          <w:sz w:val="32"/>
          <w:szCs w:val="32"/>
        </w:rPr>
        <w:t>工程可由投保人和保险人协商约定</w:t>
      </w:r>
      <w:r>
        <w:rPr>
          <w:rFonts w:hint="eastAsia" w:ascii="仿宋_GB2312" w:hAnsi="仿宋" w:eastAsia="仿宋_GB2312" w:cs="仿宋_GB2312"/>
          <w:sz w:val="32"/>
          <w:szCs w:val="32"/>
        </w:rPr>
        <w:t>保险</w:t>
      </w:r>
      <w:r>
        <w:rPr>
          <w:rFonts w:ascii="仿宋_GB2312" w:hAnsi="仿宋" w:eastAsia="仿宋_GB2312" w:cs="仿宋_GB2312"/>
          <w:sz w:val="32"/>
          <w:szCs w:val="32"/>
        </w:rPr>
        <w:t>范围和期限</w:t>
      </w:r>
      <w:r>
        <w:rPr>
          <w:rFonts w:hint="eastAsia" w:ascii="仿宋_GB2312" w:hAnsi="仿宋" w:eastAsia="仿宋_GB2312" w:cs="仿宋_GB2312"/>
          <w:sz w:val="32"/>
          <w:szCs w:val="32"/>
        </w:rPr>
        <w:t>。</w:t>
      </w:r>
    </w:p>
    <w:p>
      <w:pPr>
        <w:spacing w:line="560" w:lineRule="exact"/>
        <w:ind w:firstLine="640" w:firstLineChars="200"/>
        <w:rPr>
          <w:rFonts w:ascii="仿宋_GB2312" w:hAnsi="仿宋" w:eastAsia="仿宋_GB2312" w:cs="仿宋_GB2312"/>
          <w:sz w:val="32"/>
          <w:szCs w:val="32"/>
        </w:rPr>
      </w:pPr>
      <w:r>
        <w:rPr>
          <w:rFonts w:hint="eastAsia" w:ascii="楷体" w:hAnsi="楷体" w:eastAsia="楷体" w:cs="楷体"/>
          <w:bCs/>
          <w:sz w:val="32"/>
          <w:szCs w:val="32"/>
        </w:rPr>
        <w:t>第六条 【除外责任】</w:t>
      </w:r>
      <w:r>
        <w:rPr>
          <w:rFonts w:hint="eastAsia" w:ascii="仿宋_GB2312" w:hAnsi="仿宋" w:eastAsia="仿宋_GB2312" w:cs="仿宋_GB2312"/>
          <w:sz w:val="32"/>
          <w:szCs w:val="32"/>
        </w:rPr>
        <w:t>因使用不当或第三方、不可抗力造成的质量问题，不属于保险责任范围。</w:t>
      </w:r>
    </w:p>
    <w:p>
      <w:pPr>
        <w:spacing w:line="560" w:lineRule="exact"/>
        <w:ind w:firstLine="640" w:firstLineChars="200"/>
        <w:rPr>
          <w:rFonts w:ascii="仿宋_GB2312" w:hAnsi="仿宋" w:eastAsia="仿宋_GB2312"/>
          <w:sz w:val="32"/>
        </w:rPr>
      </w:pPr>
      <w:r>
        <w:rPr>
          <w:rFonts w:hint="eastAsia" w:ascii="楷体" w:hAnsi="楷体" w:eastAsia="楷体" w:cs="楷体"/>
          <w:bCs/>
          <w:sz w:val="32"/>
          <w:szCs w:val="32"/>
        </w:rPr>
        <w:t>第七条 【赔偿额度】</w:t>
      </w:r>
      <w:r>
        <w:rPr>
          <w:rFonts w:hint="eastAsia" w:ascii="仿宋_GB2312" w:hAnsi="仿宋" w:eastAsia="仿宋_GB2312"/>
          <w:sz w:val="32"/>
        </w:rPr>
        <w:t>工程质量潜在缺陷保险的赔偿额度为质量缺陷导致产生修复或重建所涉及工程内容的工程总造价，以及必要且合理的安置费用。保险事故发生后，被保险人为防止或减少保险标的的损失所支付的必要的、合理的费用，由保险人承担。工程质量潜在缺陷保险的免赔额为零。</w:t>
      </w:r>
    </w:p>
    <w:p>
      <w:pPr>
        <w:spacing w:line="560" w:lineRule="exact"/>
        <w:jc w:val="center"/>
        <w:outlineLvl w:val="0"/>
        <w:rPr>
          <w:rFonts w:ascii="黑体" w:hAnsi="黑体" w:eastAsia="黑体" w:cs="黑体"/>
          <w:bCs/>
          <w:sz w:val="32"/>
          <w:szCs w:val="32"/>
        </w:rPr>
      </w:pPr>
      <w:r>
        <w:rPr>
          <w:rFonts w:hint="eastAsia" w:ascii="黑体" w:hAnsi="黑体" w:eastAsia="黑体" w:cs="黑体"/>
          <w:bCs/>
          <w:sz w:val="32"/>
          <w:szCs w:val="32"/>
        </w:rPr>
        <w:t>第三章  投保</w:t>
      </w:r>
    </w:p>
    <w:p>
      <w:pPr>
        <w:spacing w:line="560" w:lineRule="exact"/>
        <w:ind w:firstLine="640" w:firstLineChars="200"/>
        <w:rPr>
          <w:rFonts w:ascii="仿宋_GB2312" w:eastAsia="仿宋_GB2312"/>
          <w:sz w:val="32"/>
          <w:szCs w:val="32"/>
        </w:rPr>
      </w:pPr>
      <w:r>
        <w:rPr>
          <w:rFonts w:hint="eastAsia" w:ascii="楷体" w:hAnsi="楷体" w:eastAsia="楷体" w:cs="楷体"/>
          <w:bCs/>
          <w:sz w:val="32"/>
          <w:szCs w:val="32"/>
        </w:rPr>
        <w:t>第八条 【投保主体】</w:t>
      </w:r>
      <w:r>
        <w:rPr>
          <w:rFonts w:hint="eastAsia" w:ascii="仿宋_GB2312" w:eastAsia="仿宋_GB2312"/>
          <w:sz w:val="32"/>
          <w:szCs w:val="32"/>
        </w:rPr>
        <w:t>强化建设单位首要责任，由建设单位（或代建单位，以下同）投保工程质量潜在缺陷保险，被保险人是所有权人。</w:t>
      </w:r>
    </w:p>
    <w:p>
      <w:pPr>
        <w:spacing w:line="560" w:lineRule="exact"/>
        <w:ind w:firstLine="640" w:firstLineChars="200"/>
        <w:rPr>
          <w:rFonts w:ascii="仿宋_GB2312" w:hAnsi="仿宋" w:eastAsia="仿宋_GB2312"/>
          <w:sz w:val="32"/>
        </w:rPr>
      </w:pPr>
      <w:r>
        <w:rPr>
          <w:rFonts w:hint="eastAsia" w:ascii="楷体" w:hAnsi="楷体" w:eastAsia="楷体" w:cs="楷体"/>
          <w:bCs/>
          <w:sz w:val="32"/>
          <w:szCs w:val="32"/>
        </w:rPr>
        <w:t>第九条 【投保时间】</w:t>
      </w:r>
      <w:r>
        <w:rPr>
          <w:rFonts w:ascii="仿宋_GB2312" w:eastAsia="仿宋_GB2312"/>
          <w:sz w:val="32"/>
          <w:szCs w:val="32"/>
        </w:rPr>
        <w:t>投保工程质量</w:t>
      </w:r>
      <w:r>
        <w:rPr>
          <w:rFonts w:hint="eastAsia" w:ascii="仿宋_GB2312" w:eastAsia="仿宋_GB2312"/>
          <w:sz w:val="32"/>
          <w:szCs w:val="32"/>
        </w:rPr>
        <w:t>潜在缺陷保险的项目，原则上应在勘察设计阶段投保，最晚不得迟于施工许可申办时间。建设单位应在区工程质量潜在缺陷保险的保险公司名录中选择保险公司，签订《工程质量潜在缺陷保险合同》(包括投保单、保险单等，以下简称“保险合同”)。保障性住房、人才住房项目在向行政主管部门申</w:t>
      </w:r>
      <w:r>
        <w:rPr>
          <w:rFonts w:hint="eastAsia" w:ascii="仿宋_GB2312" w:hAnsi="仿宋" w:eastAsia="仿宋_GB2312"/>
          <w:sz w:val="32"/>
        </w:rPr>
        <w:t>办施工许可手续时，应当出示保险合同和缴费发票。</w:t>
      </w:r>
    </w:p>
    <w:p>
      <w:pPr>
        <w:spacing w:line="560" w:lineRule="exact"/>
        <w:ind w:firstLine="640" w:firstLineChars="200"/>
        <w:rPr>
          <w:rFonts w:ascii="仿宋_GB2312" w:hAnsi="仿宋" w:eastAsia="仿宋_GB2312" w:cs="仿宋_GB2312"/>
          <w:sz w:val="32"/>
          <w:szCs w:val="32"/>
        </w:rPr>
      </w:pPr>
      <w:r>
        <w:rPr>
          <w:rFonts w:hint="eastAsia" w:ascii="楷体" w:hAnsi="楷体" w:eastAsia="楷体" w:cs="楷体"/>
          <w:bCs/>
          <w:sz w:val="32"/>
          <w:szCs w:val="32"/>
        </w:rPr>
        <w:t>第十条 【保险费用】</w:t>
      </w:r>
      <w:r>
        <w:rPr>
          <w:rFonts w:hint="eastAsia" w:ascii="仿宋_GB2312" w:hAnsi="仿宋" w:eastAsia="仿宋_GB2312" w:cs="仿宋_GB2312"/>
          <w:sz w:val="32"/>
          <w:szCs w:val="32"/>
        </w:rPr>
        <w:t>工程质量潜在缺陷保险的保险金额为工程项目的建安工程总造价。</w:t>
      </w:r>
      <w:r>
        <w:rPr>
          <w:rFonts w:hint="eastAsia" w:ascii="仿宋_GB2312" w:eastAsia="仿宋_GB2312"/>
          <w:sz w:val="32"/>
          <w:szCs w:val="32"/>
        </w:rPr>
        <w:t>保障性住房、人才住房</w:t>
      </w:r>
      <w:r>
        <w:rPr>
          <w:rFonts w:hint="eastAsia" w:ascii="仿宋_GB2312" w:hAnsi="仿宋" w:eastAsia="仿宋_GB2312" w:cs="仿宋_GB2312"/>
          <w:sz w:val="32"/>
          <w:szCs w:val="32"/>
        </w:rPr>
        <w:t>的保费费率为</w:t>
      </w:r>
      <w:r>
        <w:rPr>
          <w:rFonts w:ascii="仿宋_GB2312" w:hAnsi="仿宋" w:eastAsia="仿宋_GB2312" w:cs="仿宋_GB2312"/>
          <w:sz w:val="32"/>
          <w:szCs w:val="32"/>
        </w:rPr>
        <w:t>1.25%</w:t>
      </w:r>
      <w:r>
        <w:rPr>
          <w:rFonts w:hint="eastAsia" w:ascii="仿宋_GB2312" w:hAnsi="仿宋" w:eastAsia="仿宋_GB2312" w:cs="仿宋_GB2312"/>
          <w:sz w:val="32"/>
          <w:szCs w:val="32"/>
        </w:rPr>
        <w:t>，其他房屋建筑的保费费率不得超过</w:t>
      </w:r>
      <w:r>
        <w:rPr>
          <w:rFonts w:ascii="仿宋_GB2312" w:hAnsi="仿宋" w:eastAsia="仿宋_GB2312" w:cs="仿宋_GB2312"/>
          <w:sz w:val="32"/>
          <w:szCs w:val="32"/>
        </w:rPr>
        <w:t>1.8%</w:t>
      </w:r>
      <w:r>
        <w:rPr>
          <w:rFonts w:hint="eastAsia" w:ascii="仿宋_GB2312" w:hAnsi="仿宋" w:eastAsia="仿宋_GB2312" w:cs="仿宋_GB2312"/>
          <w:sz w:val="32"/>
          <w:szCs w:val="32"/>
        </w:rPr>
        <w:t>，</w:t>
      </w:r>
      <w:r>
        <w:rPr>
          <w:rFonts w:ascii="仿宋_GB2312" w:hAnsi="仿宋" w:eastAsia="仿宋_GB2312" w:cs="仿宋_GB2312"/>
          <w:sz w:val="32"/>
          <w:szCs w:val="32"/>
        </w:rPr>
        <w:t>市政工程</w:t>
      </w:r>
      <w:r>
        <w:rPr>
          <w:rFonts w:hint="eastAsia" w:ascii="仿宋_GB2312" w:hAnsi="仿宋" w:eastAsia="仿宋_GB2312" w:cs="仿宋_GB2312"/>
          <w:sz w:val="32"/>
          <w:szCs w:val="32"/>
        </w:rPr>
        <w:t>保费费率由投保人和保险人根据工程情况一单一议。工程质量潜在缺陷保险的保险费列入建设成本。</w:t>
      </w:r>
    </w:p>
    <w:p>
      <w:pPr>
        <w:spacing w:line="560" w:lineRule="exact"/>
        <w:ind w:firstLine="640" w:firstLineChars="200"/>
        <w:rPr>
          <w:rFonts w:ascii="仿宋_GB2312" w:hAnsi="仿宋" w:eastAsia="仿宋_GB2312" w:cs="仿宋_GB2312"/>
          <w:b/>
          <w:bCs/>
          <w:sz w:val="32"/>
          <w:szCs w:val="32"/>
        </w:rPr>
      </w:pPr>
      <w:r>
        <w:rPr>
          <w:rFonts w:hint="eastAsia" w:ascii="仿宋_GB2312" w:hAnsi="仿宋" w:eastAsia="仿宋_GB2312" w:cs="仿宋_GB2312"/>
          <w:b/>
          <w:bCs/>
          <w:sz w:val="32"/>
          <w:szCs w:val="32"/>
        </w:rPr>
        <w:t>保费费率由保险公司与投保方根据工程风险程度和参建单位诚信情况，结合市场状况，在保险合同中具体约定。积极推行与投保单位的以往投保史、出险情况、管理水平等因素相挂钩的费率浮动机制，探索建立多方参与的质量监管与保险良性互动的工程质量管理体系。</w:t>
      </w:r>
    </w:p>
    <w:p>
      <w:pPr>
        <w:spacing w:line="560" w:lineRule="exact"/>
        <w:ind w:firstLine="640" w:firstLineChars="200"/>
        <w:rPr>
          <w:rFonts w:ascii="仿宋_GB2312" w:hAnsi="仿宋" w:eastAsia="仿宋_GB2312" w:cs="仿宋_GB2312"/>
          <w:sz w:val="32"/>
          <w:szCs w:val="32"/>
        </w:rPr>
      </w:pPr>
      <w:r>
        <w:rPr>
          <w:rFonts w:hint="eastAsia" w:ascii="楷体" w:hAnsi="楷体" w:eastAsia="楷体" w:cs="楷体"/>
          <w:bCs/>
          <w:sz w:val="32"/>
          <w:szCs w:val="32"/>
        </w:rPr>
        <w:t>第十一条 【风险管理】</w:t>
      </w:r>
      <w:r>
        <w:rPr>
          <w:rFonts w:hint="eastAsia" w:ascii="仿宋" w:hAnsi="仿宋" w:eastAsia="仿宋"/>
          <w:sz w:val="32"/>
          <w:szCs w:val="32"/>
        </w:rPr>
        <w:t>保险公司应当在签订保险合同后的10个工作日内从TIS机构名录中选择TIS机构并签订书面委托</w:t>
      </w:r>
      <w:r>
        <w:rPr>
          <w:rFonts w:ascii="仿宋" w:hAnsi="仿宋" w:eastAsia="仿宋"/>
          <w:sz w:val="32"/>
          <w:szCs w:val="32"/>
        </w:rPr>
        <w:t>合同</w:t>
      </w:r>
      <w:r>
        <w:rPr>
          <w:rFonts w:hint="eastAsia" w:ascii="仿宋" w:hAnsi="仿宋" w:eastAsia="仿宋"/>
          <w:sz w:val="32"/>
          <w:szCs w:val="32"/>
        </w:rPr>
        <w:t>，</w:t>
      </w:r>
      <w:r>
        <w:rPr>
          <w:rFonts w:hint="eastAsia" w:ascii="仿宋_GB2312" w:hAnsi="仿宋" w:eastAsia="仿宋_GB2312" w:cs="仿宋_GB2312"/>
          <w:sz w:val="32"/>
          <w:szCs w:val="32"/>
        </w:rPr>
        <w:t>TIS机构对保险责任内容实施风险管理。TIS机构应具备独立性，不得与工程项目的各参建单位（包括其上级单位、集团公司）有关联关系。保险公司应当按不低于保费收入</w:t>
      </w:r>
      <w:r>
        <w:rPr>
          <w:rFonts w:ascii="仿宋_GB2312" w:hAnsi="仿宋" w:eastAsia="仿宋_GB2312" w:cs="仿宋_GB2312"/>
          <w:sz w:val="32"/>
          <w:szCs w:val="32"/>
        </w:rPr>
        <w:t>20%</w:t>
      </w:r>
      <w:r>
        <w:rPr>
          <w:rFonts w:hint="eastAsia" w:ascii="仿宋_GB2312" w:hAnsi="仿宋" w:eastAsia="仿宋_GB2312" w:cs="仿宋_GB2312"/>
          <w:sz w:val="32"/>
          <w:szCs w:val="32"/>
        </w:rPr>
        <w:t>的比例安排工程质量风险管理服务，保险公司在支付不低于</w:t>
      </w:r>
      <w:r>
        <w:rPr>
          <w:rFonts w:ascii="仿宋_GB2312" w:hAnsi="仿宋" w:eastAsia="仿宋_GB2312" w:cs="仿宋_GB2312"/>
          <w:sz w:val="32"/>
          <w:szCs w:val="32"/>
        </w:rPr>
        <w:t>TIS</w:t>
      </w:r>
      <w:r>
        <w:rPr>
          <w:rFonts w:hint="eastAsia" w:ascii="仿宋_GB2312" w:hAnsi="仿宋" w:eastAsia="仿宋_GB2312" w:cs="仿宋_GB2312"/>
          <w:sz w:val="32"/>
          <w:szCs w:val="32"/>
        </w:rPr>
        <w:t>服务费</w:t>
      </w:r>
      <w:r>
        <w:rPr>
          <w:rFonts w:ascii="仿宋_GB2312" w:hAnsi="仿宋" w:eastAsia="仿宋_GB2312" w:cs="仿宋_GB2312"/>
          <w:sz w:val="32"/>
          <w:szCs w:val="32"/>
        </w:rPr>
        <w:t>30%</w:t>
      </w:r>
      <w:r>
        <w:rPr>
          <w:rFonts w:hint="eastAsia" w:ascii="仿宋_GB2312" w:hAnsi="仿宋" w:eastAsia="仿宋_GB2312" w:cs="仿宋_GB2312"/>
          <w:sz w:val="32"/>
          <w:szCs w:val="32"/>
        </w:rPr>
        <w:t>的预付款后，应当根据工程进度支付TIS服务费用。</w:t>
      </w:r>
    </w:p>
    <w:p>
      <w:pPr>
        <w:spacing w:line="560" w:lineRule="exact"/>
        <w:ind w:firstLine="640" w:firstLineChars="200"/>
        <w:rPr>
          <w:rFonts w:ascii="仿宋_GB2312" w:eastAsia="仿宋_GB2312"/>
          <w:b/>
          <w:bCs/>
          <w:sz w:val="32"/>
          <w:szCs w:val="32"/>
        </w:rPr>
      </w:pPr>
      <w:r>
        <w:rPr>
          <w:rFonts w:hint="eastAsia" w:ascii="仿宋_GB2312" w:eastAsia="仿宋_GB2312"/>
          <w:b/>
          <w:bCs/>
          <w:sz w:val="32"/>
          <w:szCs w:val="32"/>
        </w:rPr>
        <w:t>TIS机构</w:t>
      </w:r>
      <w:r>
        <w:rPr>
          <w:rFonts w:hint="eastAsia" w:ascii="仿宋_GB2312" w:eastAsia="仿宋_GB2312"/>
          <w:b/>
          <w:bCs/>
          <w:sz w:val="32"/>
          <w:szCs w:val="32"/>
          <w:lang w:eastAsia="zh-CN"/>
        </w:rPr>
        <w:t>具备监理资质的，</w:t>
      </w:r>
      <w:r>
        <w:rPr>
          <w:rFonts w:hint="eastAsia" w:ascii="仿宋_GB2312" w:eastAsia="仿宋_GB2312"/>
          <w:b/>
          <w:bCs/>
          <w:sz w:val="32"/>
          <w:szCs w:val="32"/>
        </w:rPr>
        <w:t>经建设单位、保险公司、TIS机构协商一致并报区</w:t>
      </w:r>
      <w:r>
        <w:rPr>
          <w:rFonts w:hint="eastAsia" w:ascii="仿宋_GB2312" w:eastAsia="仿宋_GB2312"/>
          <w:b/>
          <w:bCs/>
          <w:sz w:val="32"/>
          <w:szCs w:val="32"/>
          <w:lang w:eastAsia="zh-CN"/>
        </w:rPr>
        <w:t>建设行政主管</w:t>
      </w:r>
      <w:r>
        <w:rPr>
          <w:rFonts w:hint="eastAsia" w:ascii="仿宋_GB2312" w:eastAsia="仿宋_GB2312"/>
          <w:b/>
          <w:bCs/>
          <w:sz w:val="32"/>
          <w:szCs w:val="32"/>
        </w:rPr>
        <w:t>部门批准</w:t>
      </w:r>
      <w:r>
        <w:rPr>
          <w:rFonts w:hint="eastAsia" w:ascii="仿宋_GB2312" w:eastAsia="仿宋_GB2312"/>
          <w:b/>
          <w:bCs/>
          <w:sz w:val="32"/>
          <w:szCs w:val="32"/>
          <w:lang w:eastAsia="zh-CN"/>
        </w:rPr>
        <w:t>，</w:t>
      </w:r>
      <w:r>
        <w:rPr>
          <w:rFonts w:hint="eastAsia" w:ascii="仿宋_GB2312" w:eastAsia="仿宋_GB2312"/>
          <w:b/>
          <w:bCs/>
          <w:sz w:val="32"/>
          <w:szCs w:val="32"/>
        </w:rPr>
        <w:t>可</w:t>
      </w:r>
      <w:r>
        <w:rPr>
          <w:rFonts w:hint="eastAsia" w:ascii="仿宋_GB2312" w:eastAsia="仿宋_GB2312"/>
          <w:b/>
          <w:bCs/>
          <w:sz w:val="32"/>
          <w:szCs w:val="32"/>
          <w:lang w:eastAsia="zh-CN"/>
        </w:rPr>
        <w:t>试点</w:t>
      </w:r>
      <w:r>
        <w:rPr>
          <w:rFonts w:hint="eastAsia" w:ascii="仿宋_GB2312" w:eastAsia="仿宋_GB2312"/>
          <w:b/>
          <w:bCs/>
          <w:sz w:val="32"/>
          <w:szCs w:val="32"/>
        </w:rPr>
        <w:t>由保险公司委托TIS机构承担监理职责。保费和T</w:t>
      </w:r>
      <w:r>
        <w:rPr>
          <w:rFonts w:ascii="仿宋_GB2312" w:eastAsia="仿宋_GB2312"/>
          <w:b/>
          <w:bCs/>
          <w:sz w:val="32"/>
          <w:szCs w:val="32"/>
        </w:rPr>
        <w:t>IS费用可</w:t>
      </w:r>
      <w:r>
        <w:rPr>
          <w:rFonts w:hint="eastAsia" w:ascii="仿宋_GB2312" w:eastAsia="仿宋_GB2312"/>
          <w:b/>
          <w:bCs/>
          <w:sz w:val="32"/>
          <w:szCs w:val="32"/>
        </w:rPr>
        <w:t>参考</w:t>
      </w:r>
      <w:r>
        <w:rPr>
          <w:rFonts w:ascii="仿宋_GB2312" w:eastAsia="仿宋_GB2312"/>
          <w:b/>
          <w:bCs/>
          <w:sz w:val="32"/>
          <w:szCs w:val="32"/>
        </w:rPr>
        <w:t>监理费用标准协商约定</w:t>
      </w:r>
      <w:r>
        <w:rPr>
          <w:rFonts w:hint="eastAsia" w:ascii="仿宋_GB2312" w:eastAsia="仿宋_GB2312"/>
          <w:b/>
          <w:bCs/>
          <w:sz w:val="32"/>
          <w:szCs w:val="32"/>
        </w:rPr>
        <w:t>。</w:t>
      </w:r>
    </w:p>
    <w:p>
      <w:pPr>
        <w:ind w:firstLine="640" w:firstLineChars="200"/>
        <w:rPr>
          <w:rFonts w:ascii="仿宋" w:hAnsi="仿宋" w:eastAsia="仿宋"/>
          <w:sz w:val="32"/>
          <w:szCs w:val="32"/>
        </w:rPr>
      </w:pPr>
      <w:r>
        <w:rPr>
          <w:rFonts w:hint="eastAsia" w:ascii="楷体" w:hAnsi="楷体" w:eastAsia="楷体" w:cs="楷体"/>
          <w:bCs/>
          <w:sz w:val="32"/>
          <w:szCs w:val="32"/>
        </w:rPr>
        <w:t>第十二条 【风险检查】</w:t>
      </w:r>
      <w:r>
        <w:rPr>
          <w:rFonts w:hint="eastAsia" w:ascii="仿宋_GB2312" w:hAnsi="仿宋" w:eastAsia="仿宋_GB2312" w:cs="仿宋_GB2312"/>
          <w:sz w:val="32"/>
          <w:szCs w:val="32"/>
        </w:rPr>
        <w:t>保险公司应当向TIS机构出具《工程质量潜在缺陷保险风险管理授权书》（以下简称“授权书”），同时抄送建设单位。</w:t>
      </w:r>
      <w:r>
        <w:rPr>
          <w:rFonts w:hint="eastAsia" w:ascii="仿宋" w:hAnsi="仿宋" w:eastAsia="仿宋"/>
          <w:sz w:val="32"/>
          <w:szCs w:val="32"/>
        </w:rPr>
        <w:t>建设单位应当要求各参建单位配合TIS工作并提供便利条件。</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TIS机构应当根据保险责任内容按保险合同约定条款对工程开展施工过程风险检查，形成过程风险检查报告。检查过程不得恶意影响现场施工进度。工程完工后TIS机构应当及时进行最终检查并形成最终风险检查报告。</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建设单位接到过程风险检查报告和最终风险检查报告后，应当责成施工单位及时整改质量缺陷问题，监理单位应当督促施工单位整改质量缺陷。施工单位拒不整改或者整改不力的，监理单位应当报告建设单位</w:t>
      </w:r>
      <w:r>
        <w:rPr>
          <w:rFonts w:hint="eastAsia" w:ascii="仿宋" w:hAnsi="仿宋" w:eastAsia="仿宋"/>
          <w:sz w:val="32"/>
          <w:szCs w:val="32"/>
        </w:rPr>
        <w:t>，并抄送保险公司</w:t>
      </w:r>
      <w:r>
        <w:rPr>
          <w:rFonts w:hint="eastAsia" w:ascii="仿宋_GB2312" w:hAnsi="仿宋" w:eastAsia="仿宋_GB2312" w:cs="仿宋_GB2312"/>
          <w:sz w:val="32"/>
          <w:szCs w:val="32"/>
        </w:rPr>
        <w:t>。施工单位完成整改前，建设单位不得同意通过相关验收。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有确切证据证明存在质量缺陷且相关责任单位拒不整改的，保险公司或T</w:t>
      </w:r>
      <w:r>
        <w:rPr>
          <w:rFonts w:ascii="仿宋" w:hAnsi="仿宋" w:eastAsia="仿宋"/>
          <w:sz w:val="32"/>
          <w:szCs w:val="32"/>
        </w:rPr>
        <w:t>IS机构有权报告区住建主管部门</w:t>
      </w:r>
      <w:r>
        <w:rPr>
          <w:rFonts w:hint="eastAsia" w:ascii="仿宋" w:hAnsi="仿宋" w:eastAsia="仿宋"/>
          <w:sz w:val="32"/>
          <w:szCs w:val="32"/>
        </w:rPr>
        <w:t>。</w:t>
      </w:r>
    </w:p>
    <w:p>
      <w:pPr>
        <w:spacing w:line="560" w:lineRule="exact"/>
        <w:ind w:firstLine="640" w:firstLineChars="200"/>
        <w:rPr>
          <w:rFonts w:ascii="仿宋_GB2312" w:hAnsi="仿宋" w:eastAsia="仿宋_GB2312"/>
          <w:sz w:val="32"/>
        </w:rPr>
      </w:pPr>
      <w:r>
        <w:rPr>
          <w:rFonts w:hint="eastAsia" w:ascii="楷体" w:hAnsi="楷体" w:eastAsia="楷体" w:cs="楷体"/>
          <w:bCs/>
          <w:sz w:val="32"/>
          <w:szCs w:val="32"/>
        </w:rPr>
        <w:t>第十三条 【质量争议鉴定】</w:t>
      </w:r>
      <w:r>
        <w:rPr>
          <w:rFonts w:hint="eastAsia" w:ascii="仿宋_GB2312" w:hAnsi="仿宋" w:eastAsia="仿宋_GB2312" w:cs="仿宋_GB2312"/>
          <w:sz w:val="32"/>
          <w:szCs w:val="32"/>
        </w:rPr>
        <w:t>各参建责任方与TIS机构就工程质量缺陷的认定发生争议的，可委托共同认可的工程质量鉴定机构进行鉴定。</w:t>
      </w:r>
      <w:r>
        <w:rPr>
          <w:rFonts w:hint="eastAsia" w:ascii="仿宋_GB2312" w:hAnsi="仿宋" w:eastAsia="仿宋_GB2312"/>
          <w:sz w:val="32"/>
          <w:szCs w:val="32"/>
        </w:rPr>
        <w:t>鉴定机构应当出具鉴定报告，明确鉴定结论。鉴定机构及相关负责人对出具的鉴定报告承担法律责任。</w:t>
      </w:r>
      <w:r>
        <w:rPr>
          <w:rFonts w:hint="eastAsia" w:ascii="仿宋_GB2312" w:hAnsi="仿宋" w:eastAsia="仿宋_GB2312"/>
          <w:sz w:val="32"/>
        </w:rPr>
        <w:t>经鉴定存在质量问题的</w:t>
      </w:r>
      <w:r>
        <w:rPr>
          <w:rFonts w:ascii="仿宋_GB2312" w:hAnsi="仿宋" w:eastAsia="仿宋_GB2312"/>
          <w:sz w:val="32"/>
        </w:rPr>
        <w:t>，</w:t>
      </w:r>
      <w:r>
        <w:rPr>
          <w:rFonts w:hint="eastAsia" w:ascii="仿宋_GB2312" w:hAnsi="仿宋" w:eastAsia="仿宋_GB2312"/>
          <w:sz w:val="32"/>
        </w:rPr>
        <w:t>相关责任主体承担鉴定费用；经鉴定不存在质量问题的</w:t>
      </w:r>
      <w:r>
        <w:rPr>
          <w:rFonts w:ascii="仿宋_GB2312" w:hAnsi="仿宋" w:eastAsia="仿宋_GB2312"/>
          <w:sz w:val="32"/>
        </w:rPr>
        <w:t>，</w:t>
      </w:r>
      <w:r>
        <w:rPr>
          <w:rFonts w:hint="eastAsia" w:ascii="仿宋_GB2312" w:hAnsi="仿宋" w:eastAsia="仿宋_GB2312"/>
          <w:sz w:val="32"/>
        </w:rPr>
        <w:t>保险公司承担</w:t>
      </w:r>
      <w:r>
        <w:rPr>
          <w:rFonts w:ascii="仿宋_GB2312" w:hAnsi="仿宋" w:eastAsia="仿宋_GB2312"/>
          <w:sz w:val="32"/>
        </w:rPr>
        <w:t>鉴定费用。</w:t>
      </w:r>
    </w:p>
    <w:p>
      <w:pPr>
        <w:spacing w:line="560" w:lineRule="exact"/>
        <w:ind w:firstLine="640" w:firstLineChars="200"/>
        <w:rPr>
          <w:rFonts w:ascii="仿宋_GB2312" w:hAnsi="仿宋" w:eastAsia="仿宋_GB2312"/>
          <w:sz w:val="32"/>
          <w:szCs w:val="32"/>
        </w:rPr>
      </w:pPr>
      <w:r>
        <w:rPr>
          <w:rFonts w:hint="eastAsia" w:ascii="楷体" w:hAnsi="楷体" w:eastAsia="楷体" w:cs="楷体"/>
          <w:bCs/>
          <w:sz w:val="32"/>
          <w:szCs w:val="32"/>
        </w:rPr>
        <w:t>第十四条 【合同调整】</w:t>
      </w:r>
      <w:r>
        <w:rPr>
          <w:rFonts w:hint="eastAsia" w:ascii="仿宋_GB2312" w:hAnsi="仿宋" w:eastAsia="仿宋_GB2312"/>
          <w:sz w:val="32"/>
          <w:szCs w:val="32"/>
        </w:rPr>
        <w:t>工程项目在竣工验收前，对工程质量缺陷问题已进行有效整改的，保险公司不得对保险合同进行调整。如存在严重质量缺陷，且在竣工验收时没有得到实质性整改的，建设单位不得通过竣工验收，保险公司有权解除保险合同，并退还</w:t>
      </w:r>
      <w:r>
        <w:rPr>
          <w:rFonts w:ascii="仿宋_GB2312" w:hAnsi="仿宋" w:eastAsia="仿宋_GB2312"/>
          <w:sz w:val="32"/>
          <w:szCs w:val="32"/>
        </w:rPr>
        <w:t>60%</w:t>
      </w:r>
      <w:r>
        <w:rPr>
          <w:rFonts w:hint="eastAsia" w:ascii="仿宋_GB2312" w:hAnsi="仿宋" w:eastAsia="仿宋_GB2312"/>
          <w:sz w:val="32"/>
          <w:szCs w:val="32"/>
        </w:rPr>
        <w:t>的保险费。</w:t>
      </w:r>
    </w:p>
    <w:p>
      <w:pPr>
        <w:spacing w:line="560" w:lineRule="exact"/>
        <w:ind w:firstLine="640" w:firstLineChars="200"/>
        <w:rPr>
          <w:rFonts w:ascii="仿宋_GB2312" w:hAnsi="仿宋" w:eastAsia="仿宋_GB2312"/>
          <w:sz w:val="32"/>
          <w:szCs w:val="32"/>
        </w:rPr>
      </w:pPr>
      <w:r>
        <w:rPr>
          <w:rFonts w:hint="eastAsia" w:ascii="楷体" w:hAnsi="楷体" w:eastAsia="楷体" w:cs="楷体"/>
          <w:bCs/>
          <w:sz w:val="32"/>
          <w:szCs w:val="32"/>
        </w:rPr>
        <w:t>第十五条 【保险告知】</w:t>
      </w:r>
      <w:r>
        <w:rPr>
          <w:rFonts w:hint="eastAsia" w:ascii="仿宋_GB2312" w:hAnsi="仿宋" w:eastAsia="仿宋_GB2312"/>
          <w:sz w:val="32"/>
        </w:rPr>
        <w:t>保险公司应当编制《工程质量</w:t>
      </w:r>
      <w:r>
        <w:rPr>
          <w:rFonts w:hint="eastAsia" w:ascii="仿宋_GB2312" w:hAnsi="仿宋" w:eastAsia="仿宋_GB2312"/>
          <w:sz w:val="32"/>
          <w:szCs w:val="32"/>
        </w:rPr>
        <w:t>潜在缺陷保险告知书》（以下简称“告知书”），其中应列明保险责任及理赔申请流程，并送交建设单位。对于住宅工程项目，建设单位应在交房时将《告知书》送交所有权人。</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保险期限内所有权人发生变更的，新所有权人承继原所有权人保险合同下的被保险人权益。</w:t>
      </w:r>
    </w:p>
    <w:p>
      <w:pPr>
        <w:spacing w:line="560" w:lineRule="exact"/>
        <w:jc w:val="center"/>
        <w:outlineLvl w:val="0"/>
        <w:rPr>
          <w:rFonts w:ascii="黑体" w:hAnsi="黑体" w:eastAsia="黑体" w:cs="黑体"/>
          <w:bCs/>
          <w:sz w:val="32"/>
          <w:szCs w:val="32"/>
        </w:rPr>
      </w:pPr>
      <w:r>
        <w:rPr>
          <w:rFonts w:hint="eastAsia" w:ascii="黑体" w:hAnsi="黑体" w:eastAsia="黑体" w:cs="黑体"/>
          <w:bCs/>
          <w:sz w:val="32"/>
          <w:szCs w:val="32"/>
        </w:rPr>
        <w:t>第四章  理赔</w:t>
      </w:r>
    </w:p>
    <w:p>
      <w:pPr>
        <w:spacing w:line="560" w:lineRule="exact"/>
        <w:ind w:firstLine="640" w:firstLineChars="200"/>
        <w:rPr>
          <w:rFonts w:ascii="仿宋_GB2312" w:eastAsia="仿宋_GB2312"/>
          <w:sz w:val="32"/>
          <w:szCs w:val="32"/>
        </w:rPr>
      </w:pPr>
      <w:r>
        <w:rPr>
          <w:rFonts w:hint="eastAsia" w:ascii="楷体" w:hAnsi="楷体" w:eastAsia="楷体" w:cs="楷体"/>
          <w:bCs/>
          <w:sz w:val="32"/>
          <w:szCs w:val="32"/>
        </w:rPr>
        <w:t>第十六条 【出险报案】</w:t>
      </w:r>
      <w:r>
        <w:rPr>
          <w:rFonts w:hint="eastAsia" w:ascii="仿宋_GB2312" w:eastAsia="仿宋_GB2312"/>
          <w:sz w:val="32"/>
          <w:szCs w:val="32"/>
        </w:rPr>
        <w:t>保险公司应为工程质量潜在缺陷保险设立专门的理赔服务团队和二十四小时保险服务专线电话。被保险人认为住宅发生了保险条款约定的质量问题时，可向保险公司报修。保险公司可以委托物业公司或第三方机构进行初审或报案，初步认为符合保险责任的，由服务机构统一向保险公司报案，报案时应提供保险单号、工程名称和地址、出险原因或现象、报案人联系方式、被保险人联系方式等信息。</w:t>
      </w:r>
    </w:p>
    <w:p>
      <w:pPr>
        <w:spacing w:line="560" w:lineRule="exact"/>
        <w:ind w:firstLine="640" w:firstLineChars="200"/>
        <w:rPr>
          <w:rFonts w:ascii="仿宋_GB2312" w:eastAsia="仿宋_GB2312"/>
          <w:sz w:val="32"/>
          <w:szCs w:val="32"/>
        </w:rPr>
      </w:pPr>
      <w:r>
        <w:rPr>
          <w:rFonts w:hint="eastAsia" w:ascii="楷体" w:hAnsi="楷体" w:eastAsia="楷体" w:cs="楷体"/>
          <w:bCs/>
          <w:sz w:val="32"/>
          <w:szCs w:val="32"/>
        </w:rPr>
        <w:t>第十七条 【责任核定】</w:t>
      </w:r>
      <w:r>
        <w:rPr>
          <w:rFonts w:hint="eastAsia" w:ascii="仿宋_GB2312" w:eastAsia="仿宋_GB2312"/>
          <w:sz w:val="32"/>
          <w:szCs w:val="32"/>
        </w:rPr>
        <w:t>保险公司或保险公司委托的服务机构接到报案后，应在24小时内与被保险人取得联系，初步判断案件性质后决定委托查勘方式，并在两日内前往现场查勘。保险公司确认损失属于保险责任范围内的，保险公司在收到业主索赔申请后一般应于七日内予以书面确认；情形复杂的应当在三十日内做出核定，并将核定结果通知被保险人。保险公司与被保险人之间就损失是否属于保险责任范围存有争议的，可共同委托有资质的工程质量检测机构进行鉴定并出具鉴定报告，鉴定结论属于保险责任范围的，保险公司需在鉴定报告出具后七日内予以书面确认。对不属于保险责任的，保险公司应当自做出核定之日起三日内，向被保险人发出不予赔偿通知书，并说明理由。</w:t>
      </w:r>
    </w:p>
    <w:p>
      <w:pPr>
        <w:spacing w:line="560" w:lineRule="exact"/>
        <w:ind w:firstLine="640" w:firstLineChars="200"/>
        <w:rPr>
          <w:rFonts w:ascii="仿宋" w:hAnsi="仿宋" w:eastAsia="仿宋" w:cs="宋体"/>
          <w:sz w:val="32"/>
          <w:szCs w:val="32"/>
        </w:rPr>
      </w:pPr>
      <w:r>
        <w:rPr>
          <w:rFonts w:hint="eastAsia" w:ascii="楷体" w:hAnsi="楷体" w:eastAsia="楷体" w:cs="楷体"/>
          <w:bCs/>
          <w:sz w:val="32"/>
          <w:szCs w:val="32"/>
        </w:rPr>
        <w:t>第十八条 【维修赔偿】</w:t>
      </w:r>
      <w:r>
        <w:rPr>
          <w:rFonts w:hint="eastAsia" w:ascii="仿宋" w:hAnsi="仿宋" w:eastAsia="仿宋" w:cs="宋体"/>
          <w:sz w:val="32"/>
          <w:szCs w:val="32"/>
        </w:rPr>
        <w:t xml:space="preserve">对由保险公司组织维修的，保险公司应当自与被保险人确认维修方案后三十日内开展修复工作，对需要招标组织施工的项目按照相关规定执行。对由被保险人自行维修或由物业公司提供维修服务的，保险公司按照以下时限支付赔款：赔偿金额在人民币叁拾万元（含）以下的，在双方达成赔偿协议后的七个工作日内完成支付；赔偿金额在人民币叁拾万元以上的，在双方达成赔偿协议后的十个工作日内完成支付。 </w:t>
      </w:r>
    </w:p>
    <w:p>
      <w:pPr>
        <w:spacing w:line="560" w:lineRule="exact"/>
        <w:ind w:firstLine="640" w:firstLineChars="200"/>
        <w:rPr>
          <w:rFonts w:ascii="仿宋_GB2312" w:hAnsi="仿宋" w:eastAsia="仿宋_GB2312" w:cs="仿宋_GB2312"/>
          <w:sz w:val="32"/>
          <w:szCs w:val="32"/>
        </w:rPr>
      </w:pPr>
      <w:r>
        <w:rPr>
          <w:rFonts w:hint="eastAsia" w:ascii="楷体" w:hAnsi="楷体" w:eastAsia="楷体" w:cs="楷体"/>
          <w:bCs/>
          <w:sz w:val="32"/>
          <w:szCs w:val="32"/>
        </w:rPr>
        <w:t>第十九条 【应急抢修】</w:t>
      </w:r>
      <w:r>
        <w:rPr>
          <w:rFonts w:hint="eastAsia" w:ascii="仿宋_GB2312" w:hAnsi="仿宋" w:eastAsia="仿宋_GB2312" w:cs="仿宋_GB2312"/>
          <w:sz w:val="32"/>
          <w:szCs w:val="32"/>
        </w:rPr>
        <w:t>对于严重结构安全隐患或影响基本生活且属于保险责任范围内的索赔申请，保险公司应启动快速理赔程序，组织应急抢修，同时完成现场勘查。</w:t>
      </w:r>
    </w:p>
    <w:p>
      <w:pPr>
        <w:spacing w:line="560" w:lineRule="exact"/>
        <w:ind w:firstLine="640" w:firstLineChars="200"/>
        <w:rPr>
          <w:rFonts w:ascii="仿宋_GB2312" w:eastAsia="仿宋_GB2312"/>
          <w:sz w:val="32"/>
          <w:szCs w:val="32"/>
        </w:rPr>
      </w:pPr>
      <w:r>
        <w:rPr>
          <w:rFonts w:hint="eastAsia" w:ascii="楷体" w:hAnsi="楷体" w:eastAsia="楷体" w:cs="楷体"/>
          <w:bCs/>
          <w:sz w:val="32"/>
          <w:szCs w:val="32"/>
        </w:rPr>
        <w:t>第二十条 【理赔争议解决】</w:t>
      </w:r>
      <w:r>
        <w:rPr>
          <w:rFonts w:hint="eastAsia" w:ascii="仿宋_GB2312" w:hAnsi="仿宋" w:eastAsia="仿宋_GB2312"/>
          <w:sz w:val="32"/>
        </w:rPr>
        <w:t>理赔过程中，被保险人和保险公司就赔偿存在争议</w:t>
      </w:r>
      <w:r>
        <w:rPr>
          <w:rFonts w:hint="eastAsia" w:ascii="仿宋_GB2312" w:hAnsi="仿宋" w:eastAsia="仿宋_GB2312"/>
          <w:sz w:val="32"/>
          <w:szCs w:val="32"/>
        </w:rPr>
        <w:t>时</w:t>
      </w:r>
      <w:r>
        <w:rPr>
          <w:rFonts w:hint="eastAsia" w:ascii="仿宋_GB2312" w:hAnsi="仿宋" w:eastAsia="仿宋_GB2312"/>
          <w:sz w:val="32"/>
        </w:rPr>
        <w:t>，可以委托</w:t>
      </w:r>
      <w:r>
        <w:rPr>
          <w:rFonts w:hint="eastAsia" w:ascii="仿宋_GB2312" w:hAnsi="仿宋" w:eastAsia="仿宋_GB2312"/>
          <w:sz w:val="32"/>
          <w:szCs w:val="32"/>
        </w:rPr>
        <w:t>双方共同认可的第三方</w:t>
      </w:r>
      <w:r>
        <w:rPr>
          <w:rFonts w:hint="eastAsia" w:ascii="仿宋_GB2312" w:hAnsi="仿宋" w:eastAsia="仿宋_GB2312"/>
          <w:sz w:val="32"/>
        </w:rPr>
        <w:t>工程质量鉴定机构进行鉴定。</w:t>
      </w:r>
      <w:r>
        <w:rPr>
          <w:rFonts w:hint="eastAsia" w:ascii="仿宋_GB2312" w:hAnsi="仿宋" w:eastAsia="仿宋_GB2312"/>
          <w:sz w:val="32"/>
          <w:szCs w:val="32"/>
        </w:rPr>
        <w:t>鉴定机构应当出具鉴定报告，明确鉴定结论。鉴定机构及相关负责人对出具的鉴定报告依法承担法律责任。</w:t>
      </w:r>
      <w:r>
        <w:rPr>
          <w:rFonts w:hint="eastAsia" w:ascii="仿宋_GB2312" w:hAnsi="仿宋" w:eastAsia="仿宋_GB2312"/>
          <w:sz w:val="32"/>
        </w:rPr>
        <w:t>经鉴定</w:t>
      </w:r>
      <w:r>
        <w:rPr>
          <w:rFonts w:ascii="仿宋_GB2312" w:hAnsi="仿宋" w:eastAsia="仿宋_GB2312"/>
          <w:sz w:val="32"/>
        </w:rPr>
        <w:t>存在保险责任</w:t>
      </w:r>
      <w:r>
        <w:rPr>
          <w:rFonts w:hint="eastAsia" w:ascii="仿宋_GB2312" w:hAnsi="仿宋" w:eastAsia="仿宋_GB2312"/>
          <w:sz w:val="32"/>
        </w:rPr>
        <w:t>的</w:t>
      </w:r>
      <w:r>
        <w:rPr>
          <w:rFonts w:ascii="仿宋_GB2312" w:hAnsi="仿宋" w:eastAsia="仿宋_GB2312"/>
          <w:sz w:val="32"/>
        </w:rPr>
        <w:t>，保险公司承担鉴定费用</w:t>
      </w:r>
      <w:r>
        <w:rPr>
          <w:rFonts w:hint="eastAsia" w:ascii="仿宋_GB2312" w:hAnsi="仿宋" w:eastAsia="仿宋_GB2312"/>
          <w:sz w:val="32"/>
        </w:rPr>
        <w:t>，保险公司有权对责任方进行追偿</w:t>
      </w:r>
      <w:r>
        <w:rPr>
          <w:rFonts w:ascii="仿宋_GB2312" w:hAnsi="仿宋" w:eastAsia="仿宋_GB2312"/>
          <w:sz w:val="32"/>
        </w:rPr>
        <w:t>；</w:t>
      </w:r>
      <w:r>
        <w:rPr>
          <w:rFonts w:hint="eastAsia" w:ascii="仿宋_GB2312" w:hAnsi="仿宋" w:eastAsia="仿宋_GB2312"/>
          <w:sz w:val="32"/>
        </w:rPr>
        <w:t>经鉴定</w:t>
      </w:r>
      <w:r>
        <w:rPr>
          <w:rFonts w:ascii="仿宋_GB2312" w:hAnsi="仿宋" w:eastAsia="仿宋_GB2312"/>
          <w:sz w:val="32"/>
        </w:rPr>
        <w:t>不属于保险责任范围</w:t>
      </w:r>
      <w:r>
        <w:rPr>
          <w:rFonts w:hint="eastAsia" w:ascii="仿宋_GB2312" w:hAnsi="仿宋" w:eastAsia="仿宋_GB2312"/>
          <w:sz w:val="32"/>
        </w:rPr>
        <w:t>的</w:t>
      </w:r>
      <w:r>
        <w:rPr>
          <w:rFonts w:ascii="仿宋_GB2312" w:hAnsi="仿宋" w:eastAsia="仿宋_GB2312"/>
          <w:sz w:val="32"/>
        </w:rPr>
        <w:t>，鉴定费用</w:t>
      </w:r>
      <w:r>
        <w:rPr>
          <w:rFonts w:hint="eastAsia" w:ascii="仿宋_GB2312" w:hAnsi="仿宋" w:eastAsia="仿宋_GB2312"/>
          <w:sz w:val="32"/>
        </w:rPr>
        <w:t>由被保险人承担，被保险人有权对责任方进行追偿</w:t>
      </w:r>
      <w:r>
        <w:rPr>
          <w:rFonts w:ascii="仿宋_GB2312" w:hAnsi="仿宋" w:eastAsia="仿宋_GB2312"/>
          <w:sz w:val="32"/>
        </w:rPr>
        <w:t>。</w:t>
      </w:r>
      <w:r>
        <w:rPr>
          <w:rFonts w:hint="eastAsia" w:ascii="仿宋_GB2312" w:hAnsi="仿宋" w:eastAsia="仿宋_GB2312"/>
          <w:sz w:val="32"/>
        </w:rPr>
        <w:t>争议双方对鉴定结论存有异议的，可以提请仲裁或诉讼。</w:t>
      </w:r>
    </w:p>
    <w:p>
      <w:pPr>
        <w:spacing w:line="560" w:lineRule="exact"/>
        <w:ind w:firstLine="640" w:firstLineChars="200"/>
        <w:rPr>
          <w:rFonts w:ascii="仿宋_GB2312" w:hAnsi="仿宋" w:eastAsia="仿宋_GB2312"/>
          <w:sz w:val="32"/>
        </w:rPr>
      </w:pPr>
      <w:r>
        <w:rPr>
          <w:rFonts w:hint="eastAsia" w:ascii="楷体" w:hAnsi="楷体" w:eastAsia="楷体" w:cs="楷体"/>
          <w:bCs/>
          <w:sz w:val="32"/>
          <w:szCs w:val="32"/>
        </w:rPr>
        <w:t>第二十一条 【代位追偿】</w:t>
      </w:r>
      <w:r>
        <w:rPr>
          <w:rFonts w:hint="eastAsia" w:ascii="仿宋_GB2312" w:hAnsi="仿宋" w:eastAsia="仿宋_GB2312"/>
          <w:sz w:val="32"/>
        </w:rPr>
        <w:t>保险公司在理赔后获得代位追偿权，建设单位应协助保险公司向有关责任方进行追偿。工程质量潜在缺陷保险承保的是保险范围内的经济赔偿责任，工程参建各方应当承担的其余责任，不因工程投保工程质量潜在缺陷保险而免责。</w:t>
      </w:r>
    </w:p>
    <w:p>
      <w:pPr>
        <w:spacing w:line="560" w:lineRule="exact"/>
        <w:jc w:val="center"/>
        <w:outlineLvl w:val="0"/>
        <w:rPr>
          <w:rFonts w:ascii="黑体" w:hAnsi="黑体" w:eastAsia="黑体" w:cs="黑体"/>
          <w:bCs/>
          <w:sz w:val="32"/>
          <w:szCs w:val="32"/>
        </w:rPr>
      </w:pPr>
      <w:r>
        <w:rPr>
          <w:rFonts w:hint="eastAsia" w:ascii="黑体" w:hAnsi="黑体" w:eastAsia="黑体" w:cs="黑体"/>
          <w:bCs/>
          <w:sz w:val="32"/>
          <w:szCs w:val="32"/>
        </w:rPr>
        <w:t>第</w:t>
      </w:r>
      <w:r>
        <w:rPr>
          <w:rFonts w:ascii="黑体" w:hAnsi="黑体" w:eastAsia="黑体" w:cs="黑体"/>
          <w:bCs/>
          <w:sz w:val="32"/>
          <w:szCs w:val="32"/>
        </w:rPr>
        <w:t>五</w:t>
      </w:r>
      <w:r>
        <w:rPr>
          <w:rFonts w:hint="eastAsia" w:ascii="黑体" w:hAnsi="黑体" w:eastAsia="黑体" w:cs="黑体"/>
          <w:bCs/>
          <w:sz w:val="32"/>
          <w:szCs w:val="32"/>
        </w:rPr>
        <w:t>章  配套措施</w:t>
      </w:r>
    </w:p>
    <w:p>
      <w:pPr>
        <w:spacing w:line="560" w:lineRule="exact"/>
        <w:ind w:firstLine="640" w:firstLineChars="200"/>
        <w:rPr>
          <w:rFonts w:ascii="仿宋_GB2312" w:hAnsi="仿宋" w:eastAsia="仿宋_GB2312" w:cs="仿宋_GB2312"/>
          <w:sz w:val="32"/>
          <w:szCs w:val="32"/>
        </w:rPr>
      </w:pPr>
      <w:r>
        <w:rPr>
          <w:rFonts w:hint="eastAsia" w:ascii="楷体" w:hAnsi="楷体" w:eastAsia="楷体" w:cs="楷体"/>
          <w:bCs/>
          <w:sz w:val="32"/>
          <w:szCs w:val="32"/>
        </w:rPr>
        <w:t>第二十二条 【机构管理】</w:t>
      </w:r>
      <w:r>
        <w:rPr>
          <w:rFonts w:hint="eastAsia" w:ascii="仿宋_GB2312" w:hAnsi="仿宋" w:eastAsia="仿宋_GB2312" w:cs="仿宋_GB2312"/>
          <w:sz w:val="32"/>
          <w:szCs w:val="32"/>
        </w:rPr>
        <w:t>为保证实施效果，参考国外经验，</w:t>
      </w:r>
      <w:r>
        <w:rPr>
          <w:rFonts w:hint="eastAsia" w:ascii="仿宋_GB2312" w:eastAsia="仿宋_GB2312"/>
          <w:sz w:val="32"/>
          <w:szCs w:val="32"/>
        </w:rPr>
        <w:t>建立区工程质量潜在缺陷保险的</w:t>
      </w:r>
      <w:r>
        <w:rPr>
          <w:rFonts w:hint="eastAsia" w:ascii="仿宋_GB2312" w:hAnsi="仿宋" w:eastAsia="仿宋_GB2312" w:cs="仿宋_GB2312"/>
          <w:sz w:val="32"/>
          <w:szCs w:val="32"/>
        </w:rPr>
        <w:t>保险公司</w:t>
      </w:r>
      <w:r>
        <w:rPr>
          <w:rFonts w:hint="eastAsia" w:ascii="仿宋_GB2312" w:eastAsia="仿宋_GB2312"/>
          <w:sz w:val="32"/>
          <w:szCs w:val="32"/>
        </w:rPr>
        <w:t>和</w:t>
      </w:r>
      <w:r>
        <w:rPr>
          <w:rFonts w:hint="eastAsia" w:ascii="仿宋_GB2312" w:hAnsi="仿宋" w:eastAsia="仿宋_GB2312" w:cs="仿宋_GB2312"/>
          <w:sz w:val="32"/>
          <w:szCs w:val="32"/>
        </w:rPr>
        <w:t>T</w:t>
      </w:r>
      <w:r>
        <w:rPr>
          <w:rFonts w:ascii="仿宋_GB2312" w:hAnsi="仿宋" w:eastAsia="仿宋_GB2312" w:cs="仿宋_GB2312"/>
          <w:sz w:val="32"/>
          <w:szCs w:val="32"/>
        </w:rPr>
        <w:t>IS机构</w:t>
      </w:r>
      <w:r>
        <w:rPr>
          <w:rFonts w:hint="eastAsia" w:ascii="仿宋_GB2312" w:hAnsi="仿宋" w:eastAsia="仿宋_GB2312" w:cs="仿宋_GB2312"/>
          <w:sz w:val="32"/>
          <w:szCs w:val="32"/>
        </w:rPr>
        <w:t>名录。</w:t>
      </w:r>
      <w:r>
        <w:rPr>
          <w:rFonts w:hint="eastAsia" w:ascii="仿宋_GB2312" w:eastAsia="仿宋_GB2312"/>
          <w:sz w:val="32"/>
          <w:szCs w:val="32"/>
        </w:rPr>
        <w:t>区建设主管部门和发展改革主管部门</w:t>
      </w:r>
      <w:r>
        <w:rPr>
          <w:rFonts w:hint="eastAsia" w:ascii="仿宋_GB2312" w:hAnsi="仿宋" w:eastAsia="仿宋_GB2312" w:cs="仿宋_GB2312"/>
          <w:sz w:val="32"/>
          <w:szCs w:val="32"/>
        </w:rPr>
        <w:t>对名录进行监督管理，对不诚信的机构清出名录。</w:t>
      </w:r>
    </w:p>
    <w:p>
      <w:pPr>
        <w:spacing w:line="560" w:lineRule="exact"/>
        <w:ind w:firstLine="640" w:firstLineChars="200"/>
        <w:rPr>
          <w:rFonts w:ascii="仿宋_GB2312" w:hAnsi="仿宋" w:eastAsia="仿宋_GB2312" w:cs="仿宋_GB2312"/>
          <w:sz w:val="32"/>
          <w:szCs w:val="32"/>
        </w:rPr>
      </w:pPr>
      <w:r>
        <w:rPr>
          <w:rFonts w:hint="eastAsia" w:ascii="仿宋_GB2312" w:eastAsia="仿宋_GB2312"/>
          <w:sz w:val="32"/>
          <w:szCs w:val="32"/>
        </w:rPr>
        <w:t>（一）</w:t>
      </w:r>
      <w:r>
        <w:rPr>
          <w:rFonts w:hint="eastAsia" w:ascii="仿宋_GB2312" w:hAnsi="仿宋" w:eastAsia="仿宋_GB2312" w:cs="仿宋_GB2312"/>
          <w:sz w:val="32"/>
          <w:szCs w:val="32"/>
        </w:rPr>
        <w:t>保险公司</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保险公司应具备下列条件：</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1.保险公司的注册资本金达到50亿；</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2.近三年偿付能力充足率不低于150%；</w:t>
      </w:r>
    </w:p>
    <w:p>
      <w:pPr>
        <w:spacing w:line="56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3.</w:t>
      </w:r>
      <w:r>
        <w:rPr>
          <w:rFonts w:hint="eastAsia" w:ascii="仿宋_GB2312" w:hAnsi="仿宋" w:eastAsia="仿宋_GB2312" w:cs="仿宋_GB2312"/>
          <w:sz w:val="32"/>
          <w:szCs w:val="32"/>
        </w:rPr>
        <w:t>风险管理能力强、机构健全、承保理赔服务优质；</w:t>
      </w:r>
    </w:p>
    <w:p>
      <w:pPr>
        <w:spacing w:line="56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4.</w:t>
      </w:r>
      <w:r>
        <w:rPr>
          <w:rFonts w:hint="eastAsia" w:ascii="仿宋_GB2312" w:hAnsi="仿宋" w:eastAsia="仿宋_GB2312" w:cs="仿宋_GB2312"/>
          <w:sz w:val="32"/>
          <w:szCs w:val="32"/>
        </w:rPr>
        <w:t>与再保机构、TIS机构建立稳定合作关系；</w:t>
      </w:r>
    </w:p>
    <w:p>
      <w:pPr>
        <w:spacing w:line="56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5</w:t>
      </w:r>
      <w:r>
        <w:rPr>
          <w:rFonts w:hint="eastAsia" w:ascii="仿宋_GB2312" w:hAnsi="仿宋" w:eastAsia="仿宋_GB2312" w:cs="仿宋_GB2312"/>
          <w:sz w:val="32"/>
          <w:szCs w:val="32"/>
        </w:rPr>
        <w:t>.具有工程质量保险承保经验。</w:t>
      </w:r>
    </w:p>
    <w:p>
      <w:pPr>
        <w:spacing w:line="560" w:lineRule="exact"/>
        <w:ind w:firstLine="640" w:firstLineChars="200"/>
        <w:rPr>
          <w:rFonts w:ascii="仿宋_GB2312" w:hAnsi="仿宋" w:eastAsia="仿宋_GB2312" w:cs="仿宋_GB2312"/>
          <w:sz w:val="32"/>
          <w:szCs w:val="32"/>
        </w:rPr>
      </w:pPr>
      <w:r>
        <w:rPr>
          <w:rFonts w:hint="eastAsia" w:ascii="仿宋_GB2312" w:eastAsia="仿宋_GB2312"/>
          <w:sz w:val="32"/>
          <w:szCs w:val="32"/>
        </w:rPr>
        <w:t>（二）</w:t>
      </w:r>
      <w:r>
        <w:rPr>
          <w:rFonts w:ascii="仿宋_GB2312" w:hAnsi="仿宋" w:eastAsia="仿宋_GB2312" w:cs="仿宋_GB2312"/>
          <w:sz w:val="32"/>
          <w:szCs w:val="32"/>
        </w:rPr>
        <w:t>TIS</w:t>
      </w:r>
      <w:r>
        <w:rPr>
          <w:rFonts w:hint="eastAsia" w:ascii="仿宋_GB2312" w:hAnsi="仿宋" w:eastAsia="仿宋_GB2312" w:cs="仿宋_GB2312"/>
          <w:sz w:val="32"/>
          <w:szCs w:val="32"/>
        </w:rPr>
        <w:t>机构</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T</w:t>
      </w:r>
      <w:r>
        <w:rPr>
          <w:rFonts w:ascii="仿宋_GB2312" w:hAnsi="仿宋" w:eastAsia="仿宋_GB2312" w:cs="仿宋_GB2312"/>
          <w:sz w:val="32"/>
          <w:szCs w:val="32"/>
        </w:rPr>
        <w:t>IS</w:t>
      </w:r>
      <w:r>
        <w:rPr>
          <w:rFonts w:hint="eastAsia" w:ascii="仿宋_GB2312" w:hAnsi="仿宋" w:eastAsia="仿宋_GB2312" w:cs="仿宋_GB2312"/>
          <w:sz w:val="32"/>
          <w:szCs w:val="32"/>
        </w:rPr>
        <w:t>机构应具备下列条件之一：</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w:t>
      </w:r>
      <w:r>
        <w:rPr>
          <w:rFonts w:ascii="仿宋_GB2312" w:hAnsi="仿宋" w:eastAsia="仿宋_GB2312" w:cs="仿宋_GB2312"/>
          <w:sz w:val="32"/>
          <w:szCs w:val="32"/>
        </w:rPr>
        <w:t>.</w:t>
      </w:r>
      <w:r>
        <w:rPr>
          <w:rFonts w:hint="eastAsia" w:ascii="仿宋_GB2312" w:hAnsi="仿宋" w:eastAsia="仿宋_GB2312" w:cs="仿宋_GB2312"/>
          <w:sz w:val="32"/>
          <w:szCs w:val="32"/>
        </w:rPr>
        <w:t>具有国内或国外建设工程质量潜在缺陷保险T</w:t>
      </w:r>
      <w:r>
        <w:rPr>
          <w:rFonts w:ascii="仿宋_GB2312" w:hAnsi="仿宋" w:eastAsia="仿宋_GB2312" w:cs="仿宋_GB2312"/>
          <w:sz w:val="32"/>
          <w:szCs w:val="32"/>
        </w:rPr>
        <w:t>IS</w:t>
      </w:r>
      <w:r>
        <w:rPr>
          <w:rFonts w:hint="eastAsia" w:ascii="仿宋_GB2312" w:hAnsi="仿宋" w:eastAsia="仿宋_GB2312" w:cs="仿宋_GB2312"/>
          <w:sz w:val="32"/>
          <w:szCs w:val="32"/>
        </w:rPr>
        <w:t>工作经验的第三方技术机构；</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w:t>
      </w:r>
      <w:r>
        <w:rPr>
          <w:rFonts w:ascii="仿宋_GB2312" w:hAnsi="仿宋" w:eastAsia="仿宋_GB2312" w:cs="仿宋_GB2312"/>
          <w:sz w:val="32"/>
          <w:szCs w:val="32"/>
        </w:rPr>
        <w:t>.</w:t>
      </w:r>
      <w:r>
        <w:rPr>
          <w:rFonts w:hint="eastAsia" w:ascii="仿宋_GB2312" w:hAnsi="仿宋" w:eastAsia="仿宋_GB2312" w:cs="仿宋_GB2312"/>
          <w:sz w:val="32"/>
          <w:szCs w:val="32"/>
        </w:rPr>
        <w:t>拥有建筑工程监理综合级资质，注册在本地或在本地设有分支机构的建设工程</w:t>
      </w:r>
      <w:r>
        <w:rPr>
          <w:rFonts w:hint="eastAsia" w:ascii="仿宋_GB2312" w:hAnsi="仿宋" w:eastAsia="仿宋_GB2312" w:cs="仿宋_GB2312"/>
          <w:sz w:val="32"/>
          <w:szCs w:val="32"/>
          <w:lang w:eastAsia="zh-CN"/>
        </w:rPr>
        <w:t>咨询</w:t>
      </w:r>
      <w:r>
        <w:rPr>
          <w:rFonts w:hint="eastAsia" w:ascii="仿宋_GB2312" w:hAnsi="仿宋" w:eastAsia="仿宋_GB2312" w:cs="仿宋_GB2312"/>
          <w:sz w:val="32"/>
          <w:szCs w:val="32"/>
        </w:rPr>
        <w:t>机构；</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w:t>
      </w:r>
      <w:r>
        <w:rPr>
          <w:rFonts w:ascii="仿宋_GB2312" w:hAnsi="仿宋" w:eastAsia="仿宋_GB2312" w:cs="仿宋_GB2312"/>
          <w:sz w:val="32"/>
          <w:szCs w:val="32"/>
        </w:rPr>
        <w:t>.</w:t>
      </w:r>
      <w:r>
        <w:rPr>
          <w:rFonts w:hint="eastAsia" w:ascii="仿宋_GB2312" w:hAnsi="仿宋" w:eastAsia="仿宋_GB2312" w:cs="仿宋_GB2312"/>
          <w:sz w:val="32"/>
          <w:szCs w:val="32"/>
        </w:rPr>
        <w:t>其他符合培育方向的</w:t>
      </w:r>
      <w:r>
        <w:rPr>
          <w:rFonts w:hint="eastAsia" w:ascii="仿宋_GB2312" w:hAnsi="仿宋" w:eastAsia="仿宋_GB2312" w:cs="仿宋_GB2312"/>
          <w:sz w:val="32"/>
          <w:szCs w:val="32"/>
          <w:lang w:eastAsia="zh-CN"/>
        </w:rPr>
        <w:t>国有</w:t>
      </w:r>
      <w:r>
        <w:rPr>
          <w:rFonts w:hint="eastAsia" w:ascii="仿宋_GB2312" w:hAnsi="仿宋" w:eastAsia="仿宋_GB2312" w:cs="仿宋_GB2312"/>
          <w:sz w:val="32"/>
          <w:szCs w:val="32"/>
        </w:rPr>
        <w:t>工程质量检测机构。</w:t>
      </w:r>
    </w:p>
    <w:p>
      <w:pPr>
        <w:spacing w:line="560" w:lineRule="exact"/>
        <w:ind w:firstLine="640" w:firstLineChars="200"/>
        <w:rPr>
          <w:rFonts w:ascii="仿宋_GB2312" w:eastAsia="仿宋_GB2312"/>
          <w:sz w:val="32"/>
          <w:szCs w:val="32"/>
        </w:rPr>
      </w:pPr>
      <w:r>
        <w:rPr>
          <w:rFonts w:hint="eastAsia" w:ascii="楷体" w:hAnsi="楷体" w:eastAsia="楷体" w:cs="楷体"/>
          <w:bCs/>
          <w:sz w:val="32"/>
          <w:szCs w:val="32"/>
        </w:rPr>
        <w:t>第二十三条 【诚信管理】</w:t>
      </w:r>
      <w:r>
        <w:rPr>
          <w:rFonts w:hint="eastAsia" w:ascii="仿宋_GB2312" w:eastAsia="仿宋_GB2312"/>
          <w:sz w:val="32"/>
          <w:szCs w:val="32"/>
        </w:rPr>
        <w:t>区工程建设主管部门加强</w:t>
      </w:r>
      <w:r>
        <w:rPr>
          <w:rFonts w:ascii="仿宋_GB2312" w:eastAsia="仿宋_GB2312"/>
          <w:sz w:val="32"/>
          <w:szCs w:val="32"/>
        </w:rPr>
        <w:t>以信用为核心的</w:t>
      </w:r>
      <w:r>
        <w:rPr>
          <w:rFonts w:hint="eastAsia" w:ascii="仿宋_GB2312" w:eastAsia="仿宋_GB2312"/>
          <w:sz w:val="32"/>
          <w:szCs w:val="32"/>
        </w:rPr>
        <w:t>工程质量监管机制，强化</w:t>
      </w:r>
      <w:r>
        <w:rPr>
          <w:rFonts w:ascii="仿宋_GB2312" w:eastAsia="仿宋_GB2312"/>
          <w:sz w:val="32"/>
          <w:szCs w:val="32"/>
        </w:rPr>
        <w:t>信息披露</w:t>
      </w:r>
      <w:r>
        <w:rPr>
          <w:rFonts w:hint="eastAsia" w:ascii="仿宋_GB2312" w:eastAsia="仿宋_GB2312"/>
          <w:sz w:val="32"/>
          <w:szCs w:val="32"/>
        </w:rPr>
        <w:t>、</w:t>
      </w:r>
      <w:r>
        <w:rPr>
          <w:rFonts w:ascii="仿宋_GB2312" w:eastAsia="仿宋_GB2312"/>
          <w:sz w:val="32"/>
          <w:szCs w:val="32"/>
        </w:rPr>
        <w:t>随机抽查、信用评价</w:t>
      </w:r>
      <w:r>
        <w:rPr>
          <w:rFonts w:hint="eastAsia" w:ascii="仿宋_GB2312" w:eastAsia="仿宋_GB2312"/>
          <w:sz w:val="32"/>
          <w:szCs w:val="32"/>
        </w:rPr>
        <w:t>和不良记录“黑名单”管理</w:t>
      </w:r>
      <w:r>
        <w:rPr>
          <w:rFonts w:ascii="仿宋_GB2312" w:eastAsia="仿宋_GB2312"/>
          <w:sz w:val="32"/>
          <w:szCs w:val="32"/>
        </w:rPr>
        <w:t>等</w:t>
      </w:r>
      <w:r>
        <w:rPr>
          <w:rFonts w:hint="eastAsia" w:ascii="仿宋_GB2312" w:eastAsia="仿宋_GB2312"/>
          <w:sz w:val="32"/>
          <w:szCs w:val="32"/>
        </w:rPr>
        <w:t>监管方式。鼓励建设工程相关行业协会等社会机构在工程质量潜在缺陷保险诚信管理中发挥作用。保险公司可根据投保人的诚信情况进行费率浮动，奖优惩劣。</w:t>
      </w:r>
    </w:p>
    <w:p>
      <w:pPr>
        <w:spacing w:line="560" w:lineRule="exact"/>
        <w:ind w:firstLine="640" w:firstLineChars="200"/>
        <w:rPr>
          <w:rFonts w:ascii="仿宋_GB2312" w:hAnsi="仿宋" w:eastAsia="仿宋_GB2312"/>
          <w:sz w:val="32"/>
        </w:rPr>
      </w:pPr>
      <w:r>
        <w:rPr>
          <w:rFonts w:hint="eastAsia" w:ascii="楷体" w:hAnsi="楷体" w:eastAsia="楷体" w:cs="楷体"/>
          <w:bCs/>
          <w:sz w:val="32"/>
          <w:szCs w:val="32"/>
        </w:rPr>
        <w:t>第二十四条 【信息平台】</w:t>
      </w:r>
      <w:r>
        <w:rPr>
          <w:rFonts w:hint="eastAsia" w:ascii="仿宋_GB2312" w:hAnsi="仿宋" w:eastAsia="仿宋_GB2312"/>
          <w:sz w:val="32"/>
        </w:rPr>
        <w:t>保险公司应当将所有承保工程质量潜在缺陷保险的承保信息、风险管理信息和理赔信息等录入信息平台，并对风险管理、出险理赔情况进行统计分析，定期向区主管部门报告。</w:t>
      </w:r>
    </w:p>
    <w:p>
      <w:pPr>
        <w:spacing w:line="560" w:lineRule="exact"/>
        <w:ind w:firstLine="640" w:firstLineChars="200"/>
        <w:rPr>
          <w:rFonts w:ascii="仿宋_GB2312" w:eastAsia="仿宋_GB2312"/>
          <w:sz w:val="32"/>
          <w:szCs w:val="32"/>
        </w:rPr>
      </w:pPr>
      <w:r>
        <w:rPr>
          <w:rFonts w:hint="eastAsia" w:ascii="楷体" w:hAnsi="楷体" w:eastAsia="楷体" w:cs="楷体"/>
          <w:bCs/>
          <w:sz w:val="32"/>
          <w:szCs w:val="32"/>
        </w:rPr>
        <w:t>第二十五条 【罚则】</w:t>
      </w:r>
      <w:r>
        <w:rPr>
          <w:rFonts w:hint="eastAsia" w:ascii="仿宋_GB2312" w:eastAsia="仿宋_GB2312"/>
          <w:sz w:val="32"/>
          <w:szCs w:val="32"/>
        </w:rPr>
        <w:t>保险公司、TIS机构存在下列行为之一的，记入信用评价；情节严重的，禁止在本区范围内从事建设工程领域保险活动；给他人造成损失的，按照有关法律法规的规定承担赔偿责任：</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（一）虚假注册、虚增注册资本金的；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（二）超出代偿能力从事建设工程领域保险业务的；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（三）违反约定，拖延或拒绝承担赔付责任的；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（四）提供虚假资料或虚假信息的；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（五）违反相关规定撤保或变相撤保的；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（六）恶意压低费用，进行不正当竞争的；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（七）不进行风险预控和保后风险监控的；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（八）T</w:t>
      </w:r>
      <w:r>
        <w:rPr>
          <w:rFonts w:ascii="仿宋_GB2312" w:eastAsia="仿宋_GB2312"/>
          <w:sz w:val="32"/>
          <w:szCs w:val="32"/>
        </w:rPr>
        <w:t>IS机构未发现的</w:t>
      </w:r>
      <w:r>
        <w:rPr>
          <w:rFonts w:hint="eastAsia" w:ascii="仿宋_GB2312" w:eastAsia="仿宋_GB2312"/>
          <w:sz w:val="32"/>
          <w:szCs w:val="32"/>
        </w:rPr>
        <w:t>保险责任范围内的质量问题，在保险赔偿责任期间，同一项目中同一位置的同一问题反复维修三次以上仍无法解决的；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（九）其他违反法律、法规的行为。</w:t>
      </w:r>
    </w:p>
    <w:p>
      <w:pPr>
        <w:spacing w:line="560" w:lineRule="exact"/>
        <w:jc w:val="center"/>
        <w:outlineLvl w:val="0"/>
        <w:rPr>
          <w:rFonts w:ascii="黑体" w:hAnsi="黑体" w:eastAsia="黑体" w:cs="黑体"/>
          <w:bCs/>
          <w:sz w:val="32"/>
          <w:szCs w:val="32"/>
        </w:rPr>
      </w:pPr>
      <w:r>
        <w:rPr>
          <w:rFonts w:hint="eastAsia" w:ascii="黑体" w:hAnsi="黑体" w:eastAsia="黑体" w:cs="黑体"/>
          <w:bCs/>
          <w:sz w:val="32"/>
          <w:szCs w:val="32"/>
        </w:rPr>
        <w:t>第六章  附则</w:t>
      </w:r>
    </w:p>
    <w:p>
      <w:pPr>
        <w:spacing w:line="560" w:lineRule="exact"/>
        <w:ind w:firstLine="640" w:firstLineChars="200"/>
        <w:rPr>
          <w:rFonts w:ascii="仿宋_GB2312" w:hAnsi="仿宋" w:eastAsia="仿宋_GB2312"/>
          <w:sz w:val="32"/>
        </w:rPr>
      </w:pPr>
      <w:r>
        <w:rPr>
          <w:rFonts w:hint="eastAsia" w:ascii="楷体" w:hAnsi="楷体" w:eastAsia="楷体" w:cs="楷体"/>
          <w:bCs/>
          <w:sz w:val="32"/>
          <w:szCs w:val="32"/>
        </w:rPr>
        <w:t>第二十六条 【实施时间】</w:t>
      </w:r>
      <w:r>
        <w:rPr>
          <w:rFonts w:hint="eastAsia" w:ascii="仿宋_GB2312" w:eastAsia="仿宋_GB2312"/>
          <w:sz w:val="32"/>
          <w:szCs w:val="32"/>
        </w:rPr>
        <w:t>本办法自</w:t>
      </w:r>
      <w:r>
        <w:rPr>
          <w:rFonts w:ascii="仿宋_GB2312" w:eastAsia="仿宋_GB2312"/>
          <w:sz w:val="32"/>
          <w:szCs w:val="32"/>
        </w:rPr>
        <w:t xml:space="preserve">    </w:t>
      </w:r>
      <w:r>
        <w:rPr>
          <w:rFonts w:hint="eastAsia" w:ascii="仿宋_GB2312" w:eastAsia="仿宋_GB2312"/>
          <w:sz w:val="32"/>
          <w:szCs w:val="32"/>
        </w:rPr>
        <w:t xml:space="preserve">年  </w:t>
      </w:r>
      <w:r>
        <w:rPr>
          <w:rFonts w:ascii="仿宋_GB2312" w:eastAsia="仿宋_GB2312"/>
          <w:sz w:val="32"/>
          <w:szCs w:val="32"/>
        </w:rPr>
        <w:t xml:space="preserve"> </w:t>
      </w:r>
      <w:r>
        <w:rPr>
          <w:rFonts w:hint="eastAsia" w:ascii="仿宋_GB2312" w:eastAsia="仿宋_GB2312"/>
          <w:sz w:val="32"/>
          <w:szCs w:val="32"/>
        </w:rPr>
        <w:t>月  日起实施。</w:t>
      </w:r>
    </w:p>
    <w:p>
      <w:pPr>
        <w:spacing w:line="560" w:lineRule="exact"/>
        <w:ind w:firstLine="640" w:firstLineChars="200"/>
        <w:rPr>
          <w:rFonts w:ascii="仿宋_GB2312" w:hAnsi="仿宋" w:eastAsia="仿宋_GB2312"/>
          <w:sz w:val="32"/>
        </w:rPr>
      </w:pPr>
      <w:r>
        <w:rPr>
          <w:rFonts w:hint="eastAsia" w:ascii="楷体" w:hAnsi="楷体" w:eastAsia="楷体" w:cs="楷体"/>
          <w:bCs/>
          <w:sz w:val="32"/>
          <w:szCs w:val="32"/>
        </w:rPr>
        <w:t>第二十七条 【解释】</w:t>
      </w:r>
      <w:r>
        <w:rPr>
          <w:rFonts w:ascii="仿宋_GB2312" w:eastAsia="仿宋_GB2312"/>
          <w:sz w:val="32"/>
          <w:szCs w:val="32"/>
        </w:rPr>
        <w:t>本办法由福田区住房和建设局负责解释</w:t>
      </w:r>
      <w:r>
        <w:rPr>
          <w:rFonts w:ascii="仿宋_GB2312" w:hAnsi="仿宋" w:eastAsia="仿宋_GB2312"/>
          <w:sz w:val="32"/>
        </w:rPr>
        <w:t>。</w:t>
      </w:r>
    </w:p>
    <w:p>
      <w:pPr>
        <w:spacing w:line="560" w:lineRule="exact"/>
        <w:ind w:firstLine="640" w:firstLineChars="200"/>
        <w:rPr>
          <w:rFonts w:ascii="仿宋_GB2312" w:hAnsi="仿宋" w:eastAsia="仿宋_GB2312"/>
          <w:sz w:val="32"/>
        </w:rPr>
      </w:pPr>
    </w:p>
    <w:sectPr>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楷体_GB2312">
    <w:altName w:val="楷体"/>
    <w:panose1 w:val="02010609030101010101"/>
    <w:charset w:val="86"/>
    <w:family w:val="auto"/>
    <w:pitch w:val="default"/>
    <w:sig w:usb0="00000001" w:usb1="080E0000" w:usb2="00000010" w:usb3="00000000" w:csb0="00040000" w:csb1="00000000"/>
  </w:font>
  <w:font w:name="方正小标宋简体">
    <w:altName w:val="Arial Unicode MS"/>
    <w:panose1 w:val="03000509000000000000"/>
    <w:charset w:val="86"/>
    <w:family w:val="auto"/>
    <w:pitch w:val="default"/>
    <w:sig w:usb0="00000001" w:usb1="080E0000" w:usb2="00000010" w:usb3="00000000" w:csb0="00040000" w:csb1="00000000"/>
  </w:font>
  <w:font w:name="仿宋_GB2312">
    <w:altName w:val="仿宋"/>
    <w:panose1 w:val="02010609030101010101"/>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jc w:val="center"/>
    </w:pPr>
    <w:r>
      <w:fldChar w:fldCharType="begin"/>
    </w:r>
    <w:r>
      <w:instrText xml:space="preserve">PAGE   \* MERGEFORMAT</w:instrText>
    </w:r>
    <w:r>
      <w:fldChar w:fldCharType="separate"/>
    </w:r>
    <w:r>
      <w:t>1</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val="1"/>
  <w:bordersDoNotSurroundFooter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E82AEC"/>
    <w:rsid w:val="000016F6"/>
    <w:rsid w:val="00001F42"/>
    <w:rsid w:val="00001F48"/>
    <w:rsid w:val="00002EAB"/>
    <w:rsid w:val="00003BDC"/>
    <w:rsid w:val="0000466D"/>
    <w:rsid w:val="00005305"/>
    <w:rsid w:val="00006922"/>
    <w:rsid w:val="00011E67"/>
    <w:rsid w:val="0001223A"/>
    <w:rsid w:val="00012880"/>
    <w:rsid w:val="00012AEE"/>
    <w:rsid w:val="00017A68"/>
    <w:rsid w:val="00017BF7"/>
    <w:rsid w:val="00020D0E"/>
    <w:rsid w:val="00021229"/>
    <w:rsid w:val="000227ED"/>
    <w:rsid w:val="00022B68"/>
    <w:rsid w:val="00022C49"/>
    <w:rsid w:val="00023F59"/>
    <w:rsid w:val="000251AD"/>
    <w:rsid w:val="0002574D"/>
    <w:rsid w:val="00026862"/>
    <w:rsid w:val="000272A6"/>
    <w:rsid w:val="00027E4F"/>
    <w:rsid w:val="0003252B"/>
    <w:rsid w:val="00032C93"/>
    <w:rsid w:val="00032EE7"/>
    <w:rsid w:val="00035E84"/>
    <w:rsid w:val="00035F0F"/>
    <w:rsid w:val="0003665A"/>
    <w:rsid w:val="00037B43"/>
    <w:rsid w:val="000405F6"/>
    <w:rsid w:val="00040EC7"/>
    <w:rsid w:val="0004113D"/>
    <w:rsid w:val="0004154D"/>
    <w:rsid w:val="0004225B"/>
    <w:rsid w:val="00042543"/>
    <w:rsid w:val="000429EC"/>
    <w:rsid w:val="00042D79"/>
    <w:rsid w:val="000433D1"/>
    <w:rsid w:val="00044528"/>
    <w:rsid w:val="000445FE"/>
    <w:rsid w:val="000459A2"/>
    <w:rsid w:val="00046BB4"/>
    <w:rsid w:val="00046FEF"/>
    <w:rsid w:val="00050A42"/>
    <w:rsid w:val="000511F2"/>
    <w:rsid w:val="00051390"/>
    <w:rsid w:val="000516EF"/>
    <w:rsid w:val="0005288E"/>
    <w:rsid w:val="000530AB"/>
    <w:rsid w:val="000530B2"/>
    <w:rsid w:val="000550AB"/>
    <w:rsid w:val="000550B2"/>
    <w:rsid w:val="00055426"/>
    <w:rsid w:val="00055895"/>
    <w:rsid w:val="00055BF5"/>
    <w:rsid w:val="00056D0A"/>
    <w:rsid w:val="00061EF8"/>
    <w:rsid w:val="00062A2E"/>
    <w:rsid w:val="00062DFB"/>
    <w:rsid w:val="00064298"/>
    <w:rsid w:val="00064C0F"/>
    <w:rsid w:val="000665F7"/>
    <w:rsid w:val="00066AB2"/>
    <w:rsid w:val="00070635"/>
    <w:rsid w:val="00071E89"/>
    <w:rsid w:val="00072659"/>
    <w:rsid w:val="00072726"/>
    <w:rsid w:val="000728A9"/>
    <w:rsid w:val="000736AF"/>
    <w:rsid w:val="00073A1D"/>
    <w:rsid w:val="000745F8"/>
    <w:rsid w:val="00075B99"/>
    <w:rsid w:val="00082442"/>
    <w:rsid w:val="0008383C"/>
    <w:rsid w:val="00083EFF"/>
    <w:rsid w:val="0008434E"/>
    <w:rsid w:val="00086781"/>
    <w:rsid w:val="000873EC"/>
    <w:rsid w:val="00087489"/>
    <w:rsid w:val="00087E3C"/>
    <w:rsid w:val="00091B93"/>
    <w:rsid w:val="00091D42"/>
    <w:rsid w:val="000967CF"/>
    <w:rsid w:val="00096881"/>
    <w:rsid w:val="000A0728"/>
    <w:rsid w:val="000A0B06"/>
    <w:rsid w:val="000A1051"/>
    <w:rsid w:val="000A16D3"/>
    <w:rsid w:val="000A186A"/>
    <w:rsid w:val="000A276D"/>
    <w:rsid w:val="000A3803"/>
    <w:rsid w:val="000A39D1"/>
    <w:rsid w:val="000A4B9B"/>
    <w:rsid w:val="000A5E0A"/>
    <w:rsid w:val="000A6639"/>
    <w:rsid w:val="000A67F9"/>
    <w:rsid w:val="000A732C"/>
    <w:rsid w:val="000B0528"/>
    <w:rsid w:val="000B0A8D"/>
    <w:rsid w:val="000B1196"/>
    <w:rsid w:val="000B1226"/>
    <w:rsid w:val="000B2204"/>
    <w:rsid w:val="000B2F30"/>
    <w:rsid w:val="000B6F63"/>
    <w:rsid w:val="000B7F81"/>
    <w:rsid w:val="000C18C3"/>
    <w:rsid w:val="000C2491"/>
    <w:rsid w:val="000C46D7"/>
    <w:rsid w:val="000C49AB"/>
    <w:rsid w:val="000C5800"/>
    <w:rsid w:val="000C5C3D"/>
    <w:rsid w:val="000C5DF2"/>
    <w:rsid w:val="000C5E35"/>
    <w:rsid w:val="000C6B9A"/>
    <w:rsid w:val="000C7114"/>
    <w:rsid w:val="000D045B"/>
    <w:rsid w:val="000D0914"/>
    <w:rsid w:val="000D1315"/>
    <w:rsid w:val="000D3932"/>
    <w:rsid w:val="000D48B6"/>
    <w:rsid w:val="000D64B2"/>
    <w:rsid w:val="000D651C"/>
    <w:rsid w:val="000E017A"/>
    <w:rsid w:val="000E1A0E"/>
    <w:rsid w:val="000E314A"/>
    <w:rsid w:val="000E56B9"/>
    <w:rsid w:val="000E6250"/>
    <w:rsid w:val="000F0329"/>
    <w:rsid w:val="000F03F6"/>
    <w:rsid w:val="000F21AF"/>
    <w:rsid w:val="000F2E23"/>
    <w:rsid w:val="000F2FC4"/>
    <w:rsid w:val="000F3422"/>
    <w:rsid w:val="000F62A0"/>
    <w:rsid w:val="00101821"/>
    <w:rsid w:val="00102FF7"/>
    <w:rsid w:val="00103B8B"/>
    <w:rsid w:val="0010429E"/>
    <w:rsid w:val="00105278"/>
    <w:rsid w:val="00106D88"/>
    <w:rsid w:val="00107078"/>
    <w:rsid w:val="001107C8"/>
    <w:rsid w:val="001163EB"/>
    <w:rsid w:val="001164B6"/>
    <w:rsid w:val="0012034A"/>
    <w:rsid w:val="001206FF"/>
    <w:rsid w:val="001208E1"/>
    <w:rsid w:val="001222AF"/>
    <w:rsid w:val="001223A0"/>
    <w:rsid w:val="00123F01"/>
    <w:rsid w:val="00124597"/>
    <w:rsid w:val="00124EF3"/>
    <w:rsid w:val="001257C6"/>
    <w:rsid w:val="00125891"/>
    <w:rsid w:val="00127248"/>
    <w:rsid w:val="00130086"/>
    <w:rsid w:val="00130E80"/>
    <w:rsid w:val="0013102F"/>
    <w:rsid w:val="00133A79"/>
    <w:rsid w:val="001378D4"/>
    <w:rsid w:val="001417AE"/>
    <w:rsid w:val="001424C7"/>
    <w:rsid w:val="00142577"/>
    <w:rsid w:val="00142B09"/>
    <w:rsid w:val="0014300E"/>
    <w:rsid w:val="00144A51"/>
    <w:rsid w:val="00144D47"/>
    <w:rsid w:val="0014610C"/>
    <w:rsid w:val="00146A6C"/>
    <w:rsid w:val="00146F42"/>
    <w:rsid w:val="00147184"/>
    <w:rsid w:val="00147C74"/>
    <w:rsid w:val="00147CEE"/>
    <w:rsid w:val="00153AFB"/>
    <w:rsid w:val="00153E15"/>
    <w:rsid w:val="00154319"/>
    <w:rsid w:val="00156324"/>
    <w:rsid w:val="00157005"/>
    <w:rsid w:val="00157B52"/>
    <w:rsid w:val="00157D9E"/>
    <w:rsid w:val="001614E5"/>
    <w:rsid w:val="001618A6"/>
    <w:rsid w:val="0016217D"/>
    <w:rsid w:val="00163058"/>
    <w:rsid w:val="00165D3D"/>
    <w:rsid w:val="00167908"/>
    <w:rsid w:val="00170768"/>
    <w:rsid w:val="00170927"/>
    <w:rsid w:val="00171112"/>
    <w:rsid w:val="001721D7"/>
    <w:rsid w:val="00172BD1"/>
    <w:rsid w:val="001767C6"/>
    <w:rsid w:val="001779D1"/>
    <w:rsid w:val="00180A86"/>
    <w:rsid w:val="0018101E"/>
    <w:rsid w:val="00181631"/>
    <w:rsid w:val="001823A0"/>
    <w:rsid w:val="00182561"/>
    <w:rsid w:val="00183A56"/>
    <w:rsid w:val="001849FF"/>
    <w:rsid w:val="0018622C"/>
    <w:rsid w:val="00186323"/>
    <w:rsid w:val="00186B35"/>
    <w:rsid w:val="00186C67"/>
    <w:rsid w:val="00186F87"/>
    <w:rsid w:val="00186FC8"/>
    <w:rsid w:val="001878EB"/>
    <w:rsid w:val="00190E50"/>
    <w:rsid w:val="001972A1"/>
    <w:rsid w:val="00197A80"/>
    <w:rsid w:val="00197B2D"/>
    <w:rsid w:val="001A077C"/>
    <w:rsid w:val="001A188B"/>
    <w:rsid w:val="001A18C7"/>
    <w:rsid w:val="001A272D"/>
    <w:rsid w:val="001A2A75"/>
    <w:rsid w:val="001A53E9"/>
    <w:rsid w:val="001A6929"/>
    <w:rsid w:val="001A7934"/>
    <w:rsid w:val="001B15F3"/>
    <w:rsid w:val="001B3BE2"/>
    <w:rsid w:val="001B4A02"/>
    <w:rsid w:val="001B4B03"/>
    <w:rsid w:val="001B56E4"/>
    <w:rsid w:val="001B5C52"/>
    <w:rsid w:val="001B6079"/>
    <w:rsid w:val="001B64A6"/>
    <w:rsid w:val="001B7470"/>
    <w:rsid w:val="001B7B71"/>
    <w:rsid w:val="001C06A2"/>
    <w:rsid w:val="001C09CB"/>
    <w:rsid w:val="001C0AED"/>
    <w:rsid w:val="001C15DC"/>
    <w:rsid w:val="001C1A8D"/>
    <w:rsid w:val="001C1FCA"/>
    <w:rsid w:val="001C21F1"/>
    <w:rsid w:val="001C370F"/>
    <w:rsid w:val="001C378F"/>
    <w:rsid w:val="001C3B2B"/>
    <w:rsid w:val="001C3FFA"/>
    <w:rsid w:val="001C4437"/>
    <w:rsid w:val="001C66BC"/>
    <w:rsid w:val="001C7869"/>
    <w:rsid w:val="001D03C0"/>
    <w:rsid w:val="001D0D45"/>
    <w:rsid w:val="001D1074"/>
    <w:rsid w:val="001D114F"/>
    <w:rsid w:val="001D16F8"/>
    <w:rsid w:val="001D1F0A"/>
    <w:rsid w:val="001D22D0"/>
    <w:rsid w:val="001D4679"/>
    <w:rsid w:val="001D5D73"/>
    <w:rsid w:val="001D70CB"/>
    <w:rsid w:val="001D7BA3"/>
    <w:rsid w:val="001D7E3D"/>
    <w:rsid w:val="001D7FD7"/>
    <w:rsid w:val="001E16D8"/>
    <w:rsid w:val="001E535A"/>
    <w:rsid w:val="001E64D6"/>
    <w:rsid w:val="001E73F5"/>
    <w:rsid w:val="001E749A"/>
    <w:rsid w:val="001F0B76"/>
    <w:rsid w:val="001F1E43"/>
    <w:rsid w:val="001F3E6B"/>
    <w:rsid w:val="001F4892"/>
    <w:rsid w:val="001F505A"/>
    <w:rsid w:val="001F6447"/>
    <w:rsid w:val="001F655C"/>
    <w:rsid w:val="001F6F06"/>
    <w:rsid w:val="001F6FF6"/>
    <w:rsid w:val="001F7D00"/>
    <w:rsid w:val="002000D7"/>
    <w:rsid w:val="002010E7"/>
    <w:rsid w:val="00201634"/>
    <w:rsid w:val="002018F3"/>
    <w:rsid w:val="00202390"/>
    <w:rsid w:val="0020251A"/>
    <w:rsid w:val="00203F4A"/>
    <w:rsid w:val="00204AC4"/>
    <w:rsid w:val="00204BD9"/>
    <w:rsid w:val="00206B0B"/>
    <w:rsid w:val="002109F0"/>
    <w:rsid w:val="00213AE5"/>
    <w:rsid w:val="00213F17"/>
    <w:rsid w:val="00214C37"/>
    <w:rsid w:val="0021523D"/>
    <w:rsid w:val="002152BB"/>
    <w:rsid w:val="00216100"/>
    <w:rsid w:val="0022060F"/>
    <w:rsid w:val="00221080"/>
    <w:rsid w:val="00221A3C"/>
    <w:rsid w:val="00222A14"/>
    <w:rsid w:val="002245D5"/>
    <w:rsid w:val="00225011"/>
    <w:rsid w:val="00226046"/>
    <w:rsid w:val="0022671D"/>
    <w:rsid w:val="00227454"/>
    <w:rsid w:val="002310A5"/>
    <w:rsid w:val="002312B1"/>
    <w:rsid w:val="002351F2"/>
    <w:rsid w:val="0023717C"/>
    <w:rsid w:val="00240375"/>
    <w:rsid w:val="00240BFB"/>
    <w:rsid w:val="00240CBC"/>
    <w:rsid w:val="00242DF7"/>
    <w:rsid w:val="00243AA4"/>
    <w:rsid w:val="00245EF2"/>
    <w:rsid w:val="0024609B"/>
    <w:rsid w:val="00246C4D"/>
    <w:rsid w:val="00246F5D"/>
    <w:rsid w:val="00246FEE"/>
    <w:rsid w:val="00250817"/>
    <w:rsid w:val="00251228"/>
    <w:rsid w:val="002528C8"/>
    <w:rsid w:val="00252E71"/>
    <w:rsid w:val="00252FFF"/>
    <w:rsid w:val="00254877"/>
    <w:rsid w:val="00254D7E"/>
    <w:rsid w:val="00257AC7"/>
    <w:rsid w:val="00263C94"/>
    <w:rsid w:val="0026495B"/>
    <w:rsid w:val="0026549F"/>
    <w:rsid w:val="002658B3"/>
    <w:rsid w:val="00265D1C"/>
    <w:rsid w:val="00265F8A"/>
    <w:rsid w:val="0026797A"/>
    <w:rsid w:val="00270714"/>
    <w:rsid w:val="00272018"/>
    <w:rsid w:val="00272308"/>
    <w:rsid w:val="002724BA"/>
    <w:rsid w:val="00274081"/>
    <w:rsid w:val="002747FC"/>
    <w:rsid w:val="00274F26"/>
    <w:rsid w:val="002750F9"/>
    <w:rsid w:val="00275E66"/>
    <w:rsid w:val="0027699C"/>
    <w:rsid w:val="00276C10"/>
    <w:rsid w:val="002774CB"/>
    <w:rsid w:val="0028017D"/>
    <w:rsid w:val="002831E9"/>
    <w:rsid w:val="00283F43"/>
    <w:rsid w:val="00285EA2"/>
    <w:rsid w:val="00286935"/>
    <w:rsid w:val="00286B30"/>
    <w:rsid w:val="00286DA5"/>
    <w:rsid w:val="0028774B"/>
    <w:rsid w:val="00291459"/>
    <w:rsid w:val="00291C57"/>
    <w:rsid w:val="00291C6E"/>
    <w:rsid w:val="00292027"/>
    <w:rsid w:val="00292ADB"/>
    <w:rsid w:val="0029332B"/>
    <w:rsid w:val="00294AD8"/>
    <w:rsid w:val="00295048"/>
    <w:rsid w:val="0029517B"/>
    <w:rsid w:val="00297920"/>
    <w:rsid w:val="002A0936"/>
    <w:rsid w:val="002A1AFA"/>
    <w:rsid w:val="002A2517"/>
    <w:rsid w:val="002A37B0"/>
    <w:rsid w:val="002A3FC0"/>
    <w:rsid w:val="002A4898"/>
    <w:rsid w:val="002A5482"/>
    <w:rsid w:val="002A76C0"/>
    <w:rsid w:val="002A7C91"/>
    <w:rsid w:val="002A7D01"/>
    <w:rsid w:val="002B0140"/>
    <w:rsid w:val="002B1C89"/>
    <w:rsid w:val="002B28FB"/>
    <w:rsid w:val="002B2D33"/>
    <w:rsid w:val="002B3567"/>
    <w:rsid w:val="002C0963"/>
    <w:rsid w:val="002C193E"/>
    <w:rsid w:val="002C22CA"/>
    <w:rsid w:val="002C2802"/>
    <w:rsid w:val="002C42B9"/>
    <w:rsid w:val="002C6D54"/>
    <w:rsid w:val="002C7281"/>
    <w:rsid w:val="002D0B40"/>
    <w:rsid w:val="002D0CBD"/>
    <w:rsid w:val="002D1BA9"/>
    <w:rsid w:val="002D246F"/>
    <w:rsid w:val="002D3860"/>
    <w:rsid w:val="002D3893"/>
    <w:rsid w:val="002D3FF4"/>
    <w:rsid w:val="002D4414"/>
    <w:rsid w:val="002D4441"/>
    <w:rsid w:val="002D45D3"/>
    <w:rsid w:val="002D5862"/>
    <w:rsid w:val="002D7662"/>
    <w:rsid w:val="002E10BA"/>
    <w:rsid w:val="002E1774"/>
    <w:rsid w:val="002E55DB"/>
    <w:rsid w:val="002E5FB2"/>
    <w:rsid w:val="002F09AB"/>
    <w:rsid w:val="002F0D15"/>
    <w:rsid w:val="002F1269"/>
    <w:rsid w:val="002F45B4"/>
    <w:rsid w:val="002F5512"/>
    <w:rsid w:val="00300D4C"/>
    <w:rsid w:val="00300E38"/>
    <w:rsid w:val="0030130C"/>
    <w:rsid w:val="003013F9"/>
    <w:rsid w:val="00301677"/>
    <w:rsid w:val="0030311C"/>
    <w:rsid w:val="00303407"/>
    <w:rsid w:val="00304905"/>
    <w:rsid w:val="0030749E"/>
    <w:rsid w:val="00310106"/>
    <w:rsid w:val="0031027D"/>
    <w:rsid w:val="00310F2B"/>
    <w:rsid w:val="00311794"/>
    <w:rsid w:val="003117CF"/>
    <w:rsid w:val="00311FBC"/>
    <w:rsid w:val="003124FE"/>
    <w:rsid w:val="00313652"/>
    <w:rsid w:val="0031387E"/>
    <w:rsid w:val="00314B2C"/>
    <w:rsid w:val="0031720F"/>
    <w:rsid w:val="00317568"/>
    <w:rsid w:val="00322668"/>
    <w:rsid w:val="003259F9"/>
    <w:rsid w:val="00325A03"/>
    <w:rsid w:val="003266BF"/>
    <w:rsid w:val="00326AAA"/>
    <w:rsid w:val="00331140"/>
    <w:rsid w:val="003336C3"/>
    <w:rsid w:val="00333851"/>
    <w:rsid w:val="00333E2D"/>
    <w:rsid w:val="00334A5E"/>
    <w:rsid w:val="003359F8"/>
    <w:rsid w:val="003405B0"/>
    <w:rsid w:val="0034238C"/>
    <w:rsid w:val="003431D1"/>
    <w:rsid w:val="00344758"/>
    <w:rsid w:val="00345308"/>
    <w:rsid w:val="00345A53"/>
    <w:rsid w:val="00346982"/>
    <w:rsid w:val="003470BE"/>
    <w:rsid w:val="003504C0"/>
    <w:rsid w:val="00350515"/>
    <w:rsid w:val="00350B9E"/>
    <w:rsid w:val="0035293F"/>
    <w:rsid w:val="00353C42"/>
    <w:rsid w:val="00353D1E"/>
    <w:rsid w:val="00355D91"/>
    <w:rsid w:val="003563D8"/>
    <w:rsid w:val="003567E1"/>
    <w:rsid w:val="00356E67"/>
    <w:rsid w:val="003578F3"/>
    <w:rsid w:val="00357BE6"/>
    <w:rsid w:val="003613B2"/>
    <w:rsid w:val="00362AC5"/>
    <w:rsid w:val="00364E64"/>
    <w:rsid w:val="00367EED"/>
    <w:rsid w:val="0037040B"/>
    <w:rsid w:val="0037177D"/>
    <w:rsid w:val="003724E3"/>
    <w:rsid w:val="00374A62"/>
    <w:rsid w:val="003766E8"/>
    <w:rsid w:val="00377C94"/>
    <w:rsid w:val="0038185F"/>
    <w:rsid w:val="00382161"/>
    <w:rsid w:val="00382C85"/>
    <w:rsid w:val="00383777"/>
    <w:rsid w:val="00383E0E"/>
    <w:rsid w:val="0038412D"/>
    <w:rsid w:val="003858A9"/>
    <w:rsid w:val="003910A2"/>
    <w:rsid w:val="0039121A"/>
    <w:rsid w:val="00391BB4"/>
    <w:rsid w:val="00392DE5"/>
    <w:rsid w:val="00392FF9"/>
    <w:rsid w:val="003944F8"/>
    <w:rsid w:val="003951BA"/>
    <w:rsid w:val="00395615"/>
    <w:rsid w:val="00395ED9"/>
    <w:rsid w:val="0039644C"/>
    <w:rsid w:val="00397BED"/>
    <w:rsid w:val="00397D96"/>
    <w:rsid w:val="003A0808"/>
    <w:rsid w:val="003A2157"/>
    <w:rsid w:val="003A24B7"/>
    <w:rsid w:val="003A3488"/>
    <w:rsid w:val="003A3E8E"/>
    <w:rsid w:val="003A4A03"/>
    <w:rsid w:val="003A4A65"/>
    <w:rsid w:val="003A5077"/>
    <w:rsid w:val="003A74AC"/>
    <w:rsid w:val="003B3268"/>
    <w:rsid w:val="003B7D3D"/>
    <w:rsid w:val="003C1460"/>
    <w:rsid w:val="003C3D36"/>
    <w:rsid w:val="003C423A"/>
    <w:rsid w:val="003C5C1F"/>
    <w:rsid w:val="003C6742"/>
    <w:rsid w:val="003D3FAF"/>
    <w:rsid w:val="003D41BE"/>
    <w:rsid w:val="003D4BBD"/>
    <w:rsid w:val="003D4EF3"/>
    <w:rsid w:val="003D526D"/>
    <w:rsid w:val="003D710E"/>
    <w:rsid w:val="003D7C54"/>
    <w:rsid w:val="003E04BE"/>
    <w:rsid w:val="003E0744"/>
    <w:rsid w:val="003E15CB"/>
    <w:rsid w:val="003E2481"/>
    <w:rsid w:val="003E42AA"/>
    <w:rsid w:val="003E42D8"/>
    <w:rsid w:val="003E4FBA"/>
    <w:rsid w:val="003E7999"/>
    <w:rsid w:val="003E7A77"/>
    <w:rsid w:val="003F0055"/>
    <w:rsid w:val="003F0C20"/>
    <w:rsid w:val="003F226C"/>
    <w:rsid w:val="003F252D"/>
    <w:rsid w:val="003F395C"/>
    <w:rsid w:val="003F5DF2"/>
    <w:rsid w:val="003F775F"/>
    <w:rsid w:val="00401C5A"/>
    <w:rsid w:val="00407222"/>
    <w:rsid w:val="0040758B"/>
    <w:rsid w:val="004106F2"/>
    <w:rsid w:val="00410DE0"/>
    <w:rsid w:val="0041198C"/>
    <w:rsid w:val="00411ACE"/>
    <w:rsid w:val="00411C5E"/>
    <w:rsid w:val="0041237E"/>
    <w:rsid w:val="0041780C"/>
    <w:rsid w:val="00420225"/>
    <w:rsid w:val="00421103"/>
    <w:rsid w:val="00421E96"/>
    <w:rsid w:val="00421EC4"/>
    <w:rsid w:val="004228EE"/>
    <w:rsid w:val="00423011"/>
    <w:rsid w:val="00423637"/>
    <w:rsid w:val="0042424E"/>
    <w:rsid w:val="00424D90"/>
    <w:rsid w:val="004254E0"/>
    <w:rsid w:val="004266FC"/>
    <w:rsid w:val="00426727"/>
    <w:rsid w:val="00427225"/>
    <w:rsid w:val="0042728B"/>
    <w:rsid w:val="00427794"/>
    <w:rsid w:val="00431476"/>
    <w:rsid w:val="00432C87"/>
    <w:rsid w:val="00433DFC"/>
    <w:rsid w:val="004352A4"/>
    <w:rsid w:val="00440A6B"/>
    <w:rsid w:val="0044156E"/>
    <w:rsid w:val="00441B3F"/>
    <w:rsid w:val="00442273"/>
    <w:rsid w:val="004431AC"/>
    <w:rsid w:val="0044556A"/>
    <w:rsid w:val="00445DC4"/>
    <w:rsid w:val="00445FAA"/>
    <w:rsid w:val="0044653B"/>
    <w:rsid w:val="00446869"/>
    <w:rsid w:val="00446B68"/>
    <w:rsid w:val="00447219"/>
    <w:rsid w:val="00450061"/>
    <w:rsid w:val="00451C99"/>
    <w:rsid w:val="00451FD6"/>
    <w:rsid w:val="00453067"/>
    <w:rsid w:val="004531FA"/>
    <w:rsid w:val="00453719"/>
    <w:rsid w:val="00454336"/>
    <w:rsid w:val="00454EDD"/>
    <w:rsid w:val="00456ECF"/>
    <w:rsid w:val="0045705B"/>
    <w:rsid w:val="00457AB1"/>
    <w:rsid w:val="00461807"/>
    <w:rsid w:val="004624A1"/>
    <w:rsid w:val="0046431B"/>
    <w:rsid w:val="00466261"/>
    <w:rsid w:val="00470B24"/>
    <w:rsid w:val="00471B8A"/>
    <w:rsid w:val="004729B4"/>
    <w:rsid w:val="004734F4"/>
    <w:rsid w:val="00473F10"/>
    <w:rsid w:val="00476743"/>
    <w:rsid w:val="004806ED"/>
    <w:rsid w:val="004827B7"/>
    <w:rsid w:val="00486798"/>
    <w:rsid w:val="00486C96"/>
    <w:rsid w:val="00490727"/>
    <w:rsid w:val="00490EC8"/>
    <w:rsid w:val="00494300"/>
    <w:rsid w:val="00495289"/>
    <w:rsid w:val="00495B4A"/>
    <w:rsid w:val="004960BE"/>
    <w:rsid w:val="00497600"/>
    <w:rsid w:val="00497BFF"/>
    <w:rsid w:val="004A06D0"/>
    <w:rsid w:val="004A0E2C"/>
    <w:rsid w:val="004A148A"/>
    <w:rsid w:val="004A2C7C"/>
    <w:rsid w:val="004A2F92"/>
    <w:rsid w:val="004A34C4"/>
    <w:rsid w:val="004A364C"/>
    <w:rsid w:val="004A3EA6"/>
    <w:rsid w:val="004A4617"/>
    <w:rsid w:val="004A558E"/>
    <w:rsid w:val="004A6A78"/>
    <w:rsid w:val="004B1DC4"/>
    <w:rsid w:val="004B5697"/>
    <w:rsid w:val="004B5982"/>
    <w:rsid w:val="004B5F74"/>
    <w:rsid w:val="004C1763"/>
    <w:rsid w:val="004C3739"/>
    <w:rsid w:val="004C3832"/>
    <w:rsid w:val="004C6CA5"/>
    <w:rsid w:val="004C6EFF"/>
    <w:rsid w:val="004C7178"/>
    <w:rsid w:val="004C7C0A"/>
    <w:rsid w:val="004D0118"/>
    <w:rsid w:val="004D095F"/>
    <w:rsid w:val="004D1D1C"/>
    <w:rsid w:val="004D248A"/>
    <w:rsid w:val="004D464B"/>
    <w:rsid w:val="004D5B1B"/>
    <w:rsid w:val="004D5DEC"/>
    <w:rsid w:val="004D62BE"/>
    <w:rsid w:val="004D6F8B"/>
    <w:rsid w:val="004D7A6A"/>
    <w:rsid w:val="004E1029"/>
    <w:rsid w:val="004E1612"/>
    <w:rsid w:val="004E39F3"/>
    <w:rsid w:val="004E58AB"/>
    <w:rsid w:val="004F0F15"/>
    <w:rsid w:val="004F3208"/>
    <w:rsid w:val="004F3904"/>
    <w:rsid w:val="004F5B88"/>
    <w:rsid w:val="004F675D"/>
    <w:rsid w:val="004F755D"/>
    <w:rsid w:val="004F7F2B"/>
    <w:rsid w:val="0050027F"/>
    <w:rsid w:val="00500BA1"/>
    <w:rsid w:val="00500BF2"/>
    <w:rsid w:val="00500CE9"/>
    <w:rsid w:val="005023E8"/>
    <w:rsid w:val="00502426"/>
    <w:rsid w:val="0050431F"/>
    <w:rsid w:val="005053EE"/>
    <w:rsid w:val="00506CC2"/>
    <w:rsid w:val="00507597"/>
    <w:rsid w:val="00507B9F"/>
    <w:rsid w:val="0051249E"/>
    <w:rsid w:val="00513394"/>
    <w:rsid w:val="0051387B"/>
    <w:rsid w:val="005148A7"/>
    <w:rsid w:val="00515D52"/>
    <w:rsid w:val="005161F7"/>
    <w:rsid w:val="005163EB"/>
    <w:rsid w:val="00516564"/>
    <w:rsid w:val="00517475"/>
    <w:rsid w:val="00517A14"/>
    <w:rsid w:val="00520FFD"/>
    <w:rsid w:val="0052188C"/>
    <w:rsid w:val="00521E88"/>
    <w:rsid w:val="005224B8"/>
    <w:rsid w:val="0052484B"/>
    <w:rsid w:val="00527F1A"/>
    <w:rsid w:val="00530C57"/>
    <w:rsid w:val="005333E7"/>
    <w:rsid w:val="00535CE5"/>
    <w:rsid w:val="00536B5B"/>
    <w:rsid w:val="005378F7"/>
    <w:rsid w:val="00540DE8"/>
    <w:rsid w:val="00544B1C"/>
    <w:rsid w:val="00544E8C"/>
    <w:rsid w:val="005452D0"/>
    <w:rsid w:val="0054542E"/>
    <w:rsid w:val="00546003"/>
    <w:rsid w:val="00546563"/>
    <w:rsid w:val="00547D53"/>
    <w:rsid w:val="0055283C"/>
    <w:rsid w:val="00553BC6"/>
    <w:rsid w:val="00554BF8"/>
    <w:rsid w:val="00556CCE"/>
    <w:rsid w:val="00557B67"/>
    <w:rsid w:val="00557DAF"/>
    <w:rsid w:val="0056015C"/>
    <w:rsid w:val="00560622"/>
    <w:rsid w:val="00560CF8"/>
    <w:rsid w:val="00560E97"/>
    <w:rsid w:val="00561B2D"/>
    <w:rsid w:val="00562BA4"/>
    <w:rsid w:val="005660CA"/>
    <w:rsid w:val="00566913"/>
    <w:rsid w:val="00570519"/>
    <w:rsid w:val="005716B3"/>
    <w:rsid w:val="00571809"/>
    <w:rsid w:val="00572443"/>
    <w:rsid w:val="0057281A"/>
    <w:rsid w:val="00573F3C"/>
    <w:rsid w:val="00574CC0"/>
    <w:rsid w:val="00575FB1"/>
    <w:rsid w:val="00575FEB"/>
    <w:rsid w:val="00576C2A"/>
    <w:rsid w:val="005773A2"/>
    <w:rsid w:val="00577A2B"/>
    <w:rsid w:val="00580761"/>
    <w:rsid w:val="00583B6B"/>
    <w:rsid w:val="00584052"/>
    <w:rsid w:val="005854F0"/>
    <w:rsid w:val="0058554A"/>
    <w:rsid w:val="005860D7"/>
    <w:rsid w:val="005915CE"/>
    <w:rsid w:val="0059287A"/>
    <w:rsid w:val="00592DD3"/>
    <w:rsid w:val="00593470"/>
    <w:rsid w:val="00593A3A"/>
    <w:rsid w:val="00595C61"/>
    <w:rsid w:val="005977FF"/>
    <w:rsid w:val="005A07C6"/>
    <w:rsid w:val="005A146F"/>
    <w:rsid w:val="005A18D8"/>
    <w:rsid w:val="005A4A46"/>
    <w:rsid w:val="005A6CF0"/>
    <w:rsid w:val="005B04D5"/>
    <w:rsid w:val="005B0DA5"/>
    <w:rsid w:val="005B3EDE"/>
    <w:rsid w:val="005B6C52"/>
    <w:rsid w:val="005B700E"/>
    <w:rsid w:val="005C04D5"/>
    <w:rsid w:val="005C1A28"/>
    <w:rsid w:val="005C2872"/>
    <w:rsid w:val="005C4EF9"/>
    <w:rsid w:val="005C4FF7"/>
    <w:rsid w:val="005C591B"/>
    <w:rsid w:val="005C5A47"/>
    <w:rsid w:val="005C6065"/>
    <w:rsid w:val="005C7F08"/>
    <w:rsid w:val="005D0250"/>
    <w:rsid w:val="005D035C"/>
    <w:rsid w:val="005D0D8F"/>
    <w:rsid w:val="005D1F59"/>
    <w:rsid w:val="005D242B"/>
    <w:rsid w:val="005D4291"/>
    <w:rsid w:val="005D4C5E"/>
    <w:rsid w:val="005D4CF7"/>
    <w:rsid w:val="005D5E59"/>
    <w:rsid w:val="005D7AE7"/>
    <w:rsid w:val="005E0A71"/>
    <w:rsid w:val="005E1A35"/>
    <w:rsid w:val="005E1FC2"/>
    <w:rsid w:val="005E4807"/>
    <w:rsid w:val="005E4DE1"/>
    <w:rsid w:val="005E4EBE"/>
    <w:rsid w:val="005E5146"/>
    <w:rsid w:val="005E62F6"/>
    <w:rsid w:val="005E64C5"/>
    <w:rsid w:val="005F067E"/>
    <w:rsid w:val="005F0A51"/>
    <w:rsid w:val="005F2AC3"/>
    <w:rsid w:val="005F36A6"/>
    <w:rsid w:val="005F495E"/>
    <w:rsid w:val="005F50E8"/>
    <w:rsid w:val="005F5557"/>
    <w:rsid w:val="005F5758"/>
    <w:rsid w:val="005F598C"/>
    <w:rsid w:val="005F68E8"/>
    <w:rsid w:val="005F6CC3"/>
    <w:rsid w:val="006020E7"/>
    <w:rsid w:val="00602577"/>
    <w:rsid w:val="00602C53"/>
    <w:rsid w:val="006031E7"/>
    <w:rsid w:val="00603E08"/>
    <w:rsid w:val="00604E92"/>
    <w:rsid w:val="00605DF1"/>
    <w:rsid w:val="00605DFE"/>
    <w:rsid w:val="00605F73"/>
    <w:rsid w:val="00606193"/>
    <w:rsid w:val="006069B9"/>
    <w:rsid w:val="00606C16"/>
    <w:rsid w:val="006100DE"/>
    <w:rsid w:val="00610C3A"/>
    <w:rsid w:val="00611F9E"/>
    <w:rsid w:val="00613032"/>
    <w:rsid w:val="00614648"/>
    <w:rsid w:val="00614FB1"/>
    <w:rsid w:val="00616B3C"/>
    <w:rsid w:val="00617F29"/>
    <w:rsid w:val="00617F9B"/>
    <w:rsid w:val="00621186"/>
    <w:rsid w:val="00622165"/>
    <w:rsid w:val="0062361F"/>
    <w:rsid w:val="006246CA"/>
    <w:rsid w:val="00624F1B"/>
    <w:rsid w:val="00625A93"/>
    <w:rsid w:val="00626203"/>
    <w:rsid w:val="0063003D"/>
    <w:rsid w:val="00630287"/>
    <w:rsid w:val="006333DA"/>
    <w:rsid w:val="006333E9"/>
    <w:rsid w:val="00633EB0"/>
    <w:rsid w:val="006341B9"/>
    <w:rsid w:val="0063476B"/>
    <w:rsid w:val="0063687F"/>
    <w:rsid w:val="0064057A"/>
    <w:rsid w:val="00642E39"/>
    <w:rsid w:val="00643AC8"/>
    <w:rsid w:val="00643F47"/>
    <w:rsid w:val="00644007"/>
    <w:rsid w:val="00645363"/>
    <w:rsid w:val="0064540F"/>
    <w:rsid w:val="006516B1"/>
    <w:rsid w:val="00651797"/>
    <w:rsid w:val="00651B8F"/>
    <w:rsid w:val="00654243"/>
    <w:rsid w:val="006556F3"/>
    <w:rsid w:val="0065588C"/>
    <w:rsid w:val="00655ACA"/>
    <w:rsid w:val="00656CEE"/>
    <w:rsid w:val="00657201"/>
    <w:rsid w:val="00657EB1"/>
    <w:rsid w:val="00660794"/>
    <w:rsid w:val="0066134B"/>
    <w:rsid w:val="006622C5"/>
    <w:rsid w:val="006636DF"/>
    <w:rsid w:val="00663945"/>
    <w:rsid w:val="00664F09"/>
    <w:rsid w:val="00665F4E"/>
    <w:rsid w:val="00666532"/>
    <w:rsid w:val="006672FF"/>
    <w:rsid w:val="0066748B"/>
    <w:rsid w:val="00671CF4"/>
    <w:rsid w:val="0067206C"/>
    <w:rsid w:val="006736AD"/>
    <w:rsid w:val="00674EDF"/>
    <w:rsid w:val="006756CE"/>
    <w:rsid w:val="00677880"/>
    <w:rsid w:val="0067793F"/>
    <w:rsid w:val="006805C7"/>
    <w:rsid w:val="006806F0"/>
    <w:rsid w:val="00680C90"/>
    <w:rsid w:val="00682371"/>
    <w:rsid w:val="0069016A"/>
    <w:rsid w:val="0069081B"/>
    <w:rsid w:val="00690C21"/>
    <w:rsid w:val="00690D96"/>
    <w:rsid w:val="006917A2"/>
    <w:rsid w:val="00692BCB"/>
    <w:rsid w:val="00694529"/>
    <w:rsid w:val="00694550"/>
    <w:rsid w:val="00694851"/>
    <w:rsid w:val="00694D1C"/>
    <w:rsid w:val="006951C9"/>
    <w:rsid w:val="00696BB7"/>
    <w:rsid w:val="00696E93"/>
    <w:rsid w:val="00697DE9"/>
    <w:rsid w:val="006A103B"/>
    <w:rsid w:val="006A1B7B"/>
    <w:rsid w:val="006A441C"/>
    <w:rsid w:val="006A4F05"/>
    <w:rsid w:val="006A523E"/>
    <w:rsid w:val="006A65CD"/>
    <w:rsid w:val="006A6AB0"/>
    <w:rsid w:val="006A7A66"/>
    <w:rsid w:val="006B157D"/>
    <w:rsid w:val="006B1F36"/>
    <w:rsid w:val="006B28EF"/>
    <w:rsid w:val="006B392C"/>
    <w:rsid w:val="006B42B3"/>
    <w:rsid w:val="006B4464"/>
    <w:rsid w:val="006B54B7"/>
    <w:rsid w:val="006B567B"/>
    <w:rsid w:val="006B5EC0"/>
    <w:rsid w:val="006B6395"/>
    <w:rsid w:val="006B74DB"/>
    <w:rsid w:val="006B7BC2"/>
    <w:rsid w:val="006C02E6"/>
    <w:rsid w:val="006C13C1"/>
    <w:rsid w:val="006C1A30"/>
    <w:rsid w:val="006C2081"/>
    <w:rsid w:val="006C391E"/>
    <w:rsid w:val="006C3F25"/>
    <w:rsid w:val="006C54F5"/>
    <w:rsid w:val="006C57BC"/>
    <w:rsid w:val="006C60A5"/>
    <w:rsid w:val="006D01E9"/>
    <w:rsid w:val="006D0F15"/>
    <w:rsid w:val="006D1CB9"/>
    <w:rsid w:val="006D2283"/>
    <w:rsid w:val="006D22BE"/>
    <w:rsid w:val="006D27D3"/>
    <w:rsid w:val="006D2D6C"/>
    <w:rsid w:val="006D2E82"/>
    <w:rsid w:val="006D3091"/>
    <w:rsid w:val="006D3327"/>
    <w:rsid w:val="006D3586"/>
    <w:rsid w:val="006D777A"/>
    <w:rsid w:val="006D7E81"/>
    <w:rsid w:val="006E04AD"/>
    <w:rsid w:val="006E0AFC"/>
    <w:rsid w:val="006E2184"/>
    <w:rsid w:val="006E2B66"/>
    <w:rsid w:val="006E3A46"/>
    <w:rsid w:val="006E3A62"/>
    <w:rsid w:val="006E3DF9"/>
    <w:rsid w:val="006E3FE5"/>
    <w:rsid w:val="006E48D8"/>
    <w:rsid w:val="006E51EA"/>
    <w:rsid w:val="006E58CE"/>
    <w:rsid w:val="006E68DC"/>
    <w:rsid w:val="006F0832"/>
    <w:rsid w:val="006F1435"/>
    <w:rsid w:val="006F193B"/>
    <w:rsid w:val="006F1A27"/>
    <w:rsid w:val="006F25F0"/>
    <w:rsid w:val="006F2698"/>
    <w:rsid w:val="006F26FA"/>
    <w:rsid w:val="006F2852"/>
    <w:rsid w:val="006F3051"/>
    <w:rsid w:val="006F32E4"/>
    <w:rsid w:val="006F3BFF"/>
    <w:rsid w:val="006F3E74"/>
    <w:rsid w:val="006F6078"/>
    <w:rsid w:val="006F7AC7"/>
    <w:rsid w:val="007008EC"/>
    <w:rsid w:val="0070275F"/>
    <w:rsid w:val="00702EF3"/>
    <w:rsid w:val="00703442"/>
    <w:rsid w:val="0070377D"/>
    <w:rsid w:val="00703F38"/>
    <w:rsid w:val="00703FDC"/>
    <w:rsid w:val="00707128"/>
    <w:rsid w:val="0071040B"/>
    <w:rsid w:val="0071054B"/>
    <w:rsid w:val="00711D6C"/>
    <w:rsid w:val="007131DE"/>
    <w:rsid w:val="007149AD"/>
    <w:rsid w:val="007152FB"/>
    <w:rsid w:val="00715E0E"/>
    <w:rsid w:val="0071753C"/>
    <w:rsid w:val="0072013C"/>
    <w:rsid w:val="00720DFC"/>
    <w:rsid w:val="00722B0B"/>
    <w:rsid w:val="007230E9"/>
    <w:rsid w:val="00723916"/>
    <w:rsid w:val="00725EC3"/>
    <w:rsid w:val="00726689"/>
    <w:rsid w:val="007267B5"/>
    <w:rsid w:val="00726F6A"/>
    <w:rsid w:val="00727907"/>
    <w:rsid w:val="00736D0C"/>
    <w:rsid w:val="007378C4"/>
    <w:rsid w:val="007402FF"/>
    <w:rsid w:val="00744995"/>
    <w:rsid w:val="00746AA4"/>
    <w:rsid w:val="00746CFE"/>
    <w:rsid w:val="0074700A"/>
    <w:rsid w:val="007504F0"/>
    <w:rsid w:val="00750C83"/>
    <w:rsid w:val="00754AA1"/>
    <w:rsid w:val="00754AEB"/>
    <w:rsid w:val="00754D4F"/>
    <w:rsid w:val="00756857"/>
    <w:rsid w:val="007577C0"/>
    <w:rsid w:val="00757BDF"/>
    <w:rsid w:val="0076108F"/>
    <w:rsid w:val="007634A1"/>
    <w:rsid w:val="00765616"/>
    <w:rsid w:val="00765C57"/>
    <w:rsid w:val="007661F5"/>
    <w:rsid w:val="00767859"/>
    <w:rsid w:val="00773688"/>
    <w:rsid w:val="00774CFE"/>
    <w:rsid w:val="00774F16"/>
    <w:rsid w:val="00774FEA"/>
    <w:rsid w:val="00776E73"/>
    <w:rsid w:val="007772E3"/>
    <w:rsid w:val="00777463"/>
    <w:rsid w:val="0078000E"/>
    <w:rsid w:val="00780662"/>
    <w:rsid w:val="00781F1E"/>
    <w:rsid w:val="00785256"/>
    <w:rsid w:val="007852CB"/>
    <w:rsid w:val="007861CF"/>
    <w:rsid w:val="00786532"/>
    <w:rsid w:val="00786671"/>
    <w:rsid w:val="0079031E"/>
    <w:rsid w:val="00791654"/>
    <w:rsid w:val="007922F6"/>
    <w:rsid w:val="00794918"/>
    <w:rsid w:val="007955F3"/>
    <w:rsid w:val="00795F8B"/>
    <w:rsid w:val="00796433"/>
    <w:rsid w:val="007973F2"/>
    <w:rsid w:val="00797B70"/>
    <w:rsid w:val="00797C39"/>
    <w:rsid w:val="007A0D71"/>
    <w:rsid w:val="007A1E0D"/>
    <w:rsid w:val="007A24D1"/>
    <w:rsid w:val="007A3732"/>
    <w:rsid w:val="007A550E"/>
    <w:rsid w:val="007A6893"/>
    <w:rsid w:val="007A761D"/>
    <w:rsid w:val="007A7A89"/>
    <w:rsid w:val="007A7E8C"/>
    <w:rsid w:val="007B080D"/>
    <w:rsid w:val="007B0FC3"/>
    <w:rsid w:val="007B1741"/>
    <w:rsid w:val="007B201F"/>
    <w:rsid w:val="007B2799"/>
    <w:rsid w:val="007B2E4D"/>
    <w:rsid w:val="007B3B82"/>
    <w:rsid w:val="007B475C"/>
    <w:rsid w:val="007B4F4C"/>
    <w:rsid w:val="007B58A9"/>
    <w:rsid w:val="007B5F87"/>
    <w:rsid w:val="007B629D"/>
    <w:rsid w:val="007B6A93"/>
    <w:rsid w:val="007B7D82"/>
    <w:rsid w:val="007C0BA6"/>
    <w:rsid w:val="007C0BFB"/>
    <w:rsid w:val="007C0F64"/>
    <w:rsid w:val="007C1ECB"/>
    <w:rsid w:val="007C28E1"/>
    <w:rsid w:val="007C37AC"/>
    <w:rsid w:val="007C382E"/>
    <w:rsid w:val="007C452C"/>
    <w:rsid w:val="007C467C"/>
    <w:rsid w:val="007C5319"/>
    <w:rsid w:val="007C610D"/>
    <w:rsid w:val="007C62A3"/>
    <w:rsid w:val="007D0BAE"/>
    <w:rsid w:val="007D1798"/>
    <w:rsid w:val="007D1A8C"/>
    <w:rsid w:val="007D3237"/>
    <w:rsid w:val="007D3A17"/>
    <w:rsid w:val="007D3A1D"/>
    <w:rsid w:val="007D4165"/>
    <w:rsid w:val="007D49C2"/>
    <w:rsid w:val="007D5534"/>
    <w:rsid w:val="007D56B4"/>
    <w:rsid w:val="007E0561"/>
    <w:rsid w:val="007E2211"/>
    <w:rsid w:val="007E2A0B"/>
    <w:rsid w:val="007E2CBC"/>
    <w:rsid w:val="007E2E63"/>
    <w:rsid w:val="007E48F1"/>
    <w:rsid w:val="007E50AD"/>
    <w:rsid w:val="007E7682"/>
    <w:rsid w:val="007E7B0E"/>
    <w:rsid w:val="007F0308"/>
    <w:rsid w:val="007F0DDC"/>
    <w:rsid w:val="007F0F6D"/>
    <w:rsid w:val="007F32C1"/>
    <w:rsid w:val="007F3408"/>
    <w:rsid w:val="007F3D57"/>
    <w:rsid w:val="007F5739"/>
    <w:rsid w:val="007F5CE6"/>
    <w:rsid w:val="007F5DA6"/>
    <w:rsid w:val="007F6890"/>
    <w:rsid w:val="007F7235"/>
    <w:rsid w:val="00800AA9"/>
    <w:rsid w:val="00801F4B"/>
    <w:rsid w:val="00802334"/>
    <w:rsid w:val="0080256A"/>
    <w:rsid w:val="0080404F"/>
    <w:rsid w:val="00804884"/>
    <w:rsid w:val="00804B71"/>
    <w:rsid w:val="00804FE1"/>
    <w:rsid w:val="00805BDB"/>
    <w:rsid w:val="00806AA1"/>
    <w:rsid w:val="008073B2"/>
    <w:rsid w:val="008076FC"/>
    <w:rsid w:val="00807A88"/>
    <w:rsid w:val="00807D8A"/>
    <w:rsid w:val="00810A21"/>
    <w:rsid w:val="00811484"/>
    <w:rsid w:val="008116DD"/>
    <w:rsid w:val="0081187A"/>
    <w:rsid w:val="00812577"/>
    <w:rsid w:val="0081295F"/>
    <w:rsid w:val="0081388D"/>
    <w:rsid w:val="00813B97"/>
    <w:rsid w:val="00815D58"/>
    <w:rsid w:val="00816D3C"/>
    <w:rsid w:val="00821A61"/>
    <w:rsid w:val="00822181"/>
    <w:rsid w:val="00822352"/>
    <w:rsid w:val="00822F4C"/>
    <w:rsid w:val="0082445D"/>
    <w:rsid w:val="00824970"/>
    <w:rsid w:val="00826D47"/>
    <w:rsid w:val="00826E48"/>
    <w:rsid w:val="0082793C"/>
    <w:rsid w:val="00827E10"/>
    <w:rsid w:val="00830005"/>
    <w:rsid w:val="00830853"/>
    <w:rsid w:val="008337F8"/>
    <w:rsid w:val="008351A0"/>
    <w:rsid w:val="00836C7E"/>
    <w:rsid w:val="00836DE3"/>
    <w:rsid w:val="008374CE"/>
    <w:rsid w:val="0084075F"/>
    <w:rsid w:val="00841F16"/>
    <w:rsid w:val="00843753"/>
    <w:rsid w:val="008446F0"/>
    <w:rsid w:val="0084490B"/>
    <w:rsid w:val="00844D97"/>
    <w:rsid w:val="008476A3"/>
    <w:rsid w:val="008501E7"/>
    <w:rsid w:val="0085178C"/>
    <w:rsid w:val="008524DF"/>
    <w:rsid w:val="00852822"/>
    <w:rsid w:val="00852B4A"/>
    <w:rsid w:val="008532F0"/>
    <w:rsid w:val="00854B01"/>
    <w:rsid w:val="00855A62"/>
    <w:rsid w:val="00863BF5"/>
    <w:rsid w:val="00863E09"/>
    <w:rsid w:val="00864075"/>
    <w:rsid w:val="008652FF"/>
    <w:rsid w:val="0086531C"/>
    <w:rsid w:val="00866915"/>
    <w:rsid w:val="00870E8C"/>
    <w:rsid w:val="0087121A"/>
    <w:rsid w:val="00873742"/>
    <w:rsid w:val="008738FF"/>
    <w:rsid w:val="0087469A"/>
    <w:rsid w:val="00877A20"/>
    <w:rsid w:val="00881AA0"/>
    <w:rsid w:val="008832FA"/>
    <w:rsid w:val="008835D6"/>
    <w:rsid w:val="00883614"/>
    <w:rsid w:val="008840B4"/>
    <w:rsid w:val="0088471C"/>
    <w:rsid w:val="00885FC5"/>
    <w:rsid w:val="008865A5"/>
    <w:rsid w:val="00886C38"/>
    <w:rsid w:val="00887467"/>
    <w:rsid w:val="0088768C"/>
    <w:rsid w:val="00887848"/>
    <w:rsid w:val="00890700"/>
    <w:rsid w:val="008910E1"/>
    <w:rsid w:val="0089223A"/>
    <w:rsid w:val="008940ED"/>
    <w:rsid w:val="00894DF7"/>
    <w:rsid w:val="00897C59"/>
    <w:rsid w:val="008A0922"/>
    <w:rsid w:val="008A1E93"/>
    <w:rsid w:val="008A31AF"/>
    <w:rsid w:val="008A3C49"/>
    <w:rsid w:val="008A530F"/>
    <w:rsid w:val="008A579B"/>
    <w:rsid w:val="008A5D46"/>
    <w:rsid w:val="008A5E7B"/>
    <w:rsid w:val="008A7CD0"/>
    <w:rsid w:val="008B176B"/>
    <w:rsid w:val="008B44E3"/>
    <w:rsid w:val="008B4F1D"/>
    <w:rsid w:val="008B6AE8"/>
    <w:rsid w:val="008C0CF3"/>
    <w:rsid w:val="008C1BF6"/>
    <w:rsid w:val="008C3554"/>
    <w:rsid w:val="008C5B1B"/>
    <w:rsid w:val="008D0A0E"/>
    <w:rsid w:val="008D1503"/>
    <w:rsid w:val="008D442D"/>
    <w:rsid w:val="008D4645"/>
    <w:rsid w:val="008D61FA"/>
    <w:rsid w:val="008D75C4"/>
    <w:rsid w:val="008E052F"/>
    <w:rsid w:val="008E0911"/>
    <w:rsid w:val="008E1577"/>
    <w:rsid w:val="008E2F20"/>
    <w:rsid w:val="008E37EF"/>
    <w:rsid w:val="008E57E9"/>
    <w:rsid w:val="008E5FCB"/>
    <w:rsid w:val="008E66FE"/>
    <w:rsid w:val="008E6C1A"/>
    <w:rsid w:val="008F0C32"/>
    <w:rsid w:val="008F0C3B"/>
    <w:rsid w:val="008F18E0"/>
    <w:rsid w:val="008F34F1"/>
    <w:rsid w:val="008F55E7"/>
    <w:rsid w:val="008F67A3"/>
    <w:rsid w:val="008F6810"/>
    <w:rsid w:val="008F72F0"/>
    <w:rsid w:val="008F7C9F"/>
    <w:rsid w:val="008F7E24"/>
    <w:rsid w:val="009000FF"/>
    <w:rsid w:val="00901F1A"/>
    <w:rsid w:val="0090260D"/>
    <w:rsid w:val="0090294F"/>
    <w:rsid w:val="00903DEA"/>
    <w:rsid w:val="009044E5"/>
    <w:rsid w:val="00904CC9"/>
    <w:rsid w:val="00905179"/>
    <w:rsid w:val="00905C7A"/>
    <w:rsid w:val="0090639B"/>
    <w:rsid w:val="00906534"/>
    <w:rsid w:val="00906659"/>
    <w:rsid w:val="0090674A"/>
    <w:rsid w:val="00906A26"/>
    <w:rsid w:val="00906D72"/>
    <w:rsid w:val="009070E6"/>
    <w:rsid w:val="0090725B"/>
    <w:rsid w:val="009108ED"/>
    <w:rsid w:val="00911C97"/>
    <w:rsid w:val="009134C5"/>
    <w:rsid w:val="009138C3"/>
    <w:rsid w:val="00913CE4"/>
    <w:rsid w:val="009151A1"/>
    <w:rsid w:val="00916CD8"/>
    <w:rsid w:val="00917334"/>
    <w:rsid w:val="00920DF4"/>
    <w:rsid w:val="00921008"/>
    <w:rsid w:val="009240EF"/>
    <w:rsid w:val="0092414F"/>
    <w:rsid w:val="009248CA"/>
    <w:rsid w:val="00925A10"/>
    <w:rsid w:val="00925BAB"/>
    <w:rsid w:val="009279DB"/>
    <w:rsid w:val="0093081D"/>
    <w:rsid w:val="0093134E"/>
    <w:rsid w:val="00932472"/>
    <w:rsid w:val="00933F45"/>
    <w:rsid w:val="00934C75"/>
    <w:rsid w:val="00935626"/>
    <w:rsid w:val="00935EC1"/>
    <w:rsid w:val="009371B1"/>
    <w:rsid w:val="00940684"/>
    <w:rsid w:val="00941019"/>
    <w:rsid w:val="00941587"/>
    <w:rsid w:val="0094189E"/>
    <w:rsid w:val="00943A19"/>
    <w:rsid w:val="00944DC2"/>
    <w:rsid w:val="0094775D"/>
    <w:rsid w:val="0095128C"/>
    <w:rsid w:val="00952E84"/>
    <w:rsid w:val="00953065"/>
    <w:rsid w:val="00953D51"/>
    <w:rsid w:val="00954FA7"/>
    <w:rsid w:val="00957EC7"/>
    <w:rsid w:val="00960073"/>
    <w:rsid w:val="009600AC"/>
    <w:rsid w:val="00961BE9"/>
    <w:rsid w:val="00962236"/>
    <w:rsid w:val="00963BBC"/>
    <w:rsid w:val="00964848"/>
    <w:rsid w:val="00965B69"/>
    <w:rsid w:val="00965B9E"/>
    <w:rsid w:val="00965E8C"/>
    <w:rsid w:val="00965FDC"/>
    <w:rsid w:val="009704B0"/>
    <w:rsid w:val="00970615"/>
    <w:rsid w:val="00970661"/>
    <w:rsid w:val="00971693"/>
    <w:rsid w:val="00972CED"/>
    <w:rsid w:val="0097336D"/>
    <w:rsid w:val="00973410"/>
    <w:rsid w:val="009739E1"/>
    <w:rsid w:val="00973BB2"/>
    <w:rsid w:val="00974733"/>
    <w:rsid w:val="009747E1"/>
    <w:rsid w:val="009749F0"/>
    <w:rsid w:val="00976AB5"/>
    <w:rsid w:val="00977A28"/>
    <w:rsid w:val="00977D74"/>
    <w:rsid w:val="009803D3"/>
    <w:rsid w:val="0098083B"/>
    <w:rsid w:val="00981B6E"/>
    <w:rsid w:val="00986BE9"/>
    <w:rsid w:val="009872C3"/>
    <w:rsid w:val="00991F7B"/>
    <w:rsid w:val="00994370"/>
    <w:rsid w:val="009952B1"/>
    <w:rsid w:val="00996A75"/>
    <w:rsid w:val="00996FCC"/>
    <w:rsid w:val="00997A84"/>
    <w:rsid w:val="009A0D9A"/>
    <w:rsid w:val="009A0EA3"/>
    <w:rsid w:val="009A184C"/>
    <w:rsid w:val="009A2B22"/>
    <w:rsid w:val="009A2F0E"/>
    <w:rsid w:val="009A3A1D"/>
    <w:rsid w:val="009A3DC1"/>
    <w:rsid w:val="009A49A7"/>
    <w:rsid w:val="009A4CD5"/>
    <w:rsid w:val="009A4D50"/>
    <w:rsid w:val="009A516A"/>
    <w:rsid w:val="009A7C75"/>
    <w:rsid w:val="009B03E7"/>
    <w:rsid w:val="009B0FE8"/>
    <w:rsid w:val="009B1136"/>
    <w:rsid w:val="009B43C9"/>
    <w:rsid w:val="009B5E0A"/>
    <w:rsid w:val="009B7C92"/>
    <w:rsid w:val="009B7E2A"/>
    <w:rsid w:val="009C0D44"/>
    <w:rsid w:val="009C1FE9"/>
    <w:rsid w:val="009C2A3B"/>
    <w:rsid w:val="009C30B2"/>
    <w:rsid w:val="009C47A1"/>
    <w:rsid w:val="009C4BF6"/>
    <w:rsid w:val="009C559E"/>
    <w:rsid w:val="009C6A62"/>
    <w:rsid w:val="009D06F2"/>
    <w:rsid w:val="009D0857"/>
    <w:rsid w:val="009D0C1A"/>
    <w:rsid w:val="009D49F8"/>
    <w:rsid w:val="009D4C0A"/>
    <w:rsid w:val="009D4E9D"/>
    <w:rsid w:val="009D5419"/>
    <w:rsid w:val="009D6013"/>
    <w:rsid w:val="009D6467"/>
    <w:rsid w:val="009E006F"/>
    <w:rsid w:val="009E064E"/>
    <w:rsid w:val="009E0E8A"/>
    <w:rsid w:val="009E2AAB"/>
    <w:rsid w:val="009E3D76"/>
    <w:rsid w:val="009E4065"/>
    <w:rsid w:val="009E4896"/>
    <w:rsid w:val="009E51C6"/>
    <w:rsid w:val="009E7375"/>
    <w:rsid w:val="009E7487"/>
    <w:rsid w:val="009E7882"/>
    <w:rsid w:val="009E79C3"/>
    <w:rsid w:val="009E7A12"/>
    <w:rsid w:val="009F001E"/>
    <w:rsid w:val="009F0172"/>
    <w:rsid w:val="009F08E7"/>
    <w:rsid w:val="009F0ABC"/>
    <w:rsid w:val="009F22D5"/>
    <w:rsid w:val="009F36DC"/>
    <w:rsid w:val="009F37C8"/>
    <w:rsid w:val="009F50B7"/>
    <w:rsid w:val="009F55B7"/>
    <w:rsid w:val="009F670E"/>
    <w:rsid w:val="009F74B6"/>
    <w:rsid w:val="00A022C3"/>
    <w:rsid w:val="00A033AF"/>
    <w:rsid w:val="00A03DB8"/>
    <w:rsid w:val="00A04C3D"/>
    <w:rsid w:val="00A04E72"/>
    <w:rsid w:val="00A06EBC"/>
    <w:rsid w:val="00A07385"/>
    <w:rsid w:val="00A11BEB"/>
    <w:rsid w:val="00A12EE3"/>
    <w:rsid w:val="00A15048"/>
    <w:rsid w:val="00A15459"/>
    <w:rsid w:val="00A15584"/>
    <w:rsid w:val="00A20729"/>
    <w:rsid w:val="00A21256"/>
    <w:rsid w:val="00A22CC9"/>
    <w:rsid w:val="00A23723"/>
    <w:rsid w:val="00A27C97"/>
    <w:rsid w:val="00A3173F"/>
    <w:rsid w:val="00A318AE"/>
    <w:rsid w:val="00A32CD4"/>
    <w:rsid w:val="00A32D67"/>
    <w:rsid w:val="00A344BE"/>
    <w:rsid w:val="00A34565"/>
    <w:rsid w:val="00A34956"/>
    <w:rsid w:val="00A34B7C"/>
    <w:rsid w:val="00A34CEB"/>
    <w:rsid w:val="00A3611B"/>
    <w:rsid w:val="00A376CE"/>
    <w:rsid w:val="00A37EFD"/>
    <w:rsid w:val="00A40196"/>
    <w:rsid w:val="00A4092D"/>
    <w:rsid w:val="00A40CC7"/>
    <w:rsid w:val="00A40F51"/>
    <w:rsid w:val="00A41EAE"/>
    <w:rsid w:val="00A429CC"/>
    <w:rsid w:val="00A4369C"/>
    <w:rsid w:val="00A45480"/>
    <w:rsid w:val="00A45AB8"/>
    <w:rsid w:val="00A45D69"/>
    <w:rsid w:val="00A467D8"/>
    <w:rsid w:val="00A505BB"/>
    <w:rsid w:val="00A50FE8"/>
    <w:rsid w:val="00A51E7D"/>
    <w:rsid w:val="00A52672"/>
    <w:rsid w:val="00A52B6A"/>
    <w:rsid w:val="00A532C9"/>
    <w:rsid w:val="00A5442A"/>
    <w:rsid w:val="00A55E9E"/>
    <w:rsid w:val="00A561E7"/>
    <w:rsid w:val="00A5699D"/>
    <w:rsid w:val="00A576D2"/>
    <w:rsid w:val="00A619E3"/>
    <w:rsid w:val="00A643B9"/>
    <w:rsid w:val="00A645D4"/>
    <w:rsid w:val="00A64812"/>
    <w:rsid w:val="00A6559B"/>
    <w:rsid w:val="00A66838"/>
    <w:rsid w:val="00A7198A"/>
    <w:rsid w:val="00A74032"/>
    <w:rsid w:val="00A80973"/>
    <w:rsid w:val="00A819A1"/>
    <w:rsid w:val="00A81D8C"/>
    <w:rsid w:val="00A82C24"/>
    <w:rsid w:val="00A85427"/>
    <w:rsid w:val="00A85CE4"/>
    <w:rsid w:val="00A85E35"/>
    <w:rsid w:val="00A8628B"/>
    <w:rsid w:val="00A8676A"/>
    <w:rsid w:val="00A87877"/>
    <w:rsid w:val="00A92A05"/>
    <w:rsid w:val="00A93AA7"/>
    <w:rsid w:val="00A93E77"/>
    <w:rsid w:val="00A945D4"/>
    <w:rsid w:val="00A969A3"/>
    <w:rsid w:val="00A96A47"/>
    <w:rsid w:val="00A97EF2"/>
    <w:rsid w:val="00AA0C78"/>
    <w:rsid w:val="00AA1734"/>
    <w:rsid w:val="00AA3FF8"/>
    <w:rsid w:val="00AA5929"/>
    <w:rsid w:val="00AA6E2C"/>
    <w:rsid w:val="00AA7DE6"/>
    <w:rsid w:val="00AB128C"/>
    <w:rsid w:val="00AB17AD"/>
    <w:rsid w:val="00AB357B"/>
    <w:rsid w:val="00AB35D9"/>
    <w:rsid w:val="00AB6174"/>
    <w:rsid w:val="00AB7BEA"/>
    <w:rsid w:val="00AC0D4C"/>
    <w:rsid w:val="00AC0FC2"/>
    <w:rsid w:val="00AC1529"/>
    <w:rsid w:val="00AC2EF4"/>
    <w:rsid w:val="00AC6352"/>
    <w:rsid w:val="00AC767A"/>
    <w:rsid w:val="00AD1162"/>
    <w:rsid w:val="00AD1277"/>
    <w:rsid w:val="00AD23CB"/>
    <w:rsid w:val="00AD2624"/>
    <w:rsid w:val="00AD2E76"/>
    <w:rsid w:val="00AD3527"/>
    <w:rsid w:val="00AD505E"/>
    <w:rsid w:val="00AD55DA"/>
    <w:rsid w:val="00AE0200"/>
    <w:rsid w:val="00AE0D2C"/>
    <w:rsid w:val="00AE12AE"/>
    <w:rsid w:val="00AE1ACF"/>
    <w:rsid w:val="00AE2E4B"/>
    <w:rsid w:val="00AE4B70"/>
    <w:rsid w:val="00AE4D2F"/>
    <w:rsid w:val="00AE60BD"/>
    <w:rsid w:val="00AE6AE9"/>
    <w:rsid w:val="00AE75E3"/>
    <w:rsid w:val="00AF113E"/>
    <w:rsid w:val="00AF15B3"/>
    <w:rsid w:val="00AF16B1"/>
    <w:rsid w:val="00AF22BF"/>
    <w:rsid w:val="00AF4F96"/>
    <w:rsid w:val="00AF6F26"/>
    <w:rsid w:val="00AF720E"/>
    <w:rsid w:val="00B00A19"/>
    <w:rsid w:val="00B01567"/>
    <w:rsid w:val="00B02174"/>
    <w:rsid w:val="00B029F3"/>
    <w:rsid w:val="00B03422"/>
    <w:rsid w:val="00B038A3"/>
    <w:rsid w:val="00B069DF"/>
    <w:rsid w:val="00B075C5"/>
    <w:rsid w:val="00B102C5"/>
    <w:rsid w:val="00B105E6"/>
    <w:rsid w:val="00B12132"/>
    <w:rsid w:val="00B1262F"/>
    <w:rsid w:val="00B12C4B"/>
    <w:rsid w:val="00B14FF6"/>
    <w:rsid w:val="00B152E5"/>
    <w:rsid w:val="00B15845"/>
    <w:rsid w:val="00B1781A"/>
    <w:rsid w:val="00B219C0"/>
    <w:rsid w:val="00B22160"/>
    <w:rsid w:val="00B24153"/>
    <w:rsid w:val="00B24423"/>
    <w:rsid w:val="00B24513"/>
    <w:rsid w:val="00B24CFD"/>
    <w:rsid w:val="00B2559B"/>
    <w:rsid w:val="00B25619"/>
    <w:rsid w:val="00B2701D"/>
    <w:rsid w:val="00B27976"/>
    <w:rsid w:val="00B321B6"/>
    <w:rsid w:val="00B32295"/>
    <w:rsid w:val="00B35580"/>
    <w:rsid w:val="00B36D0D"/>
    <w:rsid w:val="00B417DC"/>
    <w:rsid w:val="00B42EFD"/>
    <w:rsid w:val="00B43182"/>
    <w:rsid w:val="00B46818"/>
    <w:rsid w:val="00B476A9"/>
    <w:rsid w:val="00B47983"/>
    <w:rsid w:val="00B47A88"/>
    <w:rsid w:val="00B51791"/>
    <w:rsid w:val="00B518B0"/>
    <w:rsid w:val="00B523D2"/>
    <w:rsid w:val="00B52994"/>
    <w:rsid w:val="00B541BF"/>
    <w:rsid w:val="00B5577A"/>
    <w:rsid w:val="00B55E12"/>
    <w:rsid w:val="00B608A3"/>
    <w:rsid w:val="00B64924"/>
    <w:rsid w:val="00B65076"/>
    <w:rsid w:val="00B66434"/>
    <w:rsid w:val="00B6755C"/>
    <w:rsid w:val="00B70A85"/>
    <w:rsid w:val="00B71E0F"/>
    <w:rsid w:val="00B73220"/>
    <w:rsid w:val="00B74054"/>
    <w:rsid w:val="00B74141"/>
    <w:rsid w:val="00B74F17"/>
    <w:rsid w:val="00B760AD"/>
    <w:rsid w:val="00B76467"/>
    <w:rsid w:val="00B769A3"/>
    <w:rsid w:val="00B774EF"/>
    <w:rsid w:val="00B77714"/>
    <w:rsid w:val="00B806EF"/>
    <w:rsid w:val="00B81379"/>
    <w:rsid w:val="00B81900"/>
    <w:rsid w:val="00B81A2F"/>
    <w:rsid w:val="00B82775"/>
    <w:rsid w:val="00B83AD9"/>
    <w:rsid w:val="00B83C65"/>
    <w:rsid w:val="00B83EBD"/>
    <w:rsid w:val="00B84071"/>
    <w:rsid w:val="00B84515"/>
    <w:rsid w:val="00B8473B"/>
    <w:rsid w:val="00B851D6"/>
    <w:rsid w:val="00B86835"/>
    <w:rsid w:val="00B87A3A"/>
    <w:rsid w:val="00B87E1D"/>
    <w:rsid w:val="00B91A55"/>
    <w:rsid w:val="00B9214D"/>
    <w:rsid w:val="00B93855"/>
    <w:rsid w:val="00B961D7"/>
    <w:rsid w:val="00BA18A4"/>
    <w:rsid w:val="00BA1CA4"/>
    <w:rsid w:val="00BA1E63"/>
    <w:rsid w:val="00BA2774"/>
    <w:rsid w:val="00BA2DC1"/>
    <w:rsid w:val="00BA341E"/>
    <w:rsid w:val="00BA34FE"/>
    <w:rsid w:val="00BA54A6"/>
    <w:rsid w:val="00BA70E3"/>
    <w:rsid w:val="00BB1914"/>
    <w:rsid w:val="00BB1C94"/>
    <w:rsid w:val="00BB293F"/>
    <w:rsid w:val="00BB42C0"/>
    <w:rsid w:val="00BB42D0"/>
    <w:rsid w:val="00BB4D59"/>
    <w:rsid w:val="00BB602E"/>
    <w:rsid w:val="00BC068C"/>
    <w:rsid w:val="00BC129D"/>
    <w:rsid w:val="00BC211C"/>
    <w:rsid w:val="00BC27C6"/>
    <w:rsid w:val="00BC2B8B"/>
    <w:rsid w:val="00BC2D04"/>
    <w:rsid w:val="00BC4D1B"/>
    <w:rsid w:val="00BC6813"/>
    <w:rsid w:val="00BC75CF"/>
    <w:rsid w:val="00BD0FE7"/>
    <w:rsid w:val="00BD1275"/>
    <w:rsid w:val="00BD4323"/>
    <w:rsid w:val="00BD49BD"/>
    <w:rsid w:val="00BD66B2"/>
    <w:rsid w:val="00BD6817"/>
    <w:rsid w:val="00BD7DB7"/>
    <w:rsid w:val="00BE0399"/>
    <w:rsid w:val="00BE1DE5"/>
    <w:rsid w:val="00BE2A10"/>
    <w:rsid w:val="00BE2A1D"/>
    <w:rsid w:val="00BE2DD5"/>
    <w:rsid w:val="00BE4593"/>
    <w:rsid w:val="00BE4B41"/>
    <w:rsid w:val="00BE5BEF"/>
    <w:rsid w:val="00BE5F95"/>
    <w:rsid w:val="00BE6784"/>
    <w:rsid w:val="00BE7140"/>
    <w:rsid w:val="00BF1328"/>
    <w:rsid w:val="00BF3034"/>
    <w:rsid w:val="00BF43BE"/>
    <w:rsid w:val="00BF5230"/>
    <w:rsid w:val="00BF56DD"/>
    <w:rsid w:val="00BF5D7D"/>
    <w:rsid w:val="00BF6F62"/>
    <w:rsid w:val="00BF73B7"/>
    <w:rsid w:val="00BF76F1"/>
    <w:rsid w:val="00BF7D57"/>
    <w:rsid w:val="00BF7F1F"/>
    <w:rsid w:val="00C0131F"/>
    <w:rsid w:val="00C03EF2"/>
    <w:rsid w:val="00C043C2"/>
    <w:rsid w:val="00C064ED"/>
    <w:rsid w:val="00C07276"/>
    <w:rsid w:val="00C1183E"/>
    <w:rsid w:val="00C131A6"/>
    <w:rsid w:val="00C13706"/>
    <w:rsid w:val="00C13A18"/>
    <w:rsid w:val="00C13CC3"/>
    <w:rsid w:val="00C1425E"/>
    <w:rsid w:val="00C15CC4"/>
    <w:rsid w:val="00C16DF1"/>
    <w:rsid w:val="00C179F1"/>
    <w:rsid w:val="00C21895"/>
    <w:rsid w:val="00C21AAF"/>
    <w:rsid w:val="00C2296E"/>
    <w:rsid w:val="00C232FB"/>
    <w:rsid w:val="00C23314"/>
    <w:rsid w:val="00C23D8F"/>
    <w:rsid w:val="00C24B1C"/>
    <w:rsid w:val="00C25D7F"/>
    <w:rsid w:val="00C26E08"/>
    <w:rsid w:val="00C27148"/>
    <w:rsid w:val="00C31961"/>
    <w:rsid w:val="00C32B4A"/>
    <w:rsid w:val="00C32FA3"/>
    <w:rsid w:val="00C333A0"/>
    <w:rsid w:val="00C33510"/>
    <w:rsid w:val="00C34B16"/>
    <w:rsid w:val="00C369E8"/>
    <w:rsid w:val="00C374AA"/>
    <w:rsid w:val="00C37A42"/>
    <w:rsid w:val="00C401EE"/>
    <w:rsid w:val="00C40815"/>
    <w:rsid w:val="00C416E3"/>
    <w:rsid w:val="00C41F4A"/>
    <w:rsid w:val="00C42F1A"/>
    <w:rsid w:val="00C430EC"/>
    <w:rsid w:val="00C44589"/>
    <w:rsid w:val="00C44821"/>
    <w:rsid w:val="00C46379"/>
    <w:rsid w:val="00C473AD"/>
    <w:rsid w:val="00C47FCF"/>
    <w:rsid w:val="00C50E84"/>
    <w:rsid w:val="00C5111E"/>
    <w:rsid w:val="00C534CF"/>
    <w:rsid w:val="00C535D0"/>
    <w:rsid w:val="00C54644"/>
    <w:rsid w:val="00C554EA"/>
    <w:rsid w:val="00C57406"/>
    <w:rsid w:val="00C578E2"/>
    <w:rsid w:val="00C57984"/>
    <w:rsid w:val="00C57AD1"/>
    <w:rsid w:val="00C57D70"/>
    <w:rsid w:val="00C57E24"/>
    <w:rsid w:val="00C6014C"/>
    <w:rsid w:val="00C60875"/>
    <w:rsid w:val="00C60EDC"/>
    <w:rsid w:val="00C61EE6"/>
    <w:rsid w:val="00C63561"/>
    <w:rsid w:val="00C6369B"/>
    <w:rsid w:val="00C63AC5"/>
    <w:rsid w:val="00C6444A"/>
    <w:rsid w:val="00C652A1"/>
    <w:rsid w:val="00C6617B"/>
    <w:rsid w:val="00C6661A"/>
    <w:rsid w:val="00C66659"/>
    <w:rsid w:val="00C66707"/>
    <w:rsid w:val="00C67BB5"/>
    <w:rsid w:val="00C67FFC"/>
    <w:rsid w:val="00C72420"/>
    <w:rsid w:val="00C72D90"/>
    <w:rsid w:val="00C73229"/>
    <w:rsid w:val="00C73332"/>
    <w:rsid w:val="00C73607"/>
    <w:rsid w:val="00C74E9E"/>
    <w:rsid w:val="00C75369"/>
    <w:rsid w:val="00C754C5"/>
    <w:rsid w:val="00C76BAB"/>
    <w:rsid w:val="00C77847"/>
    <w:rsid w:val="00C808A5"/>
    <w:rsid w:val="00C80E0C"/>
    <w:rsid w:val="00C81587"/>
    <w:rsid w:val="00C823DF"/>
    <w:rsid w:val="00C82E33"/>
    <w:rsid w:val="00C8305D"/>
    <w:rsid w:val="00C83A73"/>
    <w:rsid w:val="00C83FE1"/>
    <w:rsid w:val="00C85D78"/>
    <w:rsid w:val="00C91E42"/>
    <w:rsid w:val="00C92034"/>
    <w:rsid w:val="00C93004"/>
    <w:rsid w:val="00C936FB"/>
    <w:rsid w:val="00C94534"/>
    <w:rsid w:val="00C94664"/>
    <w:rsid w:val="00C96C9D"/>
    <w:rsid w:val="00CA083D"/>
    <w:rsid w:val="00CA0CDA"/>
    <w:rsid w:val="00CA0D67"/>
    <w:rsid w:val="00CA291E"/>
    <w:rsid w:val="00CA29E9"/>
    <w:rsid w:val="00CA403D"/>
    <w:rsid w:val="00CA4BD0"/>
    <w:rsid w:val="00CA5056"/>
    <w:rsid w:val="00CA57C0"/>
    <w:rsid w:val="00CB172C"/>
    <w:rsid w:val="00CB275E"/>
    <w:rsid w:val="00CB36A7"/>
    <w:rsid w:val="00CB5956"/>
    <w:rsid w:val="00CB641A"/>
    <w:rsid w:val="00CB6585"/>
    <w:rsid w:val="00CB7517"/>
    <w:rsid w:val="00CB7FD4"/>
    <w:rsid w:val="00CC07E0"/>
    <w:rsid w:val="00CC43EA"/>
    <w:rsid w:val="00CC51B4"/>
    <w:rsid w:val="00CC5B0C"/>
    <w:rsid w:val="00CC7929"/>
    <w:rsid w:val="00CD01ED"/>
    <w:rsid w:val="00CD06E9"/>
    <w:rsid w:val="00CD08DF"/>
    <w:rsid w:val="00CD2C2D"/>
    <w:rsid w:val="00CD3A95"/>
    <w:rsid w:val="00CD4C06"/>
    <w:rsid w:val="00CD5BBB"/>
    <w:rsid w:val="00CD6F0B"/>
    <w:rsid w:val="00CD7093"/>
    <w:rsid w:val="00CE00F1"/>
    <w:rsid w:val="00CE15C5"/>
    <w:rsid w:val="00CE2113"/>
    <w:rsid w:val="00CE289E"/>
    <w:rsid w:val="00CE2938"/>
    <w:rsid w:val="00CE391C"/>
    <w:rsid w:val="00CE47A7"/>
    <w:rsid w:val="00CE544E"/>
    <w:rsid w:val="00CE55F5"/>
    <w:rsid w:val="00CE6519"/>
    <w:rsid w:val="00CE6FAE"/>
    <w:rsid w:val="00CE7388"/>
    <w:rsid w:val="00CE7B0F"/>
    <w:rsid w:val="00CE7C7E"/>
    <w:rsid w:val="00CF0B19"/>
    <w:rsid w:val="00CF2064"/>
    <w:rsid w:val="00CF2243"/>
    <w:rsid w:val="00CF3283"/>
    <w:rsid w:val="00CF4E07"/>
    <w:rsid w:val="00CF7F33"/>
    <w:rsid w:val="00D01200"/>
    <w:rsid w:val="00D01D60"/>
    <w:rsid w:val="00D01F0D"/>
    <w:rsid w:val="00D04167"/>
    <w:rsid w:val="00D0464C"/>
    <w:rsid w:val="00D06162"/>
    <w:rsid w:val="00D07346"/>
    <w:rsid w:val="00D10A33"/>
    <w:rsid w:val="00D10DBA"/>
    <w:rsid w:val="00D112DD"/>
    <w:rsid w:val="00D119F4"/>
    <w:rsid w:val="00D11F66"/>
    <w:rsid w:val="00D12A78"/>
    <w:rsid w:val="00D13090"/>
    <w:rsid w:val="00D1336B"/>
    <w:rsid w:val="00D13A6F"/>
    <w:rsid w:val="00D13BC0"/>
    <w:rsid w:val="00D14CA1"/>
    <w:rsid w:val="00D16141"/>
    <w:rsid w:val="00D20C66"/>
    <w:rsid w:val="00D20E3F"/>
    <w:rsid w:val="00D232FD"/>
    <w:rsid w:val="00D273FF"/>
    <w:rsid w:val="00D27B7A"/>
    <w:rsid w:val="00D305FC"/>
    <w:rsid w:val="00D31230"/>
    <w:rsid w:val="00D314DE"/>
    <w:rsid w:val="00D32857"/>
    <w:rsid w:val="00D328F1"/>
    <w:rsid w:val="00D328F7"/>
    <w:rsid w:val="00D3292D"/>
    <w:rsid w:val="00D3315D"/>
    <w:rsid w:val="00D33BCE"/>
    <w:rsid w:val="00D34226"/>
    <w:rsid w:val="00D34719"/>
    <w:rsid w:val="00D34A52"/>
    <w:rsid w:val="00D35CA9"/>
    <w:rsid w:val="00D40B91"/>
    <w:rsid w:val="00D4134F"/>
    <w:rsid w:val="00D4161F"/>
    <w:rsid w:val="00D41821"/>
    <w:rsid w:val="00D41B07"/>
    <w:rsid w:val="00D420F7"/>
    <w:rsid w:val="00D42369"/>
    <w:rsid w:val="00D4241D"/>
    <w:rsid w:val="00D449BA"/>
    <w:rsid w:val="00D44D19"/>
    <w:rsid w:val="00D46662"/>
    <w:rsid w:val="00D473FC"/>
    <w:rsid w:val="00D479F9"/>
    <w:rsid w:val="00D502EC"/>
    <w:rsid w:val="00D50D1D"/>
    <w:rsid w:val="00D51BCE"/>
    <w:rsid w:val="00D5268E"/>
    <w:rsid w:val="00D55BBC"/>
    <w:rsid w:val="00D55E56"/>
    <w:rsid w:val="00D5677B"/>
    <w:rsid w:val="00D60FD0"/>
    <w:rsid w:val="00D61226"/>
    <w:rsid w:val="00D6182C"/>
    <w:rsid w:val="00D61C11"/>
    <w:rsid w:val="00D6267A"/>
    <w:rsid w:val="00D62D84"/>
    <w:rsid w:val="00D64E6D"/>
    <w:rsid w:val="00D66393"/>
    <w:rsid w:val="00D66BE9"/>
    <w:rsid w:val="00D67CA5"/>
    <w:rsid w:val="00D67D6B"/>
    <w:rsid w:val="00D719DF"/>
    <w:rsid w:val="00D7286D"/>
    <w:rsid w:val="00D72F94"/>
    <w:rsid w:val="00D74707"/>
    <w:rsid w:val="00D7558C"/>
    <w:rsid w:val="00D779D4"/>
    <w:rsid w:val="00D80EE5"/>
    <w:rsid w:val="00D81C5A"/>
    <w:rsid w:val="00D81D03"/>
    <w:rsid w:val="00D839B8"/>
    <w:rsid w:val="00D83AF0"/>
    <w:rsid w:val="00D845A2"/>
    <w:rsid w:val="00D84925"/>
    <w:rsid w:val="00D84B1B"/>
    <w:rsid w:val="00D85572"/>
    <w:rsid w:val="00D86E3B"/>
    <w:rsid w:val="00D86FDF"/>
    <w:rsid w:val="00D86FE8"/>
    <w:rsid w:val="00D872CE"/>
    <w:rsid w:val="00D9085C"/>
    <w:rsid w:val="00D91157"/>
    <w:rsid w:val="00D920C5"/>
    <w:rsid w:val="00D9261A"/>
    <w:rsid w:val="00D9399B"/>
    <w:rsid w:val="00D96067"/>
    <w:rsid w:val="00D9652C"/>
    <w:rsid w:val="00D96637"/>
    <w:rsid w:val="00D9701F"/>
    <w:rsid w:val="00DA305D"/>
    <w:rsid w:val="00DA3930"/>
    <w:rsid w:val="00DA4F30"/>
    <w:rsid w:val="00DA4FDD"/>
    <w:rsid w:val="00DA72BC"/>
    <w:rsid w:val="00DA7E77"/>
    <w:rsid w:val="00DB018A"/>
    <w:rsid w:val="00DB0779"/>
    <w:rsid w:val="00DB0E43"/>
    <w:rsid w:val="00DB1173"/>
    <w:rsid w:val="00DB171A"/>
    <w:rsid w:val="00DB2C52"/>
    <w:rsid w:val="00DB3BC6"/>
    <w:rsid w:val="00DB40B3"/>
    <w:rsid w:val="00DB6BB0"/>
    <w:rsid w:val="00DB7D46"/>
    <w:rsid w:val="00DC064D"/>
    <w:rsid w:val="00DC177A"/>
    <w:rsid w:val="00DC285E"/>
    <w:rsid w:val="00DC314B"/>
    <w:rsid w:val="00DC40C0"/>
    <w:rsid w:val="00DC4BF8"/>
    <w:rsid w:val="00DC5182"/>
    <w:rsid w:val="00DC57D5"/>
    <w:rsid w:val="00DC6987"/>
    <w:rsid w:val="00DC6F63"/>
    <w:rsid w:val="00DD002D"/>
    <w:rsid w:val="00DD025A"/>
    <w:rsid w:val="00DD0A00"/>
    <w:rsid w:val="00DD0CCB"/>
    <w:rsid w:val="00DD4D68"/>
    <w:rsid w:val="00DD5C1D"/>
    <w:rsid w:val="00DD7038"/>
    <w:rsid w:val="00DD7CEC"/>
    <w:rsid w:val="00DE06A0"/>
    <w:rsid w:val="00DE1E71"/>
    <w:rsid w:val="00DE2286"/>
    <w:rsid w:val="00DE26B6"/>
    <w:rsid w:val="00DE36BD"/>
    <w:rsid w:val="00DE5492"/>
    <w:rsid w:val="00DE6D4A"/>
    <w:rsid w:val="00DF09B4"/>
    <w:rsid w:val="00DF3DF5"/>
    <w:rsid w:val="00DF47FE"/>
    <w:rsid w:val="00DF514D"/>
    <w:rsid w:val="00DF61E0"/>
    <w:rsid w:val="00E000AA"/>
    <w:rsid w:val="00E025D2"/>
    <w:rsid w:val="00E03427"/>
    <w:rsid w:val="00E04615"/>
    <w:rsid w:val="00E04D4E"/>
    <w:rsid w:val="00E052F4"/>
    <w:rsid w:val="00E0612F"/>
    <w:rsid w:val="00E07847"/>
    <w:rsid w:val="00E10CE5"/>
    <w:rsid w:val="00E12029"/>
    <w:rsid w:val="00E135A1"/>
    <w:rsid w:val="00E139B4"/>
    <w:rsid w:val="00E13FAE"/>
    <w:rsid w:val="00E155C3"/>
    <w:rsid w:val="00E2138D"/>
    <w:rsid w:val="00E213D9"/>
    <w:rsid w:val="00E244DD"/>
    <w:rsid w:val="00E250EA"/>
    <w:rsid w:val="00E252D6"/>
    <w:rsid w:val="00E268D6"/>
    <w:rsid w:val="00E2690F"/>
    <w:rsid w:val="00E30429"/>
    <w:rsid w:val="00E30A6E"/>
    <w:rsid w:val="00E31281"/>
    <w:rsid w:val="00E3132D"/>
    <w:rsid w:val="00E324BC"/>
    <w:rsid w:val="00E32518"/>
    <w:rsid w:val="00E330F2"/>
    <w:rsid w:val="00E34FB8"/>
    <w:rsid w:val="00E35455"/>
    <w:rsid w:val="00E3561E"/>
    <w:rsid w:val="00E36364"/>
    <w:rsid w:val="00E41FF6"/>
    <w:rsid w:val="00E456BE"/>
    <w:rsid w:val="00E535A8"/>
    <w:rsid w:val="00E5437F"/>
    <w:rsid w:val="00E5569E"/>
    <w:rsid w:val="00E55E1B"/>
    <w:rsid w:val="00E573DB"/>
    <w:rsid w:val="00E57ACD"/>
    <w:rsid w:val="00E60F40"/>
    <w:rsid w:val="00E60FC7"/>
    <w:rsid w:val="00E63490"/>
    <w:rsid w:val="00E635F6"/>
    <w:rsid w:val="00E648EC"/>
    <w:rsid w:val="00E66B19"/>
    <w:rsid w:val="00E6740A"/>
    <w:rsid w:val="00E67EE0"/>
    <w:rsid w:val="00E70818"/>
    <w:rsid w:val="00E70C8C"/>
    <w:rsid w:val="00E71819"/>
    <w:rsid w:val="00E71ED2"/>
    <w:rsid w:val="00E73A0A"/>
    <w:rsid w:val="00E743CB"/>
    <w:rsid w:val="00E75368"/>
    <w:rsid w:val="00E75A86"/>
    <w:rsid w:val="00E76449"/>
    <w:rsid w:val="00E7656B"/>
    <w:rsid w:val="00E77606"/>
    <w:rsid w:val="00E80104"/>
    <w:rsid w:val="00E80481"/>
    <w:rsid w:val="00E80750"/>
    <w:rsid w:val="00E8088D"/>
    <w:rsid w:val="00E81104"/>
    <w:rsid w:val="00E82AEC"/>
    <w:rsid w:val="00E844CD"/>
    <w:rsid w:val="00E86F7B"/>
    <w:rsid w:val="00E87F8F"/>
    <w:rsid w:val="00E93F75"/>
    <w:rsid w:val="00E9620D"/>
    <w:rsid w:val="00E9679A"/>
    <w:rsid w:val="00EA02C5"/>
    <w:rsid w:val="00EA10B5"/>
    <w:rsid w:val="00EA10DA"/>
    <w:rsid w:val="00EA147D"/>
    <w:rsid w:val="00EA2217"/>
    <w:rsid w:val="00EA2677"/>
    <w:rsid w:val="00EA2A76"/>
    <w:rsid w:val="00EA51EF"/>
    <w:rsid w:val="00EA602C"/>
    <w:rsid w:val="00EA624F"/>
    <w:rsid w:val="00EA685E"/>
    <w:rsid w:val="00EA7430"/>
    <w:rsid w:val="00EA7E8C"/>
    <w:rsid w:val="00EB071E"/>
    <w:rsid w:val="00EB0E50"/>
    <w:rsid w:val="00EB136E"/>
    <w:rsid w:val="00EB1F0F"/>
    <w:rsid w:val="00EB361C"/>
    <w:rsid w:val="00EB372B"/>
    <w:rsid w:val="00EB4256"/>
    <w:rsid w:val="00EB47DB"/>
    <w:rsid w:val="00EB494B"/>
    <w:rsid w:val="00EB5535"/>
    <w:rsid w:val="00EB656D"/>
    <w:rsid w:val="00EB7EAC"/>
    <w:rsid w:val="00EC0257"/>
    <w:rsid w:val="00EC139C"/>
    <w:rsid w:val="00EC26A1"/>
    <w:rsid w:val="00EC28CC"/>
    <w:rsid w:val="00EC2CD3"/>
    <w:rsid w:val="00EC3B2B"/>
    <w:rsid w:val="00EC5711"/>
    <w:rsid w:val="00EC62A0"/>
    <w:rsid w:val="00EC6A70"/>
    <w:rsid w:val="00EC6C53"/>
    <w:rsid w:val="00EC704E"/>
    <w:rsid w:val="00EC78E1"/>
    <w:rsid w:val="00ED1106"/>
    <w:rsid w:val="00ED1151"/>
    <w:rsid w:val="00ED1545"/>
    <w:rsid w:val="00ED20A3"/>
    <w:rsid w:val="00ED2206"/>
    <w:rsid w:val="00ED2B71"/>
    <w:rsid w:val="00ED3BEB"/>
    <w:rsid w:val="00ED4313"/>
    <w:rsid w:val="00ED5821"/>
    <w:rsid w:val="00ED5DC9"/>
    <w:rsid w:val="00ED6206"/>
    <w:rsid w:val="00ED7B31"/>
    <w:rsid w:val="00EE1075"/>
    <w:rsid w:val="00EE2094"/>
    <w:rsid w:val="00EE230C"/>
    <w:rsid w:val="00EE25BA"/>
    <w:rsid w:val="00EE29AF"/>
    <w:rsid w:val="00EE31A3"/>
    <w:rsid w:val="00EE37E4"/>
    <w:rsid w:val="00EE395E"/>
    <w:rsid w:val="00EF2430"/>
    <w:rsid w:val="00EF2868"/>
    <w:rsid w:val="00EF29D1"/>
    <w:rsid w:val="00EF3456"/>
    <w:rsid w:val="00EF34C8"/>
    <w:rsid w:val="00EF497E"/>
    <w:rsid w:val="00EF6BEC"/>
    <w:rsid w:val="00EF7106"/>
    <w:rsid w:val="00F02024"/>
    <w:rsid w:val="00F02D29"/>
    <w:rsid w:val="00F05137"/>
    <w:rsid w:val="00F064FC"/>
    <w:rsid w:val="00F07248"/>
    <w:rsid w:val="00F10704"/>
    <w:rsid w:val="00F11454"/>
    <w:rsid w:val="00F11DE3"/>
    <w:rsid w:val="00F12A50"/>
    <w:rsid w:val="00F131B8"/>
    <w:rsid w:val="00F17838"/>
    <w:rsid w:val="00F2039B"/>
    <w:rsid w:val="00F205C9"/>
    <w:rsid w:val="00F21B2C"/>
    <w:rsid w:val="00F22089"/>
    <w:rsid w:val="00F22B98"/>
    <w:rsid w:val="00F23D59"/>
    <w:rsid w:val="00F2461C"/>
    <w:rsid w:val="00F25AB5"/>
    <w:rsid w:val="00F261E4"/>
    <w:rsid w:val="00F27295"/>
    <w:rsid w:val="00F303EB"/>
    <w:rsid w:val="00F308C2"/>
    <w:rsid w:val="00F32F9A"/>
    <w:rsid w:val="00F3537A"/>
    <w:rsid w:val="00F365C4"/>
    <w:rsid w:val="00F37B89"/>
    <w:rsid w:val="00F41D7F"/>
    <w:rsid w:val="00F421E6"/>
    <w:rsid w:val="00F42948"/>
    <w:rsid w:val="00F42C84"/>
    <w:rsid w:val="00F473E9"/>
    <w:rsid w:val="00F473F6"/>
    <w:rsid w:val="00F4757D"/>
    <w:rsid w:val="00F50B43"/>
    <w:rsid w:val="00F50CDA"/>
    <w:rsid w:val="00F50E30"/>
    <w:rsid w:val="00F51318"/>
    <w:rsid w:val="00F533F1"/>
    <w:rsid w:val="00F5374E"/>
    <w:rsid w:val="00F53D19"/>
    <w:rsid w:val="00F53FB3"/>
    <w:rsid w:val="00F544E5"/>
    <w:rsid w:val="00F56598"/>
    <w:rsid w:val="00F56A9B"/>
    <w:rsid w:val="00F60706"/>
    <w:rsid w:val="00F60A91"/>
    <w:rsid w:val="00F61E7F"/>
    <w:rsid w:val="00F63106"/>
    <w:rsid w:val="00F6395A"/>
    <w:rsid w:val="00F63A76"/>
    <w:rsid w:val="00F63F44"/>
    <w:rsid w:val="00F63F6F"/>
    <w:rsid w:val="00F64238"/>
    <w:rsid w:val="00F64AE8"/>
    <w:rsid w:val="00F700CB"/>
    <w:rsid w:val="00F7060D"/>
    <w:rsid w:val="00F71280"/>
    <w:rsid w:val="00F7212F"/>
    <w:rsid w:val="00F7282D"/>
    <w:rsid w:val="00F729C8"/>
    <w:rsid w:val="00F765D8"/>
    <w:rsid w:val="00F76F71"/>
    <w:rsid w:val="00F7773A"/>
    <w:rsid w:val="00F7796E"/>
    <w:rsid w:val="00F77E3C"/>
    <w:rsid w:val="00F82342"/>
    <w:rsid w:val="00F85D04"/>
    <w:rsid w:val="00F8775D"/>
    <w:rsid w:val="00F878CA"/>
    <w:rsid w:val="00F87EEC"/>
    <w:rsid w:val="00F906F2"/>
    <w:rsid w:val="00F91641"/>
    <w:rsid w:val="00F92357"/>
    <w:rsid w:val="00F92A6E"/>
    <w:rsid w:val="00F93128"/>
    <w:rsid w:val="00F9566C"/>
    <w:rsid w:val="00F95C52"/>
    <w:rsid w:val="00F96BD8"/>
    <w:rsid w:val="00F97BF5"/>
    <w:rsid w:val="00FA2704"/>
    <w:rsid w:val="00FA330D"/>
    <w:rsid w:val="00FA4CB9"/>
    <w:rsid w:val="00FA53DA"/>
    <w:rsid w:val="00FA6500"/>
    <w:rsid w:val="00FA6C7A"/>
    <w:rsid w:val="00FA7377"/>
    <w:rsid w:val="00FA7B81"/>
    <w:rsid w:val="00FB0A21"/>
    <w:rsid w:val="00FB2017"/>
    <w:rsid w:val="00FB3A13"/>
    <w:rsid w:val="00FB4844"/>
    <w:rsid w:val="00FB560C"/>
    <w:rsid w:val="00FB779F"/>
    <w:rsid w:val="00FB7FD4"/>
    <w:rsid w:val="00FC07DD"/>
    <w:rsid w:val="00FC1E94"/>
    <w:rsid w:val="00FC39F4"/>
    <w:rsid w:val="00FC4A81"/>
    <w:rsid w:val="00FC4D48"/>
    <w:rsid w:val="00FC63F0"/>
    <w:rsid w:val="00FC72DD"/>
    <w:rsid w:val="00FC79AC"/>
    <w:rsid w:val="00FC7DF5"/>
    <w:rsid w:val="00FC7DF7"/>
    <w:rsid w:val="00FD14B6"/>
    <w:rsid w:val="00FD24C4"/>
    <w:rsid w:val="00FD27CA"/>
    <w:rsid w:val="00FD3224"/>
    <w:rsid w:val="00FD4190"/>
    <w:rsid w:val="00FD53B9"/>
    <w:rsid w:val="00FD5CF8"/>
    <w:rsid w:val="00FE0CC7"/>
    <w:rsid w:val="00FE1289"/>
    <w:rsid w:val="00FE205E"/>
    <w:rsid w:val="00FE2B76"/>
    <w:rsid w:val="00FE2D40"/>
    <w:rsid w:val="00FE2F23"/>
    <w:rsid w:val="00FE5E95"/>
    <w:rsid w:val="00FE69C6"/>
    <w:rsid w:val="00FE7D89"/>
    <w:rsid w:val="00FF0486"/>
    <w:rsid w:val="00FF068A"/>
    <w:rsid w:val="00FF1532"/>
    <w:rsid w:val="00FF15B0"/>
    <w:rsid w:val="00FF17A7"/>
    <w:rsid w:val="00FF5F9A"/>
    <w:rsid w:val="00FF612A"/>
    <w:rsid w:val="00FF6C7F"/>
    <w:rsid w:val="00FF738D"/>
    <w:rsid w:val="033D066E"/>
    <w:rsid w:val="03F37286"/>
    <w:rsid w:val="04335408"/>
    <w:rsid w:val="0A2D48BF"/>
    <w:rsid w:val="0A3412CD"/>
    <w:rsid w:val="0AE24743"/>
    <w:rsid w:val="0BAF4DBB"/>
    <w:rsid w:val="0E0C27EA"/>
    <w:rsid w:val="0E9B63EE"/>
    <w:rsid w:val="108109C9"/>
    <w:rsid w:val="12FF0EBB"/>
    <w:rsid w:val="133C1FF7"/>
    <w:rsid w:val="14710463"/>
    <w:rsid w:val="15F6527E"/>
    <w:rsid w:val="1697741D"/>
    <w:rsid w:val="178403F5"/>
    <w:rsid w:val="19EA3B7B"/>
    <w:rsid w:val="1A027439"/>
    <w:rsid w:val="1B5D6443"/>
    <w:rsid w:val="1C9A1E73"/>
    <w:rsid w:val="1C9B70FD"/>
    <w:rsid w:val="1DC16EE0"/>
    <w:rsid w:val="1E915C15"/>
    <w:rsid w:val="1FC40D3E"/>
    <w:rsid w:val="1FFE3D14"/>
    <w:rsid w:val="222A579A"/>
    <w:rsid w:val="2263676F"/>
    <w:rsid w:val="265D7B60"/>
    <w:rsid w:val="26C563DC"/>
    <w:rsid w:val="26E40025"/>
    <w:rsid w:val="27567996"/>
    <w:rsid w:val="28BB38F0"/>
    <w:rsid w:val="2A8A52DA"/>
    <w:rsid w:val="2AE049E4"/>
    <w:rsid w:val="2B267594"/>
    <w:rsid w:val="2BF74BF9"/>
    <w:rsid w:val="2CF4444F"/>
    <w:rsid w:val="2FC477F4"/>
    <w:rsid w:val="30534EBE"/>
    <w:rsid w:val="326443E6"/>
    <w:rsid w:val="361032EE"/>
    <w:rsid w:val="3632134D"/>
    <w:rsid w:val="37724E83"/>
    <w:rsid w:val="37844F25"/>
    <w:rsid w:val="37CF521C"/>
    <w:rsid w:val="38381737"/>
    <w:rsid w:val="3AFB0A05"/>
    <w:rsid w:val="3BE500DD"/>
    <w:rsid w:val="3C16011F"/>
    <w:rsid w:val="3C915208"/>
    <w:rsid w:val="3F366D42"/>
    <w:rsid w:val="408D24F7"/>
    <w:rsid w:val="42817287"/>
    <w:rsid w:val="43255E2E"/>
    <w:rsid w:val="439E3B39"/>
    <w:rsid w:val="46460C42"/>
    <w:rsid w:val="486F6565"/>
    <w:rsid w:val="49B17D53"/>
    <w:rsid w:val="49B3135E"/>
    <w:rsid w:val="4AC72D7C"/>
    <w:rsid w:val="4C074AC8"/>
    <w:rsid w:val="4ECA0DC4"/>
    <w:rsid w:val="4F3D7B0D"/>
    <w:rsid w:val="4FBC63B5"/>
    <w:rsid w:val="51480E67"/>
    <w:rsid w:val="539D713D"/>
    <w:rsid w:val="54E219D3"/>
    <w:rsid w:val="56F95568"/>
    <w:rsid w:val="572D3B16"/>
    <w:rsid w:val="58C00F38"/>
    <w:rsid w:val="5B2C22A7"/>
    <w:rsid w:val="5BCE032C"/>
    <w:rsid w:val="5CA859F0"/>
    <w:rsid w:val="5E857197"/>
    <w:rsid w:val="60E2707F"/>
    <w:rsid w:val="612F717E"/>
    <w:rsid w:val="61E8245C"/>
    <w:rsid w:val="6212725F"/>
    <w:rsid w:val="63FD48C4"/>
    <w:rsid w:val="64E95D40"/>
    <w:rsid w:val="65A11F4C"/>
    <w:rsid w:val="664E6392"/>
    <w:rsid w:val="6A6F3538"/>
    <w:rsid w:val="6B575DDC"/>
    <w:rsid w:val="6CBA149E"/>
    <w:rsid w:val="6D702F01"/>
    <w:rsid w:val="6E644C28"/>
    <w:rsid w:val="6EC42D9D"/>
    <w:rsid w:val="6FA700B6"/>
    <w:rsid w:val="717610F6"/>
    <w:rsid w:val="71A06DF8"/>
    <w:rsid w:val="71E722EB"/>
    <w:rsid w:val="72A908D5"/>
    <w:rsid w:val="735423F6"/>
    <w:rsid w:val="751921B3"/>
    <w:rsid w:val="759621D1"/>
    <w:rsid w:val="761B24E8"/>
    <w:rsid w:val="78827B8B"/>
    <w:rsid w:val="78A91FA6"/>
    <w:rsid w:val="796E4346"/>
    <w:rsid w:val="79FC704C"/>
    <w:rsid w:val="7A4B2A2F"/>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unhideWhenUsed/>
    <w:uiPriority w:val="1"/>
  </w:style>
  <w:style w:type="table" w:default="1" w:styleId="11">
    <w:name w:val="Normal Table"/>
    <w:unhideWhenUsed/>
    <w:uiPriority w:val="99"/>
    <w:tblPr>
      <w:tblStyle w:val="11"/>
      <w:tblLayout w:type="fixed"/>
      <w:tblCellMar>
        <w:top w:w="0" w:type="dxa"/>
        <w:left w:w="108" w:type="dxa"/>
        <w:bottom w:w="0" w:type="dxa"/>
        <w:right w:w="108" w:type="dxa"/>
      </w:tblCellMar>
    </w:tblPr>
    <w:tcPr>
      <w:textDirection w:val="lrTb"/>
    </w:tcPr>
  </w:style>
  <w:style w:type="paragraph" w:styleId="2">
    <w:name w:val="annotation subject"/>
    <w:basedOn w:val="3"/>
    <w:next w:val="3"/>
    <w:link w:val="27"/>
    <w:unhideWhenUsed/>
    <w:uiPriority w:val="99"/>
    <w:rPr>
      <w:b/>
      <w:bCs/>
    </w:rPr>
  </w:style>
  <w:style w:type="paragraph" w:styleId="3">
    <w:name w:val="annotation text"/>
    <w:basedOn w:val="1"/>
    <w:link w:val="26"/>
    <w:unhideWhenUsed/>
    <w:uiPriority w:val="99"/>
    <w:pPr>
      <w:jc w:val="left"/>
    </w:pPr>
  </w:style>
  <w:style w:type="paragraph" w:styleId="4">
    <w:name w:val="Body Text"/>
    <w:basedOn w:val="1"/>
    <w:link w:val="24"/>
    <w:qFormat/>
    <w:uiPriority w:val="0"/>
    <w:rPr>
      <w:rFonts w:ascii="Times New Roman" w:hAnsi="Times New Roman" w:eastAsia="楷体_GB2312"/>
      <w:sz w:val="28"/>
      <w:szCs w:val="20"/>
    </w:rPr>
  </w:style>
  <w:style w:type="paragraph" w:styleId="5">
    <w:name w:val="Balloon Text"/>
    <w:basedOn w:val="1"/>
    <w:link w:val="23"/>
    <w:unhideWhenUsed/>
    <w:qFormat/>
    <w:uiPriority w:val="99"/>
    <w:rPr>
      <w:sz w:val="18"/>
      <w:szCs w:val="18"/>
    </w:rPr>
  </w:style>
  <w:style w:type="paragraph" w:styleId="6">
    <w:name w:val="footer"/>
    <w:basedOn w:val="1"/>
    <w:link w:val="22"/>
    <w:unhideWhenUsed/>
    <w:qFormat/>
    <w:uiPriority w:val="99"/>
    <w:pPr>
      <w:tabs>
        <w:tab w:val="center" w:pos="4153"/>
        <w:tab w:val="right" w:pos="8306"/>
      </w:tabs>
      <w:snapToGrid w:val="0"/>
      <w:jc w:val="left"/>
    </w:pPr>
    <w:rPr>
      <w:sz w:val="18"/>
      <w:szCs w:val="18"/>
    </w:rPr>
  </w:style>
  <w:style w:type="paragraph" w:styleId="7">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jc w:val="left"/>
    </w:pPr>
    <w:rPr>
      <w:rFonts w:ascii="宋体" w:hAnsi="宋体" w:cs="宋体"/>
      <w:kern w:val="0"/>
      <w:sz w:val="24"/>
      <w:szCs w:val="24"/>
    </w:rPr>
  </w:style>
  <w:style w:type="character" w:styleId="10">
    <w:name w:val="annotation reference"/>
    <w:basedOn w:val="9"/>
    <w:unhideWhenUsed/>
    <w:uiPriority w:val="99"/>
    <w:rPr>
      <w:sz w:val="21"/>
      <w:szCs w:val="21"/>
    </w:rPr>
  </w:style>
  <w:style w:type="table" w:styleId="12">
    <w:name w:val="Table Grid"/>
    <w:basedOn w:val="11"/>
    <w:qFormat/>
    <w:uiPriority w:val="39"/>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3">
    <w:name w:val="列出段落1"/>
    <w:basedOn w:val="1"/>
    <w:qFormat/>
    <w:uiPriority w:val="34"/>
    <w:pPr>
      <w:ind w:firstLine="420" w:firstLineChars="200"/>
    </w:pPr>
  </w:style>
  <w:style w:type="paragraph" w:customStyle="1" w:styleId="1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
    <w:name w:val="Default Text"/>
    <w:basedOn w:val="1"/>
    <w:qFormat/>
    <w:uiPriority w:val="0"/>
    <w:pPr>
      <w:widowControl/>
      <w:jc w:val="left"/>
    </w:pPr>
    <w:rPr>
      <w:rFonts w:ascii="Courier New" w:hAnsi="Courier New"/>
      <w:snapToGrid w:val="0"/>
      <w:kern w:val="0"/>
      <w:sz w:val="24"/>
      <w:szCs w:val="20"/>
      <w:lang w:eastAsia="en-US"/>
    </w:rPr>
  </w:style>
  <w:style w:type="paragraph" w:customStyle="1" w:styleId="16">
    <w:name w:val="列出段落2"/>
    <w:basedOn w:val="1"/>
    <w:qFormat/>
    <w:uiPriority w:val="34"/>
    <w:pPr>
      <w:ind w:firstLine="420" w:firstLineChars="200"/>
    </w:pPr>
  </w:style>
  <w:style w:type="paragraph" w:customStyle="1" w:styleId="17">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8">
    <w:name w:val="无间隔1"/>
    <w:link w:val="25"/>
    <w:qFormat/>
    <w:uiPriority w:val="0"/>
    <w:pPr>
      <w:spacing w:before="260" w:after="260" w:line="415" w:lineRule="auto"/>
      <w:jc w:val="both"/>
      <w:outlineLvl w:val="1"/>
    </w:pPr>
    <w:rPr>
      <w:rFonts w:ascii="Calibri" w:hAnsi="Calibri" w:eastAsia="宋体" w:cs="Times New Roman"/>
      <w:b/>
      <w:kern w:val="2"/>
      <w:sz w:val="30"/>
      <w:szCs w:val="22"/>
      <w:lang w:val="en-US" w:eastAsia="zh-CN" w:bidi="ar-SA"/>
    </w:rPr>
  </w:style>
  <w:style w:type="paragraph" w:customStyle="1" w:styleId="19">
    <w:name w:val="列出段落3"/>
    <w:basedOn w:val="1"/>
    <w:uiPriority w:val="99"/>
    <w:pPr>
      <w:ind w:firstLine="420" w:firstLineChars="200"/>
    </w:pPr>
  </w:style>
  <w:style w:type="paragraph" w:customStyle="1" w:styleId="20">
    <w:name w:val="修订1"/>
    <w:hidden/>
    <w:semiHidden/>
    <w:uiPriority w:val="99"/>
    <w:rPr>
      <w:rFonts w:ascii="Calibri" w:hAnsi="Calibri" w:eastAsia="宋体" w:cs="Times New Roman"/>
      <w:kern w:val="2"/>
      <w:sz w:val="21"/>
      <w:szCs w:val="22"/>
      <w:lang w:val="en-US" w:eastAsia="zh-CN" w:bidi="ar-SA"/>
    </w:rPr>
  </w:style>
  <w:style w:type="character" w:customStyle="1" w:styleId="21">
    <w:name w:val="页眉 Char"/>
    <w:basedOn w:val="9"/>
    <w:link w:val="7"/>
    <w:qFormat/>
    <w:uiPriority w:val="99"/>
    <w:rPr>
      <w:sz w:val="18"/>
      <w:szCs w:val="18"/>
    </w:rPr>
  </w:style>
  <w:style w:type="character" w:customStyle="1" w:styleId="22">
    <w:name w:val="页脚 Char"/>
    <w:basedOn w:val="9"/>
    <w:link w:val="6"/>
    <w:qFormat/>
    <w:uiPriority w:val="99"/>
    <w:rPr>
      <w:sz w:val="18"/>
      <w:szCs w:val="18"/>
    </w:rPr>
  </w:style>
  <w:style w:type="character" w:customStyle="1" w:styleId="23">
    <w:name w:val="批注框文本 Char"/>
    <w:basedOn w:val="9"/>
    <w:link w:val="5"/>
    <w:semiHidden/>
    <w:qFormat/>
    <w:uiPriority w:val="99"/>
    <w:rPr>
      <w:sz w:val="18"/>
      <w:szCs w:val="18"/>
    </w:rPr>
  </w:style>
  <w:style w:type="character" w:customStyle="1" w:styleId="24">
    <w:name w:val="正文文本 Char"/>
    <w:basedOn w:val="9"/>
    <w:link w:val="4"/>
    <w:qFormat/>
    <w:uiPriority w:val="0"/>
    <w:rPr>
      <w:rFonts w:ascii="Times New Roman" w:hAnsi="Times New Roman" w:eastAsia="楷体_GB2312" w:cs="Times New Roman"/>
      <w:sz w:val="28"/>
      <w:szCs w:val="20"/>
    </w:rPr>
  </w:style>
  <w:style w:type="character" w:customStyle="1" w:styleId="25">
    <w:name w:val="无间隔 Char"/>
    <w:link w:val="18"/>
    <w:qFormat/>
    <w:uiPriority w:val="0"/>
    <w:rPr>
      <w:rFonts w:ascii="Calibri" w:hAnsi="Calibri" w:eastAsia="宋体" w:cs="Times New Roman"/>
      <w:b/>
      <w:kern w:val="2"/>
      <w:sz w:val="30"/>
      <w:szCs w:val="22"/>
    </w:rPr>
  </w:style>
  <w:style w:type="character" w:customStyle="1" w:styleId="26">
    <w:name w:val="批注文字 Char"/>
    <w:basedOn w:val="9"/>
    <w:link w:val="3"/>
    <w:semiHidden/>
    <w:uiPriority w:val="99"/>
    <w:rPr>
      <w:kern w:val="2"/>
      <w:sz w:val="21"/>
      <w:szCs w:val="22"/>
    </w:rPr>
  </w:style>
  <w:style w:type="character" w:customStyle="1" w:styleId="27">
    <w:name w:val="批注主题 Char"/>
    <w:basedOn w:val="26"/>
    <w:link w:val="2"/>
    <w:semiHidden/>
    <w:uiPriority w:val="99"/>
    <w:rPr>
      <w:b/>
      <w:bCs/>
      <w:kern w:val="2"/>
      <w:sz w:val="21"/>
      <w:szCs w:val="22"/>
    </w:rPr>
  </w:style>
  <w:style w:type="table" w:customStyle="1" w:styleId="28">
    <w:name w:val="网格表 4 - 着色 11"/>
    <w:basedOn w:val="11"/>
    <w:qFormat/>
    <w:uiPriority w:val="49"/>
    <w:pPr/>
    <w:tblPr>
      <w:tblStyle w:val="11"/>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fixed"/>
    </w:tblPr>
    <w:tcPr>
      <w:textDirection w:val="lrTb"/>
    </w:tcPr>
    <w:tblStylePr w:type="firstRow">
      <w:rPr>
        <w:b/>
        <w:bCs/>
        <w:color w:val="FFFFFF"/>
      </w:rPr>
      <w:tblPr>
        <w:tblStyle w:val="11"/>
        <w:tblLayout w:type="fixed"/>
      </w:tblPr>
      <w:tcPr>
        <w:tcBorders>
          <w:top w:val="single" w:color="5B9BD5" w:sz="4" w:space="0"/>
          <w:left w:val="single" w:color="5B9BD5" w:sz="4" w:space="0"/>
          <w:bottom w:val="single" w:color="5B9BD5" w:sz="4" w:space="0"/>
          <w:right w:val="single" w:color="5B9BD5" w:sz="4" w:space="0"/>
          <w:insideH w:val="nil"/>
          <w:insideV w:val="nil"/>
          <w:tl2br w:val="nil"/>
          <w:tr2bl w:val="nil"/>
        </w:tcBorders>
        <w:shd w:val="clear" w:color="auto" w:fill="5B9BD5"/>
        <w:textDirection w:val="lrTb"/>
      </w:tcPr>
    </w:tblStylePr>
    <w:tblStylePr w:type="lastRow">
      <w:rPr>
        <w:b/>
        <w:bCs/>
      </w:rPr>
      <w:tblPr>
        <w:tblStyle w:val="11"/>
        <w:tblLayout w:type="fixed"/>
      </w:tblPr>
      <w:tcPr>
        <w:tcBorders>
          <w:top w:val="double" w:color="5B9BD5" w:sz="4" w:space="0"/>
          <w:left w:val="nil"/>
          <w:bottom w:val="nil"/>
          <w:right w:val="nil"/>
          <w:insideH w:val="nil"/>
          <w:insideV w:val="nil"/>
          <w:tl2br w:val="nil"/>
          <w:tr2bl w:val="nil"/>
        </w:tcBorders>
        <w:textDirection w:val="lrTb"/>
      </w:tcPr>
    </w:tblStylePr>
    <w:tblStylePr w:type="firstCol">
      <w:rPr>
        <w:b/>
        <w:bCs/>
      </w:rPr>
      <w:tblPr>
        <w:tblStyle w:val="11"/>
        <w:tblLayout w:type="fixed"/>
      </w:tblPr>
      <w:tcPr>
        <w:textDirection w:val="lrTb"/>
      </w:tcPr>
    </w:tblStylePr>
    <w:tblStylePr w:type="lastCol">
      <w:rPr>
        <w:b/>
        <w:bCs/>
      </w:rPr>
      <w:tblPr>
        <w:tblStyle w:val="11"/>
        <w:tblLayout w:type="fixed"/>
      </w:tblPr>
      <w:tcPr>
        <w:textDirection w:val="lrTb"/>
      </w:tcPr>
    </w:tblStylePr>
    <w:tblStylePr w:type="band1Vert">
      <w:tblPr>
        <w:tblStyle w:val="11"/>
        <w:tblLayout w:type="fixed"/>
      </w:tblPr>
      <w:tcPr>
        <w:shd w:val="clear" w:color="auto" w:fill="DEEAF6"/>
        <w:textDirection w:val="lrTb"/>
      </w:tcPr>
    </w:tblStylePr>
    <w:tblStylePr w:type="band1Horz">
      <w:tblPr>
        <w:tblStyle w:val="11"/>
        <w:tblLayout w:type="fixed"/>
      </w:tblPr>
      <w:tcPr>
        <w:shd w:val="clear" w:color="auto" w:fill="DEEAF6"/>
        <w:textDirection w:val="lrTb"/>
      </w:tcPr>
    </w:tblStyle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775</Words>
  <Characters>4418</Characters>
  <Lines>36</Lines>
  <Paragraphs>10</Paragraphs>
  <TotalTime>0</TotalTime>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2018-06-30T09:27:00Z</dcterms:created>
  <dc:creator>admin</dc:creator>
  <cp:lastModifiedBy>曹志</cp:lastModifiedBy>
  <cp:lastPrinted>2018-04-14T01:56:00Z</cp:lastPrinted>
  <dcterms:modified xsi:type="dcterms:W3CDTF">2018-09-25T06:40:28Z</dcterms:modified>
  <dc:title>福田区工程质量潜在缺陷保险</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