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福田区建设国际消费中心城市核心区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三年行动计划（2019-2021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spacing w:line="560" w:lineRule="exact"/>
        <w:jc w:val="center"/>
      </w:pPr>
      <w:r>
        <w:t>（</w:t>
      </w:r>
      <w:r>
        <w:rPr>
          <w:rFonts w:hint="eastAsia"/>
          <w:lang w:eastAsia="zh-CN"/>
        </w:rPr>
        <w:t>征求意见稿</w:t>
      </w:r>
      <w:r>
        <w:rPr>
          <w:rFonts w:hint="eastAsia"/>
        </w:rPr>
        <w:t>）</w:t>
      </w:r>
    </w:p>
    <w:p>
      <w:pPr>
        <w:spacing w:line="560" w:lineRule="exact"/>
        <w:jc w:val="center"/>
      </w:pPr>
    </w:p>
    <w:p>
      <w:pPr>
        <w:spacing w:line="560" w:lineRule="exact"/>
        <w:ind w:firstLine="640" w:firstLineChars="200"/>
      </w:pPr>
      <w:r>
        <w:rPr>
          <w:rFonts w:hint="eastAsia"/>
        </w:rPr>
        <w:t>为深入贯彻中央、省、市关于扩大内需总体部署和深圳建设国际消费中心城市计划要求，福田区着力建设国际消费中心城市核心区，推动传统商圈转型升级，加快培育和形成经济发展新动力，结合福田商业发展现状和消费特点，特制定本行动计划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一、指导思想</w:t>
      </w:r>
    </w:p>
    <w:p>
      <w:pPr>
        <w:spacing w:line="560" w:lineRule="exact"/>
        <w:ind w:firstLine="640" w:firstLineChars="200"/>
      </w:pPr>
      <w:r>
        <w:rPr>
          <w:rFonts w:hint="eastAsia"/>
        </w:rPr>
        <w:t>深入贯彻落实党的十九大精神，以习近平新时代中国特色社会主义思想为指导，在新时代坐标中坚定追求卓越的发展取向，坚持创新、协调、绿色、开放、共享的发展理念，着力增强消费对经济发展的基础性作用。</w:t>
      </w:r>
      <w:r>
        <w:rPr>
          <w:rFonts w:hint="eastAsia"/>
          <w:lang w:val="en-US" w:eastAsia="zh-CN"/>
        </w:rPr>
        <w:t>以</w:t>
      </w:r>
      <w:r>
        <w:rPr>
          <w:rFonts w:hint="eastAsia"/>
        </w:rPr>
        <w:t>建设国际消费城市核心区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奋斗目标</w:t>
      </w:r>
      <w:r>
        <w:rPr>
          <w:rFonts w:hint="eastAsia"/>
          <w:lang w:val="en-US" w:eastAsia="zh-CN"/>
        </w:rPr>
        <w:t>，坚决推动福田</w:t>
      </w:r>
      <w:r>
        <w:rPr>
          <w:rFonts w:hint="eastAsia"/>
        </w:rPr>
        <w:t>朝着建设中国特色社会主义先行示范区的方向前行，努力创建社会主义现代化强国的城市范例，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紧抓粤港澳大湾区国家战略机遇</w:t>
      </w:r>
      <w:r>
        <w:rPr>
          <w:rFonts w:hint="eastAsia"/>
          <w:lang w:eastAsia="zh-CN"/>
        </w:rPr>
        <w:t>和</w:t>
      </w:r>
      <w:r>
        <w:rPr>
          <w:rFonts w:hint="eastAsia"/>
        </w:rPr>
        <w:t>深圳建设国际消费中心城市的有利契机，主动顺应消费升级大趋势，进一步深入推进商业结构调整，优化消费综合环境，不断增强对境内外消费者的吸引力，扩大综合消费规模。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二、总体目标</w:t>
      </w:r>
    </w:p>
    <w:p>
      <w:pPr>
        <w:spacing w:line="560" w:lineRule="exact"/>
        <w:ind w:firstLine="640" w:firstLineChars="200"/>
      </w:pPr>
      <w:r>
        <w:rPr>
          <w:rFonts w:hint="eastAsia"/>
        </w:rPr>
        <w:t>积极对标国际一流，在福田区现有商业</w:t>
      </w:r>
      <w:r>
        <w:rPr>
          <w:rFonts w:hint="eastAsia"/>
          <w:lang w:val="en-US" w:eastAsia="zh-CN"/>
        </w:rPr>
        <w:t>环境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发展</w:t>
      </w:r>
      <w:r>
        <w:rPr>
          <w:rFonts w:hint="eastAsia"/>
        </w:rPr>
        <w:t>成绩</w:t>
      </w:r>
      <w:r>
        <w:rPr>
          <w:rFonts w:hint="eastAsia"/>
          <w:lang w:val="en-US" w:eastAsia="zh-CN"/>
        </w:rPr>
        <w:t>基础</w:t>
      </w:r>
      <w:r>
        <w:rPr>
          <w:rFonts w:hint="eastAsia"/>
        </w:rPr>
        <w:t>上，通过实施</w:t>
      </w:r>
      <w:r>
        <w:rPr>
          <w:rFonts w:hint="eastAsia"/>
          <w:lang w:eastAsia="zh-CN"/>
        </w:rPr>
        <w:t>新一轮</w:t>
      </w:r>
      <w:r>
        <w:rPr>
          <w:rFonts w:hint="eastAsia"/>
        </w:rPr>
        <w:t>三年行动计划，全面提升传统商圈能级、提升消费满意度、提升消费辐射力和吸引力、提升消费对经济增长的贡献度，确保福田区消费规模稳步增长、消费占全市比重持续提升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以建设品质消费引领区、智慧商圈先行区和商旅文体验最佳区为抓手，把福田打造成为国际消费中心城市核心区。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三、重点任务</w:t>
      </w:r>
    </w:p>
    <w:p>
      <w:pPr>
        <w:spacing w:line="560" w:lineRule="exact"/>
        <w:ind w:firstLine="640" w:firstLineChars="200"/>
      </w:pPr>
      <w:r>
        <w:rPr>
          <w:rFonts w:hint="eastAsia"/>
        </w:rPr>
        <w:t>通过实施“八大行动”，以市级商圈为重点，聚焦商业项目、数字应用、品牌服务、公共空间、消费体验等要素，不断培育新业态、提升智慧服务、增加高端供给、加强商业宣传、优化消费环境，全面提升实体商业消费的丰富性、时尚化、体验感和舒适度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（一）国际化核心商圈打造行动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仿宋_GB2312" w:hAnsi="仿宋_GB2312" w:cs="仿宋_GB2312"/>
        </w:rPr>
        <w:t>以中心区商圈、华强北商圈两个市级商圈为重点，对标一流，通过完善基础设施、提升软硬件水平，建设创新活跃、现代时尚、服务优质的国际化商圈，提升两大核心商圈辐射引领作用，重塑福田商业新地标。</w:t>
      </w:r>
    </w:p>
    <w:p>
      <w:pPr>
        <w:spacing w:line="560" w:lineRule="exact"/>
        <w:ind w:firstLine="643" w:firstLineChars="200"/>
        <w:rPr>
          <w:rFonts w:ascii="仿宋_GB2312" w:hAnsi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1.打造中心区国际化商圈</w:t>
      </w:r>
      <w:r>
        <w:rPr>
          <w:rFonts w:hint="eastAsia" w:ascii="仿宋_GB2312" w:hAnsi="仿宋_GB2312" w:cs="仿宋_GB2312"/>
        </w:rPr>
        <w:t>。推动中心区商圈软、硬</w:t>
      </w:r>
      <w:r>
        <w:rPr>
          <w:rFonts w:hint="eastAsia" w:ascii="仿宋_GB2312" w:hAnsi="仿宋_GB2312" w:cs="仿宋_GB2312"/>
          <w:lang w:eastAsia="zh-CN"/>
        </w:rPr>
        <w:t>环境</w:t>
      </w:r>
      <w:r>
        <w:rPr>
          <w:rFonts w:hint="eastAsia" w:ascii="仿宋_GB2312" w:hAnsi="仿宋_GB2312" w:cs="仿宋_GB2312"/>
        </w:rPr>
        <w:t>全方位提升，着力打造国际化商圈。结合广深港轨道交通枢纽站、天元商业中心建设，加快福田中心区“中轴云廊”建设，</w:t>
      </w:r>
      <w:r>
        <w:rPr>
          <w:rFonts w:hint="eastAsia" w:ascii="仿宋_GB2312" w:hAnsi="仿宋_GB2312" w:cs="仿宋_GB2312"/>
          <w:lang w:eastAsia="zh-CN"/>
        </w:rPr>
        <w:t>实现</w:t>
      </w:r>
      <w:r>
        <w:rPr>
          <w:rFonts w:hint="eastAsia" w:ascii="仿宋_GB2312" w:hAnsi="仿宋_GB2312" w:cs="仿宋_GB2312"/>
        </w:rPr>
        <w:t>购物公园、皇庭广场、大中华广场、卓越世纪中心等商业区互联互通。深入实施交通及空间环境提升、景观照明提升、市容环境“净美优”、“诗书礼乐”四园工程等行动，加强音乐厅、少年宫、中心书城、当代艺术馆等重大文化设施与周边商圈的联动效应，整体提升福田中心区商圈对高端商业要素的磁吸能力。（</w:t>
      </w:r>
      <w:r>
        <w:rPr>
          <w:rFonts w:hint="eastAsia" w:ascii="仿宋_GB2312" w:hAnsi="仿宋_GB2312" w:cs="仿宋_GB2312"/>
          <w:b/>
          <w:bCs/>
        </w:rPr>
        <w:t>责任单位</w:t>
      </w:r>
      <w:r>
        <w:rPr>
          <w:rFonts w:hint="eastAsia" w:ascii="仿宋_GB2312" w:hAnsi="仿宋_GB2312" w:cs="仿宋_GB2312"/>
        </w:rPr>
        <w:t>：区经促局牵头，区建工局、城管局、宣传部（文体局）、福田街道办、莲花街道办等各单位配合）</w:t>
      </w:r>
    </w:p>
    <w:p>
      <w:pPr>
        <w:spacing w:line="560" w:lineRule="exact"/>
        <w:ind w:firstLine="643" w:firstLineChars="200"/>
        <w:rPr>
          <w:rFonts w:ascii="仿宋_GB2312" w:hAnsi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2.打造华强北消费电子特色商圈</w:t>
      </w:r>
      <w:r>
        <w:rPr>
          <w:rFonts w:hint="eastAsia" w:ascii="仿宋_GB2312" w:hAnsi="仿宋_GB2312" w:cs="仿宋_GB2312"/>
        </w:rPr>
        <w:t>。充分发挥华强北“中国电子第一街”、“中国著名商业街”的品牌效应，推进华强北创新发展行动。</w:t>
      </w:r>
      <w:r>
        <w:rPr>
          <w:rFonts w:hint="eastAsia" w:ascii="仿宋_GB2312" w:eastAsia="仿宋_GB2312"/>
          <w:sz w:val="32"/>
          <w:szCs w:val="32"/>
        </w:rPr>
        <w:t>统筹片区城市更新</w:t>
      </w:r>
      <w:r>
        <w:rPr>
          <w:rFonts w:hint="eastAsia" w:ascii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cs="仿宋_GB2312"/>
          <w:lang w:eastAsia="zh-CN"/>
        </w:rPr>
        <w:t>硬件</w:t>
      </w:r>
      <w:r>
        <w:rPr>
          <w:rFonts w:hint="eastAsia" w:ascii="仿宋_GB2312" w:hAnsi="仿宋_GB2312" w:cs="仿宋_GB2312"/>
        </w:rPr>
        <w:t>配套设施</w:t>
      </w:r>
      <w:r>
        <w:rPr>
          <w:rFonts w:hint="eastAsia" w:ascii="仿宋_GB2312" w:hAnsi="仿宋_GB2312" w:cs="仿宋_GB2312"/>
          <w:lang w:eastAsia="zh-CN"/>
        </w:rPr>
        <w:t>改造</w:t>
      </w:r>
      <w:r>
        <w:rPr>
          <w:rFonts w:hint="eastAsia" w:ascii="仿宋_GB2312" w:hAnsi="仿宋_GB2312" w:cs="仿宋_GB2312"/>
        </w:rPr>
        <w:t>，</w:t>
      </w:r>
      <w:r>
        <w:rPr>
          <w:rFonts w:hint="eastAsia" w:ascii="仿宋_GB2312" w:hAnsi="仿宋_GB2312" w:cs="仿宋_GB2312"/>
          <w:lang w:eastAsia="zh-CN"/>
        </w:rPr>
        <w:t>打造</w:t>
      </w:r>
      <w:r>
        <w:rPr>
          <w:rFonts w:hint="eastAsia" w:ascii="仿宋_GB2312" w:hAnsi="仿宋_GB2312" w:cs="仿宋_GB2312"/>
        </w:rPr>
        <w:t>华强北科技时尚文化街区</w:t>
      </w:r>
      <w:r>
        <w:rPr>
          <w:rFonts w:hint="eastAsia" w:ascii="仿宋_GB2312" w:hAnsi="仿宋_GB2312" w:cs="仿宋_GB2312"/>
          <w:lang w:eastAsia="zh-CN"/>
        </w:rPr>
        <w:t>和“高品位步行街”，</w:t>
      </w:r>
      <w:r>
        <w:rPr>
          <w:rFonts w:hint="eastAsia" w:ascii="仿宋_GB2312" w:eastAsia="仿宋_GB2312"/>
          <w:sz w:val="32"/>
          <w:szCs w:val="32"/>
        </w:rPr>
        <w:t>吸引消费电子领域创新性企业集聚</w:t>
      </w:r>
      <w:r>
        <w:rPr>
          <w:rFonts w:hint="eastAsia" w:ascii="仿宋_GB2312" w:hAnsi="仿宋_GB2312" w:cs="仿宋_GB2312"/>
        </w:rPr>
        <w:t>，引入创新型企业及配套产业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</w:rPr>
        <w:t>举办华强北创新国际论坛等各类品牌活动</w:t>
      </w:r>
      <w:r>
        <w:rPr>
          <w:rFonts w:hint="eastAsia" w:ascii="仿宋_GB2312" w:hAnsi="仿宋_GB2312" w:cs="仿宋_GB2312"/>
          <w:lang w:eastAsia="zh-CN"/>
        </w:rPr>
        <w:t>。</w:t>
      </w:r>
      <w:r>
        <w:rPr>
          <w:rFonts w:hint="eastAsia" w:ascii="仿宋_GB2312" w:hAnsi="仿宋_GB2312" w:cs="仿宋_GB2312"/>
        </w:rPr>
        <w:t>联动“中国国际消费电子展示交易中心”，加快名品名店名街集聚，提高新产品首发、交易的影响力，打造国际消费电子展示展览交易集聚区</w:t>
      </w:r>
      <w:r>
        <w:rPr>
          <w:rFonts w:hint="eastAsia" w:ascii="仿宋_GB2312" w:eastAsia="仿宋_GB2312"/>
          <w:sz w:val="32"/>
          <w:szCs w:val="32"/>
        </w:rPr>
        <w:t>和全球消费电子新品首发地标。</w:t>
      </w: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hAnsi="仿宋_GB2312" w:cs="仿宋_GB2312"/>
          <w:b/>
          <w:bCs/>
        </w:rPr>
        <w:t>责任单位</w:t>
      </w:r>
      <w:r>
        <w:rPr>
          <w:rFonts w:hint="eastAsia" w:ascii="仿宋_GB2312" w:hAnsi="仿宋_GB2312" w:cs="仿宋_GB2312"/>
        </w:rPr>
        <w:t>：华强北街道办牵头，区经促局、科创局、</w:t>
      </w:r>
      <w:r>
        <w:rPr>
          <w:rFonts w:hint="eastAsia" w:ascii="仿宋_GB2312" w:hAnsi="仿宋_GB2312" w:cs="仿宋_GB2312"/>
          <w:lang w:eastAsia="zh-CN"/>
        </w:rPr>
        <w:t>投融署、</w:t>
      </w:r>
      <w:r>
        <w:rPr>
          <w:rFonts w:hint="eastAsia" w:ascii="仿宋_GB2312" w:hAnsi="仿宋_GB2312" w:cs="仿宋_GB2312"/>
        </w:rPr>
        <w:t>城管局</w:t>
      </w:r>
      <w:r>
        <w:rPr>
          <w:rFonts w:hint="eastAsia" w:ascii="仿宋_GB2312" w:hAnsi="仿宋_GB2312" w:cs="仿宋_GB2312"/>
          <w:lang w:eastAsia="zh-CN"/>
        </w:rPr>
        <w:t>、市交委福田局</w:t>
      </w:r>
      <w:r>
        <w:rPr>
          <w:rFonts w:hint="eastAsia" w:ascii="仿宋_GB2312" w:hAnsi="仿宋_GB2312" w:cs="仿宋_GB2312"/>
        </w:rPr>
        <w:t>配合）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（二）商业名街创建行动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仿宋_GB2312" w:hAnsi="仿宋_GB2312" w:cs="仿宋_GB2312"/>
        </w:rPr>
        <w:t>突出产业特色，强化产业与商业、商业与文体旅融合发展，推进创建车公庙时尚街区、香蜜湖·东海精品街区，打造商业发展载体。</w:t>
      </w:r>
    </w:p>
    <w:p>
      <w:pPr>
        <w:spacing w:line="560" w:lineRule="exact"/>
        <w:ind w:firstLine="643" w:firstLineChars="200"/>
        <w:rPr>
          <w:rFonts w:ascii="仿宋_GB2312" w:hAnsi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3.打造车公庙时尚街区</w:t>
      </w:r>
      <w:r>
        <w:rPr>
          <w:rFonts w:hint="eastAsia" w:ascii="仿宋_GB2312" w:hAnsi="仿宋_GB2312" w:cs="仿宋_GB2312"/>
        </w:rPr>
        <w:t>。加快城市更新，推动“车公庙-天安-下沙时尚天街”、国际时尚总部大厦等重点项目规划建设，承载时尚展销、流行文化活动，打造以精品女装、高端定制体验店为主在“橱窗经济”走廊，形成时尚消费与游憩休闲特色街区。（</w:t>
      </w:r>
      <w:r>
        <w:rPr>
          <w:rFonts w:hint="eastAsia" w:ascii="仿宋_GB2312" w:hAnsi="仿宋_GB2312" w:cs="仿宋_GB2312"/>
          <w:b/>
          <w:bCs/>
        </w:rPr>
        <w:t>责任单位</w:t>
      </w:r>
      <w:r>
        <w:rPr>
          <w:rFonts w:hint="eastAsia" w:ascii="仿宋_GB2312" w:hAnsi="仿宋_GB2312" w:cs="仿宋_GB2312"/>
        </w:rPr>
        <w:t>：</w:t>
      </w:r>
      <w:r>
        <w:rPr>
          <w:rFonts w:hint="eastAsia" w:ascii="仿宋_GB2312" w:hAnsi="仿宋_GB2312" w:cs="仿宋_GB2312"/>
          <w:lang w:eastAsia="zh-CN"/>
        </w:rPr>
        <w:t>区</w:t>
      </w:r>
      <w:r>
        <w:rPr>
          <w:rFonts w:hint="eastAsia" w:ascii="仿宋_GB2312" w:hAnsi="仿宋_GB2312" w:cs="仿宋_GB2312"/>
        </w:rPr>
        <w:t>文产办牵头，区</w:t>
      </w:r>
      <w:r>
        <w:rPr>
          <w:rFonts w:hint="eastAsia" w:ascii="仿宋_GB2312" w:hAnsi="仿宋_GB2312" w:cs="仿宋_GB2312"/>
          <w:lang w:eastAsia="zh-CN"/>
        </w:rPr>
        <w:t>更新局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hAnsi="仿宋_GB2312" w:cs="仿宋_GB2312"/>
          <w:lang w:eastAsia="zh-CN"/>
        </w:rPr>
        <w:t>区政府物业管理中心、</w:t>
      </w:r>
      <w:r>
        <w:rPr>
          <w:rFonts w:hint="eastAsia" w:ascii="仿宋_GB2312" w:hAnsi="仿宋_GB2312" w:cs="仿宋_GB2312"/>
        </w:rPr>
        <w:t>沙头街道办配合）</w:t>
      </w:r>
    </w:p>
    <w:p>
      <w:pPr>
        <w:spacing w:line="560" w:lineRule="exact"/>
        <w:ind w:firstLine="643" w:firstLineChars="200"/>
        <w:rPr>
          <w:rFonts w:ascii="仿宋_GB2312" w:hAnsi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4.打造香蜜湖·东海精品街区</w:t>
      </w:r>
      <w:r>
        <w:rPr>
          <w:rFonts w:hint="eastAsia" w:ascii="仿宋_GB2312" w:hAnsi="仿宋_GB2312" w:cs="仿宋_GB2312"/>
        </w:rPr>
        <w:t>。结合香蜜湖建设国际金融街的定位，针对高端金融业、专业服务业、金融科技与数据服务等高端商务服务业特点，重点引进高端商业品牌，构建商务、休闲、精品服务消费集聚区。（</w:t>
      </w:r>
      <w:r>
        <w:rPr>
          <w:rFonts w:hint="eastAsia" w:ascii="仿宋_GB2312" w:hAnsi="仿宋_GB2312" w:cs="仿宋_GB2312"/>
          <w:b/>
          <w:bCs/>
        </w:rPr>
        <w:t>责任单位</w:t>
      </w:r>
      <w:r>
        <w:rPr>
          <w:rFonts w:hint="eastAsia" w:ascii="仿宋_GB2312" w:hAnsi="仿宋_GB2312" w:cs="仿宋_GB2312"/>
        </w:rPr>
        <w:t>：区</w:t>
      </w:r>
      <w:r>
        <w:rPr>
          <w:rFonts w:hint="eastAsia" w:ascii="仿宋_GB2312" w:hAnsi="仿宋_GB2312" w:cs="仿宋_GB2312"/>
          <w:lang w:eastAsia="zh-CN"/>
        </w:rPr>
        <w:t>经促局</w:t>
      </w:r>
      <w:r>
        <w:rPr>
          <w:rFonts w:hint="eastAsia" w:ascii="仿宋_GB2312" w:hAnsi="仿宋_GB2312" w:cs="仿宋_GB2312"/>
        </w:rPr>
        <w:t>牵头，</w:t>
      </w:r>
      <w:r>
        <w:rPr>
          <w:rFonts w:hint="eastAsia" w:ascii="仿宋_GB2312" w:hAnsi="仿宋_GB2312" w:cs="仿宋_GB2312"/>
          <w:lang w:eastAsia="zh-CN"/>
        </w:rPr>
        <w:t>区</w:t>
      </w:r>
      <w:r>
        <w:rPr>
          <w:rFonts w:hint="eastAsia" w:ascii="仿宋_GB2312" w:hAnsi="仿宋_GB2312" w:cs="仿宋_GB2312"/>
        </w:rPr>
        <w:t>投融署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</w:rPr>
        <w:t>发改局、</w:t>
      </w:r>
      <w:r>
        <w:rPr>
          <w:rFonts w:hint="eastAsia" w:ascii="仿宋_GB2312" w:hAnsi="仿宋_GB2312" w:cs="仿宋_GB2312"/>
          <w:lang w:eastAsia="zh-CN"/>
        </w:rPr>
        <w:t>更新局、</w:t>
      </w:r>
      <w:r>
        <w:rPr>
          <w:rFonts w:hint="eastAsia" w:ascii="仿宋_GB2312" w:hAnsi="仿宋_GB2312" w:cs="仿宋_GB2312"/>
        </w:rPr>
        <w:t>文产办、香蜜湖街道办配合）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（三）商业新业态引领行动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准确把握消费变化新趋势、新潮流，加强市场和消费心理分析，积极培育商业新模式新业态，探索社区商业发展新模式。</w:t>
      </w:r>
    </w:p>
    <w:p>
      <w:pPr>
        <w:spacing w:line="560" w:lineRule="exact"/>
        <w:ind w:firstLine="643" w:firstLineChars="200"/>
        <w:rPr>
          <w:rFonts w:ascii="仿宋_GB2312" w:hAnsi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</w:rPr>
        <w:t>.推动传统商业模式创新</w:t>
      </w:r>
      <w:r>
        <w:rPr>
          <w:rFonts w:hint="eastAsia" w:ascii="仿宋_GB2312" w:hAnsi="仿宋_GB2312" w:cs="仿宋_GB2312"/>
        </w:rPr>
        <w:t>。引导购物中心、百货、商超进行差异化主题定位，增加体验式、个性化、主题化业态。探索发展体验型购物中心、品牌集成店、主题概念店、会员制商店、个人定制商店等具有市场潜力的新型业态。推动发展以生活方式为引领的新兴商业模式，更加注重购物和公共空间的环境打造，增</w:t>
      </w:r>
      <w:r>
        <w:rPr>
          <w:rFonts w:hint="eastAsia" w:ascii="仿宋_GB2312" w:hAnsi="仿宋_GB2312" w:cs="仿宋_GB2312"/>
          <w:lang w:eastAsia="zh-CN"/>
        </w:rPr>
        <w:t>强</w:t>
      </w:r>
      <w:r>
        <w:rPr>
          <w:rFonts w:hint="eastAsia" w:ascii="仿宋_GB2312" w:hAnsi="仿宋_GB2312" w:cs="仿宋_GB2312"/>
        </w:rPr>
        <w:t>社交体验，满足消费者对休闲娱乐和文化生活的追求。（</w:t>
      </w:r>
      <w:r>
        <w:rPr>
          <w:rFonts w:hint="eastAsia" w:ascii="仿宋_GB2312" w:hAnsi="仿宋_GB2312" w:cs="仿宋_GB2312"/>
          <w:b/>
          <w:bCs/>
        </w:rPr>
        <w:t>责任单位</w:t>
      </w:r>
      <w:r>
        <w:rPr>
          <w:rFonts w:hint="eastAsia" w:ascii="仿宋_GB2312" w:hAnsi="仿宋_GB2312" w:cs="仿宋_GB2312"/>
        </w:rPr>
        <w:t>：区经促局牵头，相关商业企业配合）</w:t>
      </w:r>
    </w:p>
    <w:p>
      <w:pPr>
        <w:spacing w:line="560" w:lineRule="exact"/>
        <w:ind w:firstLine="643" w:firstLineChars="200"/>
        <w:rPr>
          <w:rFonts w:ascii="仿宋_GB2312" w:hAnsi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/>
        </w:rPr>
        <w:t>.促进商业零售创新发展</w:t>
      </w:r>
      <w:r>
        <w:rPr>
          <w:rFonts w:hint="eastAsia" w:ascii="仿宋_GB2312" w:hAnsi="仿宋_GB2312" w:cs="仿宋_GB2312"/>
        </w:rPr>
        <w:t>。支持中国（深圳）智慧零售大会持续在福田举办，打造全国智慧零售发展的言论高地和策源地。发挥产业</w:t>
      </w:r>
      <w:r>
        <w:rPr>
          <w:rFonts w:hint="eastAsia" w:ascii="仿宋_GB2312" w:hAnsi="仿宋_GB2312" w:cs="仿宋_GB2312"/>
          <w:lang w:eastAsia="zh-CN"/>
        </w:rPr>
        <w:t>发展</w:t>
      </w:r>
      <w:r>
        <w:rPr>
          <w:rFonts w:hint="eastAsia" w:ascii="仿宋_GB2312" w:hAnsi="仿宋_GB2312" w:cs="仿宋_GB2312"/>
        </w:rPr>
        <w:t>专项资金政策的杠杆作用，</w:t>
      </w:r>
      <w:r>
        <w:rPr>
          <w:rFonts w:hint="eastAsia" w:ascii="仿宋_GB2312"/>
        </w:rPr>
        <w:t>加强与消费领域知名创新型企业对接，引导其在福田布局智慧零售、绿色零售、跨界零售、无人零售等新消费项目，培育一批有影响力的“智慧商店”，打造新零售“试验田”和“竞技场”</w:t>
      </w:r>
      <w:r>
        <w:rPr>
          <w:rFonts w:ascii="仿宋_GB2312"/>
        </w:rPr>
        <w:t>。</w:t>
      </w: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hAnsi="仿宋_GB2312" w:cs="仿宋_GB2312"/>
          <w:b/>
          <w:bCs/>
        </w:rPr>
        <w:t>责任单位</w:t>
      </w:r>
      <w:r>
        <w:rPr>
          <w:rFonts w:hint="eastAsia" w:ascii="仿宋_GB2312" w:hAnsi="仿宋_GB2312" w:cs="仿宋_GB2312"/>
        </w:rPr>
        <w:t>：区经促局牵头，区科创局、企服中心等相关部门配合）</w:t>
      </w:r>
    </w:p>
    <w:p>
      <w:pPr>
        <w:spacing w:line="560" w:lineRule="exact"/>
        <w:ind w:firstLine="643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7</w:t>
      </w:r>
      <w:r>
        <w:rPr>
          <w:rFonts w:hint="eastAsia" w:ascii="仿宋_GB2312" w:hAnsi="仿宋_GB2312" w:cs="仿宋_GB2312"/>
          <w:b/>
          <w:bCs/>
        </w:rPr>
        <w:t>.探索社区商业发展新模式</w:t>
      </w:r>
      <w:r>
        <w:rPr>
          <w:rFonts w:hint="eastAsia" w:ascii="仿宋_GB2312" w:hAnsi="仿宋_GB2312" w:cs="仿宋_GB2312"/>
        </w:rPr>
        <w:t>。探索社区商业“电子商务平台+社区智能便利店+集成网络终端”发展模式，支持企业搭建智慧社区商业平台，不断提升“10分钟+24小时”便民生活圈品质。推进社区商业品牌化发展，鼓励连锁企业进驻社区，逐步改变社区商业“小、散、乱”状况。探索社区型购物中心新模式，引领社区消费新时尚，满足都市社区人群日常基本需求和更加高品质生活需求。（</w:t>
      </w:r>
      <w:r>
        <w:rPr>
          <w:rFonts w:hint="eastAsia" w:ascii="仿宋_GB2312" w:hAnsi="仿宋_GB2312" w:cs="仿宋_GB2312"/>
          <w:b/>
          <w:bCs/>
        </w:rPr>
        <w:t>责任单位</w:t>
      </w:r>
      <w:r>
        <w:rPr>
          <w:rFonts w:hint="eastAsia" w:ascii="仿宋_GB2312" w:hAnsi="仿宋_GB2312" w:cs="仿宋_GB2312"/>
        </w:rPr>
        <w:t>：区经促局牵头，区科创局、各街道办配合）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（四）智慧商圈实践行动</w:t>
      </w:r>
    </w:p>
    <w:p>
      <w:pPr>
        <w:pStyle w:val="19"/>
        <w:spacing w:line="560" w:lineRule="exact"/>
        <w:ind w:firstLine="640"/>
        <w:rPr>
          <w:rFonts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积极利用互联网、物联网、大数据等新技术，加强商业大数据分析运用</w:t>
      </w:r>
      <w:r>
        <w:rPr>
          <w:rFonts w:hint="eastAsia" w:ascii="仿宋_GB2312" w:hAnsi="仿宋_GB2312" w:cs="仿宋_GB2312"/>
          <w:color w:val="000000"/>
          <w:kern w:val="0"/>
        </w:rPr>
        <w:t>，提升实体商圈的智慧服务水平。</w:t>
      </w:r>
    </w:p>
    <w:p>
      <w:pPr>
        <w:widowControl/>
        <w:spacing w:line="560" w:lineRule="exact"/>
        <w:ind w:firstLine="643" w:firstLineChars="200"/>
        <w:rPr>
          <w:rFonts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.挖掘商业大数据应用</w:t>
      </w:r>
      <w:r>
        <w:rPr>
          <w:rFonts w:hint="eastAsia" w:ascii="仿宋_GB2312" w:hAnsi="仿宋_GB2312" w:cs="仿宋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依托“智慧福田”平台</w:t>
      </w:r>
      <w:r>
        <w:rPr>
          <w:rFonts w:hint="eastAsia" w:ascii="仿宋_GB2312" w:cs="Calibri"/>
        </w:rPr>
        <w:t>和移动、电信、联通三大</w:t>
      </w:r>
      <w:r>
        <w:rPr>
          <w:rFonts w:hint="eastAsia" w:ascii="仿宋_GB2312" w:cs="Calibri"/>
          <w:lang w:eastAsia="zh-CN"/>
        </w:rPr>
        <w:t>移动</w:t>
      </w:r>
      <w:r>
        <w:rPr>
          <w:rFonts w:hint="eastAsia" w:ascii="仿宋_GB2312" w:cs="Calibri"/>
        </w:rPr>
        <w:t>运营商的大数据优势，开发建设商圈大数据分析系统，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试点推进街区大数据与重点商家“小数据”的对接，对商圈</w:t>
      </w:r>
      <w:r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消费者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结构、密度和时间变化规律、消费偏好等数据进行分析，引导商家科学调整经营布局策略，也为政府制定商业政策提供有效支撑。</w:t>
      </w: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hAnsi="仿宋_GB2312" w:cs="仿宋_GB2312"/>
          <w:b/>
          <w:bCs/>
        </w:rPr>
        <w:t>责任单位</w:t>
      </w:r>
      <w:r>
        <w:rPr>
          <w:rFonts w:hint="eastAsia" w:ascii="仿宋_GB2312" w:hAnsi="仿宋_GB2312" w:cs="仿宋_GB2312"/>
        </w:rPr>
        <w:t>：区经促局牵头，区智慧办配合）</w:t>
      </w:r>
    </w:p>
    <w:p>
      <w:pPr>
        <w:widowControl/>
        <w:spacing w:line="560" w:lineRule="exact"/>
        <w:ind w:firstLine="643" w:firstLineChars="200"/>
        <w:rPr>
          <w:rFonts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.提升智慧化服务水平</w:t>
      </w:r>
      <w:r>
        <w:rPr>
          <w:rFonts w:hint="eastAsia" w:ascii="仿宋_GB2312" w:hAnsi="仿宋_GB2312" w:cs="仿宋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实现中心区、华强北等重点商圈免费WIFI全覆盖，不断提升公共场所移动用户网络感知度；建设基于二、三维地图和VR技术相融合、可交互体验的商圈，用户可以线上线下虚拟逛街，商圈实现室内、室外定位导航，方便顾客游览商场和车位引导服务。（</w:t>
      </w:r>
      <w:r>
        <w:rPr>
          <w:rFonts w:hint="eastAsia" w:ascii="仿宋_GB2312" w:hAnsi="仿宋_GB2312" w:cs="仿宋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责任单位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：区</w:t>
      </w:r>
      <w:r>
        <w:rPr>
          <w:rFonts w:hint="eastAsia" w:ascii="仿宋_GB2312" w:hAnsi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科创局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牵头，</w:t>
      </w:r>
      <w:r>
        <w:rPr>
          <w:rFonts w:hint="eastAsia" w:ascii="仿宋_GB2312" w:hAnsi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经促局</w:t>
      </w:r>
      <w:r>
        <w:rPr>
          <w:rFonts w:hint="eastAsia" w:ascii="仿宋_GB2312" w:hAnsi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、福田街道办、华强北街道办、莲花街道办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配合）</w:t>
      </w:r>
    </w:p>
    <w:p>
      <w:pPr>
        <w:spacing w:line="560" w:lineRule="exact"/>
        <w:ind w:firstLine="643" w:firstLineChars="200"/>
        <w:rPr>
          <w:rFonts w:ascii="仿宋_GB2312" w:hAnsi="仿宋_GB2312" w:cs="仿宋_GB2312"/>
          <w:b/>
          <w:bCs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_GB2312" w:hAnsi="楷体_GB2312" w:eastAsia="楷体_GB2312" w:cs="楷体_GB2312"/>
          <w:b/>
          <w:color w:val="000000" w:themeColor="text1"/>
          <w14:textFill>
            <w14:solidFill>
              <w14:schemeClr w14:val="tx1"/>
            </w14:solidFill>
          </w14:textFill>
        </w:rPr>
        <w:t>.建设</w:t>
      </w:r>
      <w:r>
        <w:rPr>
          <w:rFonts w:hint="eastAsia" w:ascii="仿宋_GB2312" w:hAnsi="仿宋_GB2312" w:cs="仿宋_GB2312"/>
          <w:b/>
          <w:color w:val="000000" w:themeColor="text1"/>
          <w14:textFill>
            <w14:solidFill>
              <w14:schemeClr w14:val="tx1"/>
            </w14:solidFill>
          </w14:textFill>
        </w:rPr>
        <w:t>数字化商业生态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。大力引进和培育龙头型、创新型电子商务企业，加快传统商贸企业</w:t>
      </w:r>
      <w:r>
        <w:rPr>
          <w:rFonts w:hint="eastAsia" w:ascii="仿宋_GB2312" w:hAnsi="仿宋_GB2312" w:cs="仿宋_GB2312"/>
        </w:rPr>
        <w:t>数字化转型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，推进“互联网+流通”创新发展，充分发挥线上线下功能差异化优势，激发实体商业活力。加强</w:t>
      </w:r>
      <w:r>
        <w:rPr>
          <w:rFonts w:hint="eastAsia" w:ascii="仿宋_GB2312" w:hAnsi="仿宋_GB2312" w:cs="仿宋_GB2312"/>
        </w:rPr>
        <w:t>政策引导和资金扶持，鼓励企业整合各自供应链资源，基于数字化技术</w:t>
      </w:r>
      <w:r>
        <w:rPr>
          <w:rFonts w:hint="eastAsia" w:ascii="仿宋_GB2312" w:hAnsi="仿宋_GB2312" w:cs="仿宋_GB2312"/>
          <w:lang w:val="en-US" w:eastAsia="zh-CN"/>
        </w:rPr>
        <w:t>对</w:t>
      </w:r>
      <w:r>
        <w:rPr>
          <w:rFonts w:hint="eastAsia" w:ascii="仿宋_GB2312" w:hAnsi="仿宋_GB2312" w:cs="仿宋_GB2312"/>
        </w:rPr>
        <w:t>商品</w:t>
      </w:r>
      <w:r>
        <w:rPr>
          <w:rFonts w:hint="eastAsia" w:ascii="仿宋_GB2312" w:hAnsi="仿宋_GB2312" w:cs="仿宋_GB2312"/>
          <w:lang w:val="en-US" w:eastAsia="zh-CN"/>
        </w:rPr>
        <w:t>生产销售、仓储物流、产品</w:t>
      </w:r>
      <w:r>
        <w:rPr>
          <w:rFonts w:hint="eastAsia" w:ascii="仿宋_GB2312" w:hAnsi="仿宋_GB2312" w:cs="仿宋_GB2312"/>
        </w:rPr>
        <w:t>经营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</w:rPr>
        <w:t>供应商协同等方面进行改造升级，</w:t>
      </w:r>
      <w:r>
        <w:rPr>
          <w:rFonts w:hint="eastAsia" w:ascii="仿宋_GB2312" w:hAnsi="仿宋_GB2312" w:cs="仿宋_GB2312"/>
          <w:lang w:val="en-US" w:eastAsia="zh-CN"/>
        </w:rPr>
        <w:t>建立产品质量可追溯系统，</w:t>
      </w:r>
      <w:r>
        <w:rPr>
          <w:rFonts w:hint="eastAsia" w:ascii="仿宋_GB2312" w:hAnsi="仿宋_GB2312" w:cs="仿宋_GB2312"/>
        </w:rPr>
        <w:t>提高供应链效率</w:t>
      </w:r>
      <w:r>
        <w:rPr>
          <w:rFonts w:hint="eastAsia" w:ascii="仿宋_GB2312" w:hAnsi="仿宋_GB2312" w:cs="仿宋_GB2312"/>
          <w:lang w:val="en-US" w:eastAsia="zh-CN"/>
        </w:rPr>
        <w:t>和消费质量</w:t>
      </w:r>
      <w:r>
        <w:rPr>
          <w:rFonts w:hint="eastAsia" w:ascii="仿宋_GB2312" w:hAnsi="仿宋_GB2312" w:cs="仿宋_GB2312"/>
        </w:rPr>
        <w:t>，打造数字化商业生态圈。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cs="仿宋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责任单位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：区经促局牵头，区科创局配合）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（五）消费供给提质行动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推动国际国内名品在福田集聚，扩大海外商品供给，切实满足消费者个性化、多元化、高端化消费需求。</w:t>
      </w:r>
    </w:p>
    <w:p>
      <w:pPr>
        <w:spacing w:line="560" w:lineRule="exact"/>
        <w:ind w:firstLine="643" w:firstLineChars="200"/>
        <w:rPr>
          <w:rFonts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</w:rPr>
        <w:t>1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</w:rPr>
        <w:t>.推动高端品牌汇聚</w:t>
      </w:r>
      <w:r>
        <w:rPr>
          <w:rFonts w:hint="eastAsia"/>
        </w:rPr>
        <w:t>。大力</w:t>
      </w:r>
      <w:r>
        <w:rPr>
          <w:rFonts w:hint="eastAsia" w:ascii="仿宋_GB2312"/>
        </w:rPr>
        <w:t>引导国际知名品牌在福田设立研发中心、采购中心、结算中心、运营中心和品牌旗舰店、体验店，建设</w:t>
      </w:r>
      <w:r>
        <w:rPr>
          <w:rFonts w:hint="eastAsia" w:ascii="仿宋_GB2312"/>
          <w:lang w:eastAsia="zh-CN"/>
        </w:rPr>
        <w:t>国际</w:t>
      </w:r>
      <w:r>
        <w:rPr>
          <w:rFonts w:hint="eastAsia" w:ascii="仿宋_GB2312"/>
        </w:rPr>
        <w:t>品牌集聚地。积极引进国内一线品牌，支持国内知名商业企业品牌、商品品牌和服务品牌在福田设立全国性和区域性的品牌首店、旗舰店，打造国内品牌“橱窗”。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cs="仿宋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责任单位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：区经促局牵头，区投融署、企业服务中心配合）</w:t>
      </w:r>
    </w:p>
    <w:p>
      <w:pPr>
        <w:spacing w:line="560" w:lineRule="exact"/>
        <w:ind w:firstLine="643" w:firstLineChars="200"/>
      </w:pPr>
      <w:r>
        <w:rPr>
          <w:rFonts w:hint="eastAsia" w:ascii="楷体_GB2312" w:hAnsi="楷体_GB2312" w:eastAsia="楷体_GB2312" w:cs="楷体_GB2312"/>
          <w:b/>
          <w:bCs/>
        </w:rPr>
        <w:t>1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</w:rPr>
        <w:t>.扩大海外商品供给</w:t>
      </w:r>
      <w:r>
        <w:rPr>
          <w:rFonts w:hint="eastAsia"/>
        </w:rPr>
        <w:t>。扩大居民群众需求集中的特色优势产品进口，支持大型零售企业“走出去”建立海外采购中心或直采基地，增加高质量商品进口，重点满足居民个性化、多元化、高端化消费需求的产品。鼓励辖区大型供应链企业开展供应链创新应用试点，建设完善一批满足全球采购、全球配送的供应链综合服务平台，为消费品进口提供供应链一体化综合服务。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cs="仿宋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责任单位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：区经促局牵头，区企服中心配合）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（六）商业宣传推广行动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坚持市区、部门联动，行业、企业联手，充分挖掘现有的特色消费节庆资源，开展整体营销，打造福田购物节等消费名片，增强消费吸引力。</w:t>
      </w:r>
    </w:p>
    <w:p>
      <w:pPr>
        <w:spacing w:line="560" w:lineRule="exact"/>
        <w:ind w:firstLine="643" w:firstLineChars="200"/>
        <w:rPr>
          <w:rFonts w:ascii="仿宋_GB2312" w:hAnsi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1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</w:rPr>
        <w:t>.塑造“福田购物”整体形象</w:t>
      </w:r>
      <w:r>
        <w:rPr>
          <w:rFonts w:hint="eastAsia"/>
        </w:rPr>
        <w:t>。</w:t>
      </w:r>
      <w:r>
        <w:rPr>
          <w:rFonts w:hint="eastAsia" w:ascii="仿宋_GB2312"/>
          <w:kern w:val="0"/>
        </w:rPr>
        <w:t>以“专业化、高水准”的标准强化“福田购物”品牌形象策划。制定统一宣传口号、宣传Logo，聚焦“福田STYLE”，</w:t>
      </w:r>
      <w:r>
        <w:rPr>
          <w:rFonts w:hint="eastAsia" w:ascii="仿宋_GB2312"/>
          <w:kern w:val="0"/>
          <w:lang w:val="en-US" w:eastAsia="zh-CN"/>
        </w:rPr>
        <w:t>加强“福田购物”的IP挖掘和营销，</w:t>
      </w:r>
      <w:r>
        <w:rPr>
          <w:rFonts w:hint="eastAsia" w:ascii="仿宋_GB2312"/>
          <w:kern w:val="0"/>
        </w:rPr>
        <w:t>立足全国</w:t>
      </w:r>
      <w:r>
        <w:rPr>
          <w:rFonts w:hint="eastAsia" w:ascii="仿宋_GB2312"/>
          <w:kern w:val="0"/>
          <w:lang w:eastAsia="zh-CN"/>
        </w:rPr>
        <w:t>、</w:t>
      </w:r>
      <w:r>
        <w:rPr>
          <w:rFonts w:hint="eastAsia" w:ascii="仿宋_GB2312"/>
          <w:kern w:val="0"/>
        </w:rPr>
        <w:t>面向全球推介福田，从不同层面展现福田引领国际化新时代，呈现时尚与人文共生共荣的商业魅力。坚持办好深圳时装周、文化消费节等时尚活动，强化福田“时尚”形象；办好高交会、文博会等大型国际性活动，让更多国际消费者关注福田、了解福田、向往福田。（</w:t>
      </w:r>
      <w:r>
        <w:rPr>
          <w:rFonts w:hint="eastAsia" w:ascii="仿宋_GB2312"/>
          <w:b/>
          <w:bCs/>
          <w:kern w:val="0"/>
        </w:rPr>
        <w:t>责任单位</w:t>
      </w:r>
      <w:r>
        <w:rPr>
          <w:rFonts w:hint="eastAsia" w:ascii="仿宋_GB2312"/>
          <w:kern w:val="0"/>
        </w:rPr>
        <w:t>：区</w:t>
      </w:r>
      <w:r>
        <w:rPr>
          <w:rFonts w:hint="eastAsia" w:ascii="仿宋_GB2312" w:hAnsi="仿宋_GB2312" w:cs="仿宋_GB2312"/>
        </w:rPr>
        <w:t>宣传部（文体局）</w:t>
      </w:r>
      <w:r>
        <w:rPr>
          <w:rFonts w:hint="eastAsia" w:ascii="仿宋_GB2312"/>
          <w:kern w:val="0"/>
          <w:lang w:eastAsia="zh-CN"/>
        </w:rPr>
        <w:t>、经促局、</w:t>
      </w:r>
      <w:r>
        <w:rPr>
          <w:rFonts w:hint="eastAsia" w:ascii="仿宋_GB2312" w:hAnsi="仿宋_GB2312" w:cs="仿宋_GB2312"/>
        </w:rPr>
        <w:t>文产办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/>
          <w:kern w:val="0"/>
        </w:rPr>
        <w:t>区科创局</w:t>
      </w:r>
      <w:r>
        <w:rPr>
          <w:rFonts w:hint="eastAsia" w:ascii="仿宋_GB2312" w:hAnsi="仿宋_GB2312" w:cs="仿宋_GB2312"/>
        </w:rPr>
        <w:t>）</w:t>
      </w:r>
    </w:p>
    <w:p>
      <w:pPr>
        <w:spacing w:line="560" w:lineRule="exact"/>
        <w:ind w:firstLine="643" w:firstLineChars="200"/>
      </w:pPr>
      <w:r>
        <w:rPr>
          <w:rFonts w:hint="eastAsia" w:ascii="楷体_GB2312" w:hAnsi="楷体_GB2312" w:eastAsia="楷体_GB2312" w:cs="楷体_GB2312"/>
          <w:b/>
          <w:bCs/>
        </w:rPr>
        <w:t>1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</w:rPr>
        <w:t>.提升“福田购物节”影响力</w:t>
      </w:r>
      <w:r>
        <w:rPr>
          <w:rFonts w:hint="eastAsia"/>
        </w:rPr>
        <w:t>。</w:t>
      </w:r>
      <w:r>
        <w:rPr>
          <w:rFonts w:hint="eastAsia" w:ascii="仿宋_GB2312"/>
        </w:rPr>
        <w:t>坚持市区联动、政企联动、行业联动、线上线下互动，立足消费电子、服装等优势领域</w:t>
      </w:r>
      <w:r>
        <w:rPr>
          <w:rFonts w:hint="eastAsia"/>
        </w:rPr>
        <w:t>每年定期联动各大购物中心、商家策划一系列消费活动，扩大“福田购物节”品牌影响力。支持知名企业举办各类会展、发布等品牌活动，引导品牌企业开展具有影响力的新品发布、市场营销、品牌形象推广等活动，打造、挖掘、放大一批“品牌故事”的影响力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通过植入文化要素发挥文化生产力作用和品牌转化率，</w:t>
      </w:r>
      <w:r>
        <w:rPr>
          <w:rFonts w:hint="eastAsia"/>
        </w:rPr>
        <w:t>全方位向消费者推送福田优势产品和时尚消费理念。（</w:t>
      </w:r>
      <w:r>
        <w:rPr>
          <w:rFonts w:hint="eastAsia"/>
          <w:b/>
          <w:bCs/>
        </w:rPr>
        <w:t>责任单位</w:t>
      </w:r>
      <w:r>
        <w:rPr>
          <w:rFonts w:hint="eastAsia"/>
        </w:rPr>
        <w:t>：区经促局牵头，</w:t>
      </w:r>
      <w:r>
        <w:rPr>
          <w:rFonts w:hint="eastAsia" w:ascii="仿宋_GB2312"/>
          <w:kern w:val="0"/>
        </w:rPr>
        <w:t>区</w:t>
      </w:r>
      <w:r>
        <w:rPr>
          <w:rFonts w:hint="eastAsia" w:ascii="仿宋_GB2312" w:hAnsi="仿宋_GB2312" w:cs="仿宋_GB2312"/>
        </w:rPr>
        <w:t>宣传部（文体局）</w:t>
      </w:r>
      <w:r>
        <w:rPr>
          <w:rFonts w:hint="eastAsia"/>
        </w:rPr>
        <w:t>配合）</w:t>
      </w:r>
    </w:p>
    <w:p>
      <w:pPr>
        <w:spacing w:line="560" w:lineRule="exact"/>
        <w:ind w:firstLine="643" w:firstLineChars="200"/>
      </w:pPr>
      <w:r>
        <w:rPr>
          <w:rFonts w:hint="eastAsia" w:ascii="楷体_GB2312" w:hAnsi="楷体_GB2312" w:eastAsia="楷体_GB2312" w:cs="楷体_GB2312"/>
          <w:b/>
          <w:bCs/>
        </w:rPr>
        <w:t>1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</w:rPr>
        <w:t>.打造“商旅文”名片</w:t>
      </w:r>
      <w:r>
        <w:rPr>
          <w:rFonts w:hint="eastAsia"/>
        </w:rPr>
        <w:t>。促进购物消费与餐饮消费、旅游消费、文化消费、体育消费等各类服务消费联动。加强商旅联动，深度挖掘代表福田特色的品牌和产品，推出一批商旅融合特色专线，促进旅游购物消费。</w:t>
      </w:r>
      <w:r>
        <w:rPr>
          <w:rFonts w:hint="eastAsia"/>
          <w:lang w:val="en-US" w:eastAsia="zh-CN"/>
        </w:rPr>
        <w:t>加强探索</w:t>
      </w:r>
      <w:r>
        <w:rPr>
          <w:rFonts w:hint="eastAsia"/>
        </w:rPr>
        <w:t>创建离境退税示范点，加大离境退税政策宣传，提高离境退税各环节的办理响应速度，提升跨境消费便利度。加强商业设施与文化演出资源联动，深化艺术商圈建设，吸引更多消费者来福田消费，开创商旅文融合发展的新局面。（</w:t>
      </w:r>
      <w:r>
        <w:rPr>
          <w:rFonts w:hint="eastAsia"/>
          <w:b/>
          <w:bCs/>
        </w:rPr>
        <w:t>责任单位</w:t>
      </w:r>
      <w:r>
        <w:rPr>
          <w:rFonts w:hint="eastAsia"/>
        </w:rPr>
        <w:t>：区经促局牵头，</w:t>
      </w:r>
      <w:r>
        <w:rPr>
          <w:rFonts w:hint="eastAsia" w:ascii="仿宋_GB2312"/>
          <w:kern w:val="0"/>
        </w:rPr>
        <w:t>区</w:t>
      </w:r>
      <w:r>
        <w:rPr>
          <w:rFonts w:hint="eastAsia" w:ascii="仿宋_GB2312" w:hAnsi="仿宋_GB2312" w:cs="仿宋_GB2312"/>
        </w:rPr>
        <w:t>宣传部（文体局）、区文产办、文体中心、福田区税务局</w:t>
      </w:r>
      <w:r>
        <w:rPr>
          <w:rFonts w:hint="eastAsia"/>
        </w:rPr>
        <w:t>配合）</w:t>
      </w:r>
    </w:p>
    <w:p>
      <w:pPr>
        <w:widowControl/>
        <w:spacing w:line="600" w:lineRule="exact"/>
        <w:ind w:firstLine="640" w:firstLineChars="200"/>
        <w:rPr>
          <w:rFonts w:ascii="楷体_GB2312" w:hAnsi="黑体" w:eastAsia="楷体_GB2312"/>
          <w:bCs/>
        </w:rPr>
      </w:pPr>
      <w:r>
        <w:rPr>
          <w:rFonts w:hint="eastAsia" w:ascii="楷体_GB2312" w:hAnsi="黑体" w:eastAsia="楷体_GB2312"/>
          <w:bCs/>
        </w:rPr>
        <w:t>（七）消费环境优化行动</w:t>
      </w:r>
    </w:p>
    <w:p>
      <w:pPr>
        <w:widowControl/>
        <w:spacing w:line="600" w:lineRule="exact"/>
        <w:ind w:firstLine="640" w:firstLineChars="200"/>
        <w:rPr>
          <w:rFonts w:hAnsi="宋体"/>
          <w:kern w:val="0"/>
        </w:rPr>
      </w:pPr>
      <w:r>
        <w:rPr>
          <w:rFonts w:hint="eastAsia" w:hAnsi="宋体"/>
          <w:kern w:val="0"/>
        </w:rPr>
        <w:t>提升消费环境软、硬件</w:t>
      </w:r>
      <w:r>
        <w:rPr>
          <w:rFonts w:hint="eastAsia" w:hAnsi="宋体"/>
          <w:kern w:val="0"/>
          <w:lang w:eastAsia="zh-CN"/>
        </w:rPr>
        <w:t>设施</w:t>
      </w:r>
      <w:r>
        <w:rPr>
          <w:rFonts w:hint="eastAsia" w:hAnsi="宋体"/>
          <w:kern w:val="0"/>
        </w:rPr>
        <w:t>，加强消费者保护，营造诚实守信、服务制胜、放心便捷的消费环境，着力增强消费者的体验度、获得感，</w:t>
      </w:r>
      <w:r>
        <w:rPr>
          <w:rFonts w:hAnsi="宋体"/>
          <w:kern w:val="0"/>
        </w:rPr>
        <w:t>提升满意度。</w:t>
      </w:r>
    </w:p>
    <w:p>
      <w:pPr>
        <w:spacing w:line="560" w:lineRule="exact"/>
        <w:ind w:firstLine="643" w:firstLineChars="200"/>
        <w:rPr>
          <w:rFonts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_GB2312" w:hAnsi="楷体_GB2312" w:eastAsia="楷体_GB2312" w:cs="楷体_GB2312"/>
          <w:b/>
          <w:color w:val="000000" w:themeColor="text1"/>
          <w14:textFill>
            <w14:solidFill>
              <w14:schemeClr w14:val="tx1"/>
            </w14:solidFill>
          </w14:textFill>
        </w:rPr>
        <w:t>.焕新公共空间硬件设施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。对中心区、华强北等重点商圈公共空间实施焕新行动，提升公共空间景观照明、购物导识、消费橱窗等风貌；对公共配套设施、天桥地道、静态交通、道路标识等进行优化设计和改造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加快实现商圈、公园、机场、车站、宾馆等主要消费场所免费WIFI全覆盖；在核心商业区推广智能停车引导系统，解决商业集聚区停车难问题，营造更具国际性、体验性、舒适性、便捷性的消费环境。</w:t>
      </w:r>
      <w:r>
        <w:rPr>
          <w:rFonts w:hint="eastAsia"/>
        </w:rPr>
        <w:t>（</w:t>
      </w:r>
      <w:r>
        <w:rPr>
          <w:rFonts w:hint="eastAsia"/>
          <w:b/>
          <w:bCs/>
        </w:rPr>
        <w:t>责任单位</w:t>
      </w:r>
      <w:r>
        <w:rPr>
          <w:rFonts w:hint="eastAsia"/>
        </w:rPr>
        <w:t>：区建工局</w:t>
      </w:r>
      <w:r>
        <w:rPr>
          <w:rFonts w:hint="eastAsia"/>
          <w:lang w:eastAsia="zh-CN"/>
        </w:rPr>
        <w:t>、华强北街道办</w:t>
      </w:r>
      <w:r>
        <w:rPr>
          <w:rFonts w:hint="eastAsia"/>
        </w:rPr>
        <w:t>牵头，区城管局、科创局、市交委福田局配合）</w:t>
      </w:r>
    </w:p>
    <w:p>
      <w:pPr>
        <w:widowControl/>
        <w:spacing w:line="600" w:lineRule="exact"/>
        <w:ind w:firstLine="643" w:firstLineChars="200"/>
      </w:pPr>
      <w:r>
        <w:rPr>
          <w:rFonts w:hint="eastAsia" w:ascii="楷体_GB2312" w:hAnsi="楷体_GB2312" w:eastAsia="楷体_GB2312" w:cs="楷体_GB2312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_GB2312" w:hAnsi="楷体_GB2312" w:eastAsia="楷体_GB2312" w:cs="楷体_GB2312"/>
          <w:b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hAnsi="仿宋"/>
          <w:b/>
          <w:kern w:val="0"/>
        </w:rPr>
        <w:t>完善消费者权益保护机制。</w:t>
      </w:r>
      <w:r>
        <w:rPr>
          <w:rFonts w:hint="eastAsia" w:hAnsi="仿宋"/>
          <w:bCs/>
          <w:kern w:val="0"/>
        </w:rPr>
        <w:t>畅通和拓宽消费者投诉热线，建立统一、便民、高效的消费申诉和联动处理机制，力争实现投诉全处理、全回访。推动大型商超、品牌连锁、购物中心等具备条件的经营主体实行消费纠纷先行赔付制度。</w:t>
      </w:r>
      <w:r>
        <w:rPr>
          <w:rFonts w:hint="eastAsia"/>
          <w:bCs/>
          <w:kern w:val="0"/>
        </w:rPr>
        <w:t>强化打击侵权假冒工作，</w:t>
      </w:r>
      <w:r>
        <w:rPr>
          <w:rFonts w:hint="eastAsia"/>
          <w:bCs/>
        </w:rPr>
        <w:t>完善督导协调机制。</w:t>
      </w:r>
      <w:r>
        <w:rPr>
          <w:rFonts w:hint="eastAsia" w:hAnsi="宋体"/>
          <w:bCs/>
          <w:kern w:val="0"/>
        </w:rPr>
        <w:t>严厉打击制售假冒伪劣商品、虚假宣传、侵害消</w:t>
      </w:r>
      <w:r>
        <w:rPr>
          <w:rFonts w:hint="eastAsia" w:hAnsi="宋体"/>
          <w:kern w:val="0"/>
        </w:rPr>
        <w:t>费者个人信息安全等违法行为，为消费者营造一个安全、良好的消费环境。</w:t>
      </w:r>
      <w:r>
        <w:rPr>
          <w:rFonts w:hint="eastAsia"/>
        </w:rPr>
        <w:t>（</w:t>
      </w:r>
      <w:r>
        <w:rPr>
          <w:rFonts w:hint="eastAsia"/>
          <w:b/>
          <w:bCs/>
        </w:rPr>
        <w:t>责任单位</w:t>
      </w:r>
      <w:r>
        <w:rPr>
          <w:rFonts w:hint="eastAsia"/>
        </w:rPr>
        <w:t>：市市场和质量监管委福田局牵头，公安福田分局、区消委会配合）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（八）消费改革攻坚行动</w:t>
      </w:r>
    </w:p>
    <w:p>
      <w:pPr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聚焦制约和影响消费创新发展的制度障碍、要素短板，在市场监管、行政审批、消费统计等重点问题上改革攻坚，形成适应新消费发展的制度要素供给体系。</w:t>
      </w:r>
    </w:p>
    <w:p>
      <w:pPr>
        <w:spacing w:line="560" w:lineRule="exact"/>
        <w:ind w:firstLine="643" w:firstLineChars="200"/>
      </w:pPr>
      <w:r>
        <w:rPr>
          <w:rFonts w:hint="eastAsia" w:ascii="楷体_GB2312" w:hAnsi="楷体_GB2312" w:eastAsia="楷体_GB2312" w:cs="楷体_GB2312"/>
          <w:b/>
          <w:kern w:val="0"/>
        </w:rPr>
        <w:t>1</w:t>
      </w:r>
      <w:r>
        <w:rPr>
          <w:rFonts w:hint="eastAsia" w:ascii="楷体_GB2312" w:hAnsi="楷体_GB2312" w:eastAsia="楷体_GB2312" w:cs="楷体_GB2312"/>
          <w:b/>
          <w:kern w:val="0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kern w:val="0"/>
        </w:rPr>
        <w:t>.破除促消费制度藩篱</w:t>
      </w:r>
      <w:r>
        <w:rPr>
          <w:rFonts w:hint="eastAsia" w:hAnsi="仿宋"/>
          <w:b/>
          <w:kern w:val="0"/>
        </w:rPr>
        <w:t>。</w:t>
      </w:r>
      <w:r>
        <w:rPr>
          <w:rFonts w:hint="eastAsia" w:hAnsi="宋体"/>
          <w:kern w:val="0"/>
        </w:rPr>
        <w:t>加快推广“一证多址”、“证照分离”等商事登记制度改革试点，压缩证照办理时间。（</w:t>
      </w:r>
      <w:r>
        <w:rPr>
          <w:rFonts w:hint="eastAsia" w:hAnsi="宋体"/>
          <w:b/>
          <w:bCs/>
          <w:kern w:val="0"/>
        </w:rPr>
        <w:t>责任单位</w:t>
      </w:r>
      <w:r>
        <w:rPr>
          <w:rFonts w:hint="eastAsia" w:hAnsi="宋体"/>
          <w:kern w:val="0"/>
        </w:rPr>
        <w:t>：市市场和质量监管委福田局牵头</w:t>
      </w:r>
      <w:r>
        <w:rPr>
          <w:rFonts w:hint="eastAsia" w:hAnsi="宋体"/>
          <w:kern w:val="0"/>
          <w:lang w:eastAsia="zh-CN"/>
        </w:rPr>
        <w:t>）落实</w:t>
      </w:r>
      <w:r>
        <w:rPr>
          <w:rFonts w:hint="eastAsia" w:hAnsi="宋体"/>
          <w:kern w:val="0"/>
        </w:rPr>
        <w:t>优化商业建设项目审批流程，实现“一事不两跑、一事不两批”。</w:t>
      </w:r>
      <w:r>
        <w:rPr>
          <w:rFonts w:hint="eastAsia" w:hAnsi="宋体"/>
          <w:kern w:val="0"/>
          <w:lang w:eastAsia="zh-CN"/>
        </w:rPr>
        <w:t>（</w:t>
      </w:r>
      <w:r>
        <w:rPr>
          <w:rFonts w:hint="eastAsia" w:hAnsi="宋体"/>
          <w:b/>
          <w:bCs/>
          <w:kern w:val="0"/>
          <w:lang w:eastAsia="zh-CN"/>
        </w:rPr>
        <w:t>责任单位</w:t>
      </w:r>
      <w:r>
        <w:rPr>
          <w:rFonts w:hint="eastAsia" w:hAnsi="宋体"/>
          <w:kern w:val="0"/>
          <w:lang w:eastAsia="zh-CN"/>
        </w:rPr>
        <w:t>：区发改局）</w:t>
      </w:r>
      <w:r>
        <w:rPr>
          <w:rFonts w:hint="eastAsia" w:hAnsi="宋体"/>
          <w:kern w:val="0"/>
        </w:rPr>
        <w:t>优化商贸营销和节庆活动安全许可办理流程。</w:t>
      </w:r>
      <w:r>
        <w:rPr>
          <w:rFonts w:hint="eastAsia" w:hAnsi="宋体"/>
          <w:kern w:val="0"/>
          <w:lang w:eastAsia="zh-CN"/>
        </w:rPr>
        <w:t>（</w:t>
      </w:r>
      <w:r>
        <w:rPr>
          <w:rFonts w:hint="eastAsia" w:hAnsi="宋体"/>
          <w:b/>
          <w:bCs/>
          <w:kern w:val="0"/>
          <w:lang w:eastAsia="zh-CN"/>
        </w:rPr>
        <w:t>责任单位</w:t>
      </w:r>
      <w:r>
        <w:rPr>
          <w:rFonts w:hint="eastAsia" w:hAnsi="宋体"/>
          <w:kern w:val="0"/>
          <w:lang w:eastAsia="zh-CN"/>
        </w:rPr>
        <w:t>：公安福田分局</w:t>
      </w:r>
      <w:r>
        <w:rPr>
          <w:rFonts w:hint="eastAsia" w:hAnsi="宋体"/>
          <w:kern w:val="0"/>
        </w:rPr>
        <w:t>）</w:t>
      </w:r>
    </w:p>
    <w:p>
      <w:pPr>
        <w:spacing w:line="560" w:lineRule="exact"/>
        <w:ind w:firstLine="643" w:firstLineChars="200"/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19</w:t>
      </w:r>
      <w:r>
        <w:rPr>
          <w:rFonts w:hint="eastAsia" w:ascii="楷体_GB2312" w:hAnsi="楷体_GB2312" w:eastAsia="楷体_GB2312" w:cs="楷体_GB2312"/>
          <w:b/>
          <w:bCs/>
        </w:rPr>
        <w:t>.探索消费统计及评价改革</w:t>
      </w:r>
      <w:r>
        <w:rPr>
          <w:rFonts w:hint="eastAsia"/>
        </w:rPr>
        <w:t>。</w:t>
      </w:r>
      <w:r>
        <w:rPr>
          <w:rFonts w:hint="eastAsia" w:hAnsi="宋体"/>
          <w:kern w:val="0"/>
        </w:rPr>
        <w:t>准确把握消费的丰富内涵，探索建立全口径的消费统计制度，把新兴消费、服务消费纳入统计范畴，全面反映消费市场总规模。建立消费型经济发展动态监测机制，完善消费统计数据库，充分利用大数据快速发现、预警消费发展中出现的非正常波动和苗头性问题。建立统计、商务部门消费统计会商机制，协同开展对消费新业态、新模式的跟踪分析，提高对消费发展趋势的研判能力和服务能力。</w:t>
      </w:r>
      <w:r>
        <w:rPr>
          <w:rFonts w:hint="eastAsia"/>
        </w:rPr>
        <w:t>（</w:t>
      </w:r>
      <w:r>
        <w:rPr>
          <w:rFonts w:hint="eastAsia"/>
          <w:b/>
          <w:bCs/>
        </w:rPr>
        <w:t>责任单位</w:t>
      </w:r>
      <w:r>
        <w:rPr>
          <w:rFonts w:hint="eastAsia"/>
        </w:rPr>
        <w:t>：区统计局牵头，区经促局配合）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四、保障措施</w:t>
      </w:r>
    </w:p>
    <w:p>
      <w:pPr>
        <w:widowControl/>
        <w:spacing w:line="600" w:lineRule="exact"/>
        <w:ind w:firstLine="643" w:firstLineChars="200"/>
      </w:pPr>
      <w:r>
        <w:rPr>
          <w:rFonts w:hint="eastAsia" w:ascii="楷体_GB2312" w:hAnsi="楷体_GB2312" w:eastAsia="楷体_GB2312" w:cs="楷体_GB2312"/>
          <w:b/>
          <w:kern w:val="0"/>
        </w:rPr>
        <w:t>一是加强组织领导</w:t>
      </w:r>
      <w:r>
        <w:rPr>
          <w:rFonts w:hint="eastAsia" w:hAnsi="仿宋"/>
          <w:b/>
          <w:kern w:val="0"/>
        </w:rPr>
        <w:t>。</w:t>
      </w:r>
      <w:r>
        <w:rPr>
          <w:rFonts w:hint="eastAsia" w:hAnsi="宋体"/>
          <w:kern w:val="0"/>
        </w:rPr>
        <w:t>成立国际消费中心城市核心区建设领导小组，完善相关工作机制，强化统筹协调。</w:t>
      </w:r>
      <w:r>
        <w:rPr>
          <w:rFonts w:hint="eastAsia"/>
        </w:rPr>
        <w:t>建立完善市区之间、部门之间、政府与社会之间的联动推进机制，构建科学有效、落实有力的工作体系。</w:t>
      </w:r>
    </w:p>
    <w:p>
      <w:pPr>
        <w:widowControl/>
        <w:spacing w:line="600" w:lineRule="exact"/>
        <w:ind w:firstLine="643" w:firstLineChars="200"/>
        <w:rPr>
          <w:rFonts w:hAnsi="宋体"/>
          <w:kern w:val="0"/>
        </w:rPr>
      </w:pPr>
      <w:r>
        <w:rPr>
          <w:rFonts w:hint="eastAsia" w:ascii="楷体_GB2312" w:hAnsi="楷体_GB2312" w:eastAsia="楷体_GB2312" w:cs="楷体_GB2312"/>
          <w:b/>
          <w:kern w:val="0"/>
        </w:rPr>
        <w:t>二是加强财政扶持</w:t>
      </w:r>
      <w:r>
        <w:rPr>
          <w:rFonts w:hint="eastAsia" w:hAnsi="仿宋"/>
          <w:b/>
          <w:kern w:val="0"/>
        </w:rPr>
        <w:t>。</w:t>
      </w:r>
      <w:r>
        <w:rPr>
          <w:rFonts w:hint="eastAsia" w:hAnsi="宋体"/>
          <w:kern w:val="0"/>
        </w:rPr>
        <w:t>适度调整对电子商务、物流、会展、品牌培育、战略性新兴产业等产业发展专项资金扶持</w:t>
      </w:r>
      <w:r>
        <w:rPr>
          <w:rFonts w:hint="eastAsia" w:hAnsi="宋体"/>
          <w:kern w:val="0"/>
          <w:lang w:eastAsia="zh-CN"/>
        </w:rPr>
        <w:t>政策。</w:t>
      </w:r>
      <w:r>
        <w:rPr>
          <w:rFonts w:hint="eastAsia" w:hAnsi="宋体"/>
          <w:kern w:val="0"/>
        </w:rPr>
        <w:t>加强对城市品牌整体营销推广、新品发布公共服务平台、重点消费节庆活动等给予重点支持。</w:t>
      </w:r>
    </w:p>
    <w:p>
      <w:pPr>
        <w:spacing w:line="560" w:lineRule="exact"/>
        <w:ind w:firstLine="645"/>
        <w:rPr>
          <w:rFonts w:ascii="仿宋_GB2312"/>
        </w:rPr>
      </w:pPr>
      <w:r>
        <w:rPr>
          <w:rFonts w:hint="eastAsia" w:ascii="楷体_GB2312" w:hAnsi="楷体_GB2312" w:eastAsia="楷体_GB2312" w:cs="楷体_GB2312"/>
          <w:b/>
          <w:kern w:val="0"/>
        </w:rPr>
        <w:t>三是保障商业用地。</w:t>
      </w:r>
      <w:r>
        <w:rPr>
          <w:rFonts w:hint="eastAsia" w:ascii="仿宋_GB2312"/>
        </w:rPr>
        <w:t>加强商业网点规划与城市空间规划的衔接，加大对大型连锁企业、电子商务企业配送中心等重要商业设施用地的支持，保障必要的商业用地规模。加强新建商业空间的统一规划设计，推广在建项目实施地上地下立体开发和空间综合利用。</w:t>
      </w:r>
    </w:p>
    <w:p>
      <w:pPr>
        <w:widowControl/>
        <w:spacing w:line="600" w:lineRule="exact"/>
        <w:ind w:firstLine="643" w:firstLineChars="200"/>
        <w:rPr>
          <w:rFonts w:hAnsi="宋体"/>
          <w:kern w:val="0"/>
        </w:rPr>
      </w:pPr>
      <w:r>
        <w:rPr>
          <w:rFonts w:hint="eastAsia" w:ascii="楷体_GB2312" w:hAnsi="楷体_GB2312" w:eastAsia="楷体_GB2312" w:cs="楷体_GB2312"/>
          <w:b/>
          <w:kern w:val="0"/>
        </w:rPr>
        <w:t>四是强化监督考核</w:t>
      </w:r>
      <w:r>
        <w:rPr>
          <w:rFonts w:hint="eastAsia" w:hAnsi="仿宋"/>
          <w:b/>
          <w:kern w:val="0"/>
        </w:rPr>
        <w:t>。</w:t>
      </w:r>
      <w:r>
        <w:rPr>
          <w:rFonts w:hint="eastAsia" w:hAnsi="宋体"/>
          <w:kern w:val="0"/>
        </w:rPr>
        <w:t>各有关部门要加强组织领导和统筹协调，加快研究制订具体实施方案和配套措施，明确责任主体、时间表和路线图。国际消费中心城市核心区建设领导小组加强业务指导和督促检查，综合运用第三方评估、社会监督评价等多种方式科学评估实施效果，推动各项任务措施落到实处。</w:t>
      </w:r>
    </w:p>
    <w:p>
      <w:pPr>
        <w:widowControl/>
        <w:spacing w:line="240" w:lineRule="auto"/>
        <w:ind w:firstLine="0" w:firstLineChars="0"/>
        <w:jc w:val="left"/>
        <w:rPr>
          <w:rFonts w:asciiTheme="majorEastAsia" w:hAnsiTheme="majorEastAsia" w:eastAsiaTheme="majorEastAsia" w:cstheme="majorEastAsia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47E"/>
    <w:rsid w:val="00026C78"/>
    <w:rsid w:val="000A54DB"/>
    <w:rsid w:val="00172A27"/>
    <w:rsid w:val="001977D9"/>
    <w:rsid w:val="001D6370"/>
    <w:rsid w:val="002859CE"/>
    <w:rsid w:val="00347547"/>
    <w:rsid w:val="003F0B91"/>
    <w:rsid w:val="00495C97"/>
    <w:rsid w:val="00546E10"/>
    <w:rsid w:val="00603A12"/>
    <w:rsid w:val="00685074"/>
    <w:rsid w:val="006D0FB4"/>
    <w:rsid w:val="00717AE1"/>
    <w:rsid w:val="00742A39"/>
    <w:rsid w:val="00760D14"/>
    <w:rsid w:val="00774BF0"/>
    <w:rsid w:val="007F63A2"/>
    <w:rsid w:val="00891EC5"/>
    <w:rsid w:val="008B063F"/>
    <w:rsid w:val="00985EFA"/>
    <w:rsid w:val="00B32A96"/>
    <w:rsid w:val="00B452F2"/>
    <w:rsid w:val="00BB6D56"/>
    <w:rsid w:val="00C22260"/>
    <w:rsid w:val="00D36771"/>
    <w:rsid w:val="00D771BA"/>
    <w:rsid w:val="00DE30AB"/>
    <w:rsid w:val="00E53CD9"/>
    <w:rsid w:val="00E80746"/>
    <w:rsid w:val="00ED518F"/>
    <w:rsid w:val="00F264A1"/>
    <w:rsid w:val="00F838EE"/>
    <w:rsid w:val="00FA2D17"/>
    <w:rsid w:val="011F2B50"/>
    <w:rsid w:val="011F57A5"/>
    <w:rsid w:val="01465A7F"/>
    <w:rsid w:val="018E4902"/>
    <w:rsid w:val="01E5388F"/>
    <w:rsid w:val="01F03980"/>
    <w:rsid w:val="01F56535"/>
    <w:rsid w:val="02235736"/>
    <w:rsid w:val="026C7D16"/>
    <w:rsid w:val="026F1396"/>
    <w:rsid w:val="028E1887"/>
    <w:rsid w:val="0293018A"/>
    <w:rsid w:val="02A04BAD"/>
    <w:rsid w:val="02B13C0D"/>
    <w:rsid w:val="02B671B8"/>
    <w:rsid w:val="02BB68B8"/>
    <w:rsid w:val="02C81106"/>
    <w:rsid w:val="02CF1855"/>
    <w:rsid w:val="02D76D52"/>
    <w:rsid w:val="02EB00AE"/>
    <w:rsid w:val="02F94733"/>
    <w:rsid w:val="03042BA6"/>
    <w:rsid w:val="03323F24"/>
    <w:rsid w:val="033D368B"/>
    <w:rsid w:val="0353561C"/>
    <w:rsid w:val="038422CC"/>
    <w:rsid w:val="03E04AC7"/>
    <w:rsid w:val="04203837"/>
    <w:rsid w:val="043537A6"/>
    <w:rsid w:val="043E35B9"/>
    <w:rsid w:val="04536D47"/>
    <w:rsid w:val="04832DB0"/>
    <w:rsid w:val="048B2DD8"/>
    <w:rsid w:val="04965B5F"/>
    <w:rsid w:val="049C5133"/>
    <w:rsid w:val="04CD6A4A"/>
    <w:rsid w:val="05BD0214"/>
    <w:rsid w:val="05BD6B8A"/>
    <w:rsid w:val="062156A1"/>
    <w:rsid w:val="06253479"/>
    <w:rsid w:val="0625415A"/>
    <w:rsid w:val="063D7DB2"/>
    <w:rsid w:val="065E1BA5"/>
    <w:rsid w:val="067F0789"/>
    <w:rsid w:val="0680585F"/>
    <w:rsid w:val="06873457"/>
    <w:rsid w:val="06A4712C"/>
    <w:rsid w:val="06CA72EE"/>
    <w:rsid w:val="06F65726"/>
    <w:rsid w:val="07181AA2"/>
    <w:rsid w:val="0730773E"/>
    <w:rsid w:val="0740349F"/>
    <w:rsid w:val="07503832"/>
    <w:rsid w:val="075746A7"/>
    <w:rsid w:val="075D3205"/>
    <w:rsid w:val="0767454C"/>
    <w:rsid w:val="07857FD6"/>
    <w:rsid w:val="07B661AB"/>
    <w:rsid w:val="07C03E3D"/>
    <w:rsid w:val="07D2383E"/>
    <w:rsid w:val="07ED0EC0"/>
    <w:rsid w:val="084A2D3A"/>
    <w:rsid w:val="0862642C"/>
    <w:rsid w:val="089B31FA"/>
    <w:rsid w:val="08B960E7"/>
    <w:rsid w:val="08BC0213"/>
    <w:rsid w:val="08C5499E"/>
    <w:rsid w:val="08D72223"/>
    <w:rsid w:val="08E22CD5"/>
    <w:rsid w:val="08E67919"/>
    <w:rsid w:val="08F64219"/>
    <w:rsid w:val="08F73F7E"/>
    <w:rsid w:val="09011CBF"/>
    <w:rsid w:val="091739DA"/>
    <w:rsid w:val="093447D1"/>
    <w:rsid w:val="09431079"/>
    <w:rsid w:val="09472FB8"/>
    <w:rsid w:val="095F542C"/>
    <w:rsid w:val="09676549"/>
    <w:rsid w:val="098935DC"/>
    <w:rsid w:val="09A56A99"/>
    <w:rsid w:val="09B35BD6"/>
    <w:rsid w:val="09E64577"/>
    <w:rsid w:val="09EB3CF9"/>
    <w:rsid w:val="09F02A7E"/>
    <w:rsid w:val="0A46688F"/>
    <w:rsid w:val="0A494C93"/>
    <w:rsid w:val="0A880DBC"/>
    <w:rsid w:val="0A9F5656"/>
    <w:rsid w:val="0AC23E3C"/>
    <w:rsid w:val="0B2048C1"/>
    <w:rsid w:val="0B8A5815"/>
    <w:rsid w:val="0B9246E9"/>
    <w:rsid w:val="0BBB683D"/>
    <w:rsid w:val="0BCE6EEC"/>
    <w:rsid w:val="0BE8592E"/>
    <w:rsid w:val="0C0A3747"/>
    <w:rsid w:val="0C21359C"/>
    <w:rsid w:val="0C217576"/>
    <w:rsid w:val="0C221BAE"/>
    <w:rsid w:val="0C2E0C53"/>
    <w:rsid w:val="0C3A5684"/>
    <w:rsid w:val="0CB27F26"/>
    <w:rsid w:val="0D08463B"/>
    <w:rsid w:val="0D1333E0"/>
    <w:rsid w:val="0D226C58"/>
    <w:rsid w:val="0D2D2019"/>
    <w:rsid w:val="0D7545AE"/>
    <w:rsid w:val="0D9805FB"/>
    <w:rsid w:val="0DAF04E7"/>
    <w:rsid w:val="0DD31B56"/>
    <w:rsid w:val="0DD9680D"/>
    <w:rsid w:val="0DE01B7C"/>
    <w:rsid w:val="0E067102"/>
    <w:rsid w:val="0E185112"/>
    <w:rsid w:val="0E561BE7"/>
    <w:rsid w:val="0E6F3EF2"/>
    <w:rsid w:val="0E703EAB"/>
    <w:rsid w:val="0EA71057"/>
    <w:rsid w:val="0F2346E9"/>
    <w:rsid w:val="0F3C7DEE"/>
    <w:rsid w:val="0F5E27EF"/>
    <w:rsid w:val="0F786E0B"/>
    <w:rsid w:val="0F797BCD"/>
    <w:rsid w:val="0F9C7409"/>
    <w:rsid w:val="0FF13C9B"/>
    <w:rsid w:val="10520667"/>
    <w:rsid w:val="106E270C"/>
    <w:rsid w:val="10821E25"/>
    <w:rsid w:val="10851259"/>
    <w:rsid w:val="10880E31"/>
    <w:rsid w:val="10A30D72"/>
    <w:rsid w:val="110313F3"/>
    <w:rsid w:val="11166EF5"/>
    <w:rsid w:val="111E046B"/>
    <w:rsid w:val="1126672A"/>
    <w:rsid w:val="116127AB"/>
    <w:rsid w:val="11854C5B"/>
    <w:rsid w:val="11C854E3"/>
    <w:rsid w:val="11D30ED8"/>
    <w:rsid w:val="11E56659"/>
    <w:rsid w:val="11EE164D"/>
    <w:rsid w:val="120775B0"/>
    <w:rsid w:val="123843E1"/>
    <w:rsid w:val="123B0A93"/>
    <w:rsid w:val="1242073A"/>
    <w:rsid w:val="1251479C"/>
    <w:rsid w:val="125D70EA"/>
    <w:rsid w:val="12B65856"/>
    <w:rsid w:val="12C10F5E"/>
    <w:rsid w:val="12C67E2A"/>
    <w:rsid w:val="12E058DB"/>
    <w:rsid w:val="12E8641F"/>
    <w:rsid w:val="13144EC8"/>
    <w:rsid w:val="13291FD8"/>
    <w:rsid w:val="13720F4F"/>
    <w:rsid w:val="13C42425"/>
    <w:rsid w:val="13C967C2"/>
    <w:rsid w:val="13D10ACD"/>
    <w:rsid w:val="13D16F00"/>
    <w:rsid w:val="140B1F2C"/>
    <w:rsid w:val="14B41AF3"/>
    <w:rsid w:val="14C7634E"/>
    <w:rsid w:val="14DE4CA5"/>
    <w:rsid w:val="1566464D"/>
    <w:rsid w:val="15886B2D"/>
    <w:rsid w:val="159478A1"/>
    <w:rsid w:val="15F21F93"/>
    <w:rsid w:val="15F76499"/>
    <w:rsid w:val="162D0A6E"/>
    <w:rsid w:val="16324855"/>
    <w:rsid w:val="165207C8"/>
    <w:rsid w:val="1679539A"/>
    <w:rsid w:val="168951E1"/>
    <w:rsid w:val="16EC4D40"/>
    <w:rsid w:val="17541E59"/>
    <w:rsid w:val="176E2915"/>
    <w:rsid w:val="178C0D23"/>
    <w:rsid w:val="179A36F6"/>
    <w:rsid w:val="17A013F3"/>
    <w:rsid w:val="17A6556D"/>
    <w:rsid w:val="17B443E4"/>
    <w:rsid w:val="17CB5A1B"/>
    <w:rsid w:val="17EB1C46"/>
    <w:rsid w:val="17F908EF"/>
    <w:rsid w:val="18044F56"/>
    <w:rsid w:val="180B1EA6"/>
    <w:rsid w:val="18220E55"/>
    <w:rsid w:val="18232DC9"/>
    <w:rsid w:val="18355431"/>
    <w:rsid w:val="18371B67"/>
    <w:rsid w:val="18471990"/>
    <w:rsid w:val="18703B75"/>
    <w:rsid w:val="18AC784F"/>
    <w:rsid w:val="18D17C72"/>
    <w:rsid w:val="190054E9"/>
    <w:rsid w:val="191B6DC3"/>
    <w:rsid w:val="19221BB7"/>
    <w:rsid w:val="19370FE0"/>
    <w:rsid w:val="19400B55"/>
    <w:rsid w:val="19487C85"/>
    <w:rsid w:val="196E4321"/>
    <w:rsid w:val="19733E57"/>
    <w:rsid w:val="198945BA"/>
    <w:rsid w:val="19937BB7"/>
    <w:rsid w:val="19951B04"/>
    <w:rsid w:val="199C7F2E"/>
    <w:rsid w:val="19A40003"/>
    <w:rsid w:val="19FD6227"/>
    <w:rsid w:val="19FE446B"/>
    <w:rsid w:val="1A28146F"/>
    <w:rsid w:val="1A803D90"/>
    <w:rsid w:val="1A893BB5"/>
    <w:rsid w:val="1A9D50B5"/>
    <w:rsid w:val="1AA6318A"/>
    <w:rsid w:val="1AB25E30"/>
    <w:rsid w:val="1AB43CE3"/>
    <w:rsid w:val="1ACE66F5"/>
    <w:rsid w:val="1ADE632E"/>
    <w:rsid w:val="1AE01CF2"/>
    <w:rsid w:val="1AEB3889"/>
    <w:rsid w:val="1B2A3698"/>
    <w:rsid w:val="1B446654"/>
    <w:rsid w:val="1B4A63D2"/>
    <w:rsid w:val="1B4B30ED"/>
    <w:rsid w:val="1B544EE2"/>
    <w:rsid w:val="1B83075E"/>
    <w:rsid w:val="1B8C6437"/>
    <w:rsid w:val="1BAA2C35"/>
    <w:rsid w:val="1BBA7FC2"/>
    <w:rsid w:val="1BF9561D"/>
    <w:rsid w:val="1C103939"/>
    <w:rsid w:val="1C5D78B6"/>
    <w:rsid w:val="1C784CFE"/>
    <w:rsid w:val="1C7B6515"/>
    <w:rsid w:val="1CB27FBA"/>
    <w:rsid w:val="1CCB25AE"/>
    <w:rsid w:val="1CE25990"/>
    <w:rsid w:val="1CF85C01"/>
    <w:rsid w:val="1D3944B1"/>
    <w:rsid w:val="1D394767"/>
    <w:rsid w:val="1D3A76CA"/>
    <w:rsid w:val="1D453514"/>
    <w:rsid w:val="1D506278"/>
    <w:rsid w:val="1D546EBC"/>
    <w:rsid w:val="1D5726FA"/>
    <w:rsid w:val="1D854014"/>
    <w:rsid w:val="1D935334"/>
    <w:rsid w:val="1DB929DF"/>
    <w:rsid w:val="1DC6000B"/>
    <w:rsid w:val="1E427177"/>
    <w:rsid w:val="1E4C237B"/>
    <w:rsid w:val="1E72197A"/>
    <w:rsid w:val="1EA74741"/>
    <w:rsid w:val="1EBC03AE"/>
    <w:rsid w:val="1EBC5367"/>
    <w:rsid w:val="1F0A2379"/>
    <w:rsid w:val="1F1A52DC"/>
    <w:rsid w:val="1F2E71AF"/>
    <w:rsid w:val="1F6A3553"/>
    <w:rsid w:val="1F7C293E"/>
    <w:rsid w:val="1FB37B21"/>
    <w:rsid w:val="1FC31CE2"/>
    <w:rsid w:val="200F0AC9"/>
    <w:rsid w:val="201D1061"/>
    <w:rsid w:val="206547EB"/>
    <w:rsid w:val="20850E04"/>
    <w:rsid w:val="208A5500"/>
    <w:rsid w:val="20D77F8B"/>
    <w:rsid w:val="212F665C"/>
    <w:rsid w:val="215C1261"/>
    <w:rsid w:val="219D504E"/>
    <w:rsid w:val="21A6202D"/>
    <w:rsid w:val="21D246CF"/>
    <w:rsid w:val="21E56A39"/>
    <w:rsid w:val="21F43E49"/>
    <w:rsid w:val="220D5271"/>
    <w:rsid w:val="222854C4"/>
    <w:rsid w:val="223B18CC"/>
    <w:rsid w:val="22487A80"/>
    <w:rsid w:val="22626394"/>
    <w:rsid w:val="226409E3"/>
    <w:rsid w:val="228760A4"/>
    <w:rsid w:val="22A03EFE"/>
    <w:rsid w:val="22DE49B9"/>
    <w:rsid w:val="22DE736D"/>
    <w:rsid w:val="2320096D"/>
    <w:rsid w:val="233A577A"/>
    <w:rsid w:val="23433E94"/>
    <w:rsid w:val="23683990"/>
    <w:rsid w:val="23746A37"/>
    <w:rsid w:val="2391102D"/>
    <w:rsid w:val="239A03E2"/>
    <w:rsid w:val="23C52DF4"/>
    <w:rsid w:val="23FA52DD"/>
    <w:rsid w:val="23FB1CBD"/>
    <w:rsid w:val="241A39A2"/>
    <w:rsid w:val="241E6346"/>
    <w:rsid w:val="242B5E30"/>
    <w:rsid w:val="244A5FAD"/>
    <w:rsid w:val="246A642F"/>
    <w:rsid w:val="24AC0299"/>
    <w:rsid w:val="24CF3595"/>
    <w:rsid w:val="25056113"/>
    <w:rsid w:val="252B0956"/>
    <w:rsid w:val="25A02854"/>
    <w:rsid w:val="25AE78E4"/>
    <w:rsid w:val="25D4198C"/>
    <w:rsid w:val="25D91468"/>
    <w:rsid w:val="25E71DD5"/>
    <w:rsid w:val="261A3027"/>
    <w:rsid w:val="26395883"/>
    <w:rsid w:val="26660591"/>
    <w:rsid w:val="26807A54"/>
    <w:rsid w:val="268C18F6"/>
    <w:rsid w:val="26D57436"/>
    <w:rsid w:val="26EE73F1"/>
    <w:rsid w:val="27403E5B"/>
    <w:rsid w:val="27523D8B"/>
    <w:rsid w:val="27571FB0"/>
    <w:rsid w:val="277B5917"/>
    <w:rsid w:val="279C562B"/>
    <w:rsid w:val="27CB234D"/>
    <w:rsid w:val="27DD0E50"/>
    <w:rsid w:val="27F06EB0"/>
    <w:rsid w:val="28051B80"/>
    <w:rsid w:val="28111B31"/>
    <w:rsid w:val="2812018B"/>
    <w:rsid w:val="281B4164"/>
    <w:rsid w:val="28436F87"/>
    <w:rsid w:val="28543271"/>
    <w:rsid w:val="28A4768B"/>
    <w:rsid w:val="28B21D7F"/>
    <w:rsid w:val="28FA32EC"/>
    <w:rsid w:val="290E6BC9"/>
    <w:rsid w:val="29173B66"/>
    <w:rsid w:val="292921B8"/>
    <w:rsid w:val="292A5653"/>
    <w:rsid w:val="294D1809"/>
    <w:rsid w:val="297556B8"/>
    <w:rsid w:val="29833304"/>
    <w:rsid w:val="298E6D1A"/>
    <w:rsid w:val="299136C4"/>
    <w:rsid w:val="299E17F0"/>
    <w:rsid w:val="29F24758"/>
    <w:rsid w:val="29F342B5"/>
    <w:rsid w:val="2A185F4D"/>
    <w:rsid w:val="2A294F30"/>
    <w:rsid w:val="2A2E15E1"/>
    <w:rsid w:val="2A48452B"/>
    <w:rsid w:val="2A667D9D"/>
    <w:rsid w:val="2A6E7F45"/>
    <w:rsid w:val="2AA65193"/>
    <w:rsid w:val="2ACA7F41"/>
    <w:rsid w:val="2AD656CD"/>
    <w:rsid w:val="2AED1BE3"/>
    <w:rsid w:val="2B283D03"/>
    <w:rsid w:val="2B2C09C2"/>
    <w:rsid w:val="2B3955C5"/>
    <w:rsid w:val="2B4B2D55"/>
    <w:rsid w:val="2B5477CA"/>
    <w:rsid w:val="2B8B0795"/>
    <w:rsid w:val="2B9D34BB"/>
    <w:rsid w:val="2BA51126"/>
    <w:rsid w:val="2BC47FF8"/>
    <w:rsid w:val="2BC5306E"/>
    <w:rsid w:val="2BCB73A4"/>
    <w:rsid w:val="2BCC03B8"/>
    <w:rsid w:val="2C1A4EC2"/>
    <w:rsid w:val="2C2974C9"/>
    <w:rsid w:val="2C46106B"/>
    <w:rsid w:val="2C495415"/>
    <w:rsid w:val="2C53386B"/>
    <w:rsid w:val="2C553395"/>
    <w:rsid w:val="2C5C59D2"/>
    <w:rsid w:val="2CA32757"/>
    <w:rsid w:val="2CE17BAA"/>
    <w:rsid w:val="2CEF4130"/>
    <w:rsid w:val="2CEF4221"/>
    <w:rsid w:val="2D29095F"/>
    <w:rsid w:val="2D3D4F3C"/>
    <w:rsid w:val="2D561A2A"/>
    <w:rsid w:val="2D5B5C53"/>
    <w:rsid w:val="2D7D66CE"/>
    <w:rsid w:val="2D801091"/>
    <w:rsid w:val="2D930852"/>
    <w:rsid w:val="2DAD4425"/>
    <w:rsid w:val="2DAE5B57"/>
    <w:rsid w:val="2E1B2CA7"/>
    <w:rsid w:val="2E215383"/>
    <w:rsid w:val="2E267FD1"/>
    <w:rsid w:val="2E4C2CE8"/>
    <w:rsid w:val="2E540F85"/>
    <w:rsid w:val="2E6E454F"/>
    <w:rsid w:val="2E780731"/>
    <w:rsid w:val="2E7C3412"/>
    <w:rsid w:val="2E85164F"/>
    <w:rsid w:val="2EBB2DFC"/>
    <w:rsid w:val="2ECD67EF"/>
    <w:rsid w:val="2ED37546"/>
    <w:rsid w:val="2F020B5B"/>
    <w:rsid w:val="2F4C56E3"/>
    <w:rsid w:val="2F754E19"/>
    <w:rsid w:val="2FAA5BDF"/>
    <w:rsid w:val="2FB00BEC"/>
    <w:rsid w:val="303A0F1A"/>
    <w:rsid w:val="3047562E"/>
    <w:rsid w:val="307F5662"/>
    <w:rsid w:val="308569C2"/>
    <w:rsid w:val="30891390"/>
    <w:rsid w:val="30A521C2"/>
    <w:rsid w:val="30B27A0C"/>
    <w:rsid w:val="30BE3995"/>
    <w:rsid w:val="30C509BA"/>
    <w:rsid w:val="30FC2445"/>
    <w:rsid w:val="310D103F"/>
    <w:rsid w:val="31162721"/>
    <w:rsid w:val="31204050"/>
    <w:rsid w:val="313A66CA"/>
    <w:rsid w:val="315D327B"/>
    <w:rsid w:val="315D719C"/>
    <w:rsid w:val="31610150"/>
    <w:rsid w:val="317314BF"/>
    <w:rsid w:val="317F5281"/>
    <w:rsid w:val="31933DD5"/>
    <w:rsid w:val="31B421B5"/>
    <w:rsid w:val="31BB1C65"/>
    <w:rsid w:val="31D43B04"/>
    <w:rsid w:val="32105EF4"/>
    <w:rsid w:val="324E39CF"/>
    <w:rsid w:val="325E4663"/>
    <w:rsid w:val="326F6B27"/>
    <w:rsid w:val="327C1D8F"/>
    <w:rsid w:val="32AE32E5"/>
    <w:rsid w:val="32C94037"/>
    <w:rsid w:val="32CC6AE5"/>
    <w:rsid w:val="3300593D"/>
    <w:rsid w:val="330217B6"/>
    <w:rsid w:val="330E6E66"/>
    <w:rsid w:val="334F3CED"/>
    <w:rsid w:val="33885E66"/>
    <w:rsid w:val="33E964FA"/>
    <w:rsid w:val="34177D55"/>
    <w:rsid w:val="341F63AE"/>
    <w:rsid w:val="34262551"/>
    <w:rsid w:val="34307DA0"/>
    <w:rsid w:val="34533CCD"/>
    <w:rsid w:val="346558E5"/>
    <w:rsid w:val="3466157D"/>
    <w:rsid w:val="346B42A7"/>
    <w:rsid w:val="348C2626"/>
    <w:rsid w:val="34B738AC"/>
    <w:rsid w:val="34C024D6"/>
    <w:rsid w:val="34DB5975"/>
    <w:rsid w:val="34E55DC6"/>
    <w:rsid w:val="35146334"/>
    <w:rsid w:val="352533F9"/>
    <w:rsid w:val="35421564"/>
    <w:rsid w:val="358129DB"/>
    <w:rsid w:val="35A77405"/>
    <w:rsid w:val="35C034E0"/>
    <w:rsid w:val="35D02C76"/>
    <w:rsid w:val="35D8673B"/>
    <w:rsid w:val="36350EF7"/>
    <w:rsid w:val="36372891"/>
    <w:rsid w:val="36616EAB"/>
    <w:rsid w:val="36754894"/>
    <w:rsid w:val="368126E9"/>
    <w:rsid w:val="36943B1E"/>
    <w:rsid w:val="36C84531"/>
    <w:rsid w:val="373A3C50"/>
    <w:rsid w:val="373F2EAA"/>
    <w:rsid w:val="376D39F0"/>
    <w:rsid w:val="37C30C26"/>
    <w:rsid w:val="37DB5D2B"/>
    <w:rsid w:val="38590CF1"/>
    <w:rsid w:val="388215DE"/>
    <w:rsid w:val="38A42634"/>
    <w:rsid w:val="38DA78BD"/>
    <w:rsid w:val="38F54E40"/>
    <w:rsid w:val="392D310C"/>
    <w:rsid w:val="394C06C1"/>
    <w:rsid w:val="39736CEF"/>
    <w:rsid w:val="397B453D"/>
    <w:rsid w:val="397F3ED1"/>
    <w:rsid w:val="39FA7830"/>
    <w:rsid w:val="3A2B2905"/>
    <w:rsid w:val="3A435AB6"/>
    <w:rsid w:val="3A6A39AB"/>
    <w:rsid w:val="3AA8116E"/>
    <w:rsid w:val="3AD73BA6"/>
    <w:rsid w:val="3ADB2E44"/>
    <w:rsid w:val="3AEB5954"/>
    <w:rsid w:val="3B063BAA"/>
    <w:rsid w:val="3B0734DF"/>
    <w:rsid w:val="3B0973CD"/>
    <w:rsid w:val="3B5E6FD1"/>
    <w:rsid w:val="3B707887"/>
    <w:rsid w:val="3B89159E"/>
    <w:rsid w:val="3BA661F0"/>
    <w:rsid w:val="3BA80AA8"/>
    <w:rsid w:val="3BAA7C0C"/>
    <w:rsid w:val="3BB8321C"/>
    <w:rsid w:val="3BE14551"/>
    <w:rsid w:val="3BF50E6E"/>
    <w:rsid w:val="3C3163E9"/>
    <w:rsid w:val="3C750B58"/>
    <w:rsid w:val="3C7F6AA8"/>
    <w:rsid w:val="3C8E6A89"/>
    <w:rsid w:val="3C992086"/>
    <w:rsid w:val="3CA27E63"/>
    <w:rsid w:val="3CB3566F"/>
    <w:rsid w:val="3CC73FE1"/>
    <w:rsid w:val="3CC87EFB"/>
    <w:rsid w:val="3CCD7C19"/>
    <w:rsid w:val="3CFE2246"/>
    <w:rsid w:val="3D0A549E"/>
    <w:rsid w:val="3D0D5F68"/>
    <w:rsid w:val="3D5A31BA"/>
    <w:rsid w:val="3D9A5F13"/>
    <w:rsid w:val="3DAF753F"/>
    <w:rsid w:val="3DCF0B5B"/>
    <w:rsid w:val="3DF00946"/>
    <w:rsid w:val="3DFB70CE"/>
    <w:rsid w:val="3E0F611B"/>
    <w:rsid w:val="3E2C38E1"/>
    <w:rsid w:val="3EA16E6E"/>
    <w:rsid w:val="3EA908A6"/>
    <w:rsid w:val="3EBD5120"/>
    <w:rsid w:val="3ECF010B"/>
    <w:rsid w:val="3EF1088B"/>
    <w:rsid w:val="3EFA5474"/>
    <w:rsid w:val="3F077FDA"/>
    <w:rsid w:val="3F731B97"/>
    <w:rsid w:val="3FA75167"/>
    <w:rsid w:val="4017107F"/>
    <w:rsid w:val="405E2051"/>
    <w:rsid w:val="406564DB"/>
    <w:rsid w:val="408A271B"/>
    <w:rsid w:val="410E385A"/>
    <w:rsid w:val="41641D0E"/>
    <w:rsid w:val="416F3498"/>
    <w:rsid w:val="4181272A"/>
    <w:rsid w:val="419132C7"/>
    <w:rsid w:val="41D4098C"/>
    <w:rsid w:val="41EA45DC"/>
    <w:rsid w:val="422C7A86"/>
    <w:rsid w:val="42532C31"/>
    <w:rsid w:val="42606AB2"/>
    <w:rsid w:val="42610AA2"/>
    <w:rsid w:val="426400DC"/>
    <w:rsid w:val="42A74601"/>
    <w:rsid w:val="42B554FC"/>
    <w:rsid w:val="42D36099"/>
    <w:rsid w:val="42D66ECD"/>
    <w:rsid w:val="42E454C9"/>
    <w:rsid w:val="431C58FF"/>
    <w:rsid w:val="433C65CD"/>
    <w:rsid w:val="43420BA0"/>
    <w:rsid w:val="4356753D"/>
    <w:rsid w:val="437602E1"/>
    <w:rsid w:val="43801189"/>
    <w:rsid w:val="438973E6"/>
    <w:rsid w:val="438A5FB6"/>
    <w:rsid w:val="43AE0C9D"/>
    <w:rsid w:val="44281D17"/>
    <w:rsid w:val="4431603B"/>
    <w:rsid w:val="444458F4"/>
    <w:rsid w:val="44576B87"/>
    <w:rsid w:val="44716BE4"/>
    <w:rsid w:val="44980AC2"/>
    <w:rsid w:val="44B60466"/>
    <w:rsid w:val="44C36702"/>
    <w:rsid w:val="44C46206"/>
    <w:rsid w:val="44ED5E17"/>
    <w:rsid w:val="45836049"/>
    <w:rsid w:val="45847493"/>
    <w:rsid w:val="45CF5D2A"/>
    <w:rsid w:val="45D331A2"/>
    <w:rsid w:val="45D94457"/>
    <w:rsid w:val="46125C68"/>
    <w:rsid w:val="46267535"/>
    <w:rsid w:val="467F049E"/>
    <w:rsid w:val="46A966AC"/>
    <w:rsid w:val="46C24691"/>
    <w:rsid w:val="46CD0DC1"/>
    <w:rsid w:val="46F97ADE"/>
    <w:rsid w:val="473F1C74"/>
    <w:rsid w:val="475209DD"/>
    <w:rsid w:val="476944E3"/>
    <w:rsid w:val="478D4F24"/>
    <w:rsid w:val="47B23E7E"/>
    <w:rsid w:val="48016297"/>
    <w:rsid w:val="48075D34"/>
    <w:rsid w:val="480E14D3"/>
    <w:rsid w:val="481944B8"/>
    <w:rsid w:val="483E290E"/>
    <w:rsid w:val="48580AFD"/>
    <w:rsid w:val="486149D6"/>
    <w:rsid w:val="487B67EA"/>
    <w:rsid w:val="48815073"/>
    <w:rsid w:val="48B93430"/>
    <w:rsid w:val="48C5783C"/>
    <w:rsid w:val="48CF692D"/>
    <w:rsid w:val="48F07251"/>
    <w:rsid w:val="490A03EA"/>
    <w:rsid w:val="4915633D"/>
    <w:rsid w:val="491C006E"/>
    <w:rsid w:val="49382DBE"/>
    <w:rsid w:val="495C29F3"/>
    <w:rsid w:val="49A0077F"/>
    <w:rsid w:val="4A1A3158"/>
    <w:rsid w:val="4A246740"/>
    <w:rsid w:val="4A4B48B2"/>
    <w:rsid w:val="4A5356EC"/>
    <w:rsid w:val="4A551BB9"/>
    <w:rsid w:val="4A903C90"/>
    <w:rsid w:val="4AB16073"/>
    <w:rsid w:val="4AC04D64"/>
    <w:rsid w:val="4AD37FDD"/>
    <w:rsid w:val="4AD94EAD"/>
    <w:rsid w:val="4AF536A2"/>
    <w:rsid w:val="4B171173"/>
    <w:rsid w:val="4B2340C4"/>
    <w:rsid w:val="4B2654E4"/>
    <w:rsid w:val="4B2F7E81"/>
    <w:rsid w:val="4B914CA1"/>
    <w:rsid w:val="4BA35BC0"/>
    <w:rsid w:val="4BB66B89"/>
    <w:rsid w:val="4BBC43DE"/>
    <w:rsid w:val="4BBD7B6C"/>
    <w:rsid w:val="4C2029E6"/>
    <w:rsid w:val="4C332997"/>
    <w:rsid w:val="4C544824"/>
    <w:rsid w:val="4C607FA3"/>
    <w:rsid w:val="4C6A1D42"/>
    <w:rsid w:val="4C6E0815"/>
    <w:rsid w:val="4CA74488"/>
    <w:rsid w:val="4CB73DAD"/>
    <w:rsid w:val="4CB76CE2"/>
    <w:rsid w:val="4CCA2FD3"/>
    <w:rsid w:val="4CED3CEF"/>
    <w:rsid w:val="4CEF7BE7"/>
    <w:rsid w:val="4D264FEF"/>
    <w:rsid w:val="4D53331A"/>
    <w:rsid w:val="4D802D80"/>
    <w:rsid w:val="4D8323C6"/>
    <w:rsid w:val="4D8A6741"/>
    <w:rsid w:val="4D952DC0"/>
    <w:rsid w:val="4D9C270C"/>
    <w:rsid w:val="4D9E1980"/>
    <w:rsid w:val="4DBE6EFB"/>
    <w:rsid w:val="4DD36ED0"/>
    <w:rsid w:val="4DDD30CC"/>
    <w:rsid w:val="4DE87FE3"/>
    <w:rsid w:val="4DF417B9"/>
    <w:rsid w:val="4E0A394B"/>
    <w:rsid w:val="4E1150A0"/>
    <w:rsid w:val="4E2941BF"/>
    <w:rsid w:val="4E2C5E1A"/>
    <w:rsid w:val="4E39182A"/>
    <w:rsid w:val="4E69401E"/>
    <w:rsid w:val="4E7A22E8"/>
    <w:rsid w:val="4EA0032D"/>
    <w:rsid w:val="4EA710B7"/>
    <w:rsid w:val="4ECB1043"/>
    <w:rsid w:val="4ECF2923"/>
    <w:rsid w:val="4ED03602"/>
    <w:rsid w:val="4F252A70"/>
    <w:rsid w:val="4F2A566A"/>
    <w:rsid w:val="4FC712DA"/>
    <w:rsid w:val="4FD1359A"/>
    <w:rsid w:val="4FEA0B42"/>
    <w:rsid w:val="4FF14131"/>
    <w:rsid w:val="50036730"/>
    <w:rsid w:val="500B14C3"/>
    <w:rsid w:val="500C0831"/>
    <w:rsid w:val="501138A9"/>
    <w:rsid w:val="501B553E"/>
    <w:rsid w:val="502B43DB"/>
    <w:rsid w:val="502E3667"/>
    <w:rsid w:val="506F538E"/>
    <w:rsid w:val="50905592"/>
    <w:rsid w:val="50974D8C"/>
    <w:rsid w:val="50A222B0"/>
    <w:rsid w:val="50A632BF"/>
    <w:rsid w:val="50BD7A93"/>
    <w:rsid w:val="50BE0DCC"/>
    <w:rsid w:val="50EA6FA8"/>
    <w:rsid w:val="510D6208"/>
    <w:rsid w:val="5122739C"/>
    <w:rsid w:val="51235D86"/>
    <w:rsid w:val="51323733"/>
    <w:rsid w:val="51377930"/>
    <w:rsid w:val="51781ED3"/>
    <w:rsid w:val="517D14CD"/>
    <w:rsid w:val="51880265"/>
    <w:rsid w:val="51AC29FA"/>
    <w:rsid w:val="51B63C03"/>
    <w:rsid w:val="51DD6957"/>
    <w:rsid w:val="52415E6F"/>
    <w:rsid w:val="52526AB5"/>
    <w:rsid w:val="526950D1"/>
    <w:rsid w:val="52D42276"/>
    <w:rsid w:val="52D45AD8"/>
    <w:rsid w:val="52E1776B"/>
    <w:rsid w:val="52E44C6F"/>
    <w:rsid w:val="52EC4C8B"/>
    <w:rsid w:val="530A1A9B"/>
    <w:rsid w:val="531A1C93"/>
    <w:rsid w:val="53264833"/>
    <w:rsid w:val="53312F0F"/>
    <w:rsid w:val="53730C70"/>
    <w:rsid w:val="538D310D"/>
    <w:rsid w:val="539F4466"/>
    <w:rsid w:val="53C82D82"/>
    <w:rsid w:val="53D304AB"/>
    <w:rsid w:val="53F2167F"/>
    <w:rsid w:val="54315587"/>
    <w:rsid w:val="544E3F9A"/>
    <w:rsid w:val="545F2A8D"/>
    <w:rsid w:val="5472686E"/>
    <w:rsid w:val="54B51FCA"/>
    <w:rsid w:val="54F60D9A"/>
    <w:rsid w:val="555D47E2"/>
    <w:rsid w:val="55635B44"/>
    <w:rsid w:val="55700134"/>
    <w:rsid w:val="557156F2"/>
    <w:rsid w:val="55806041"/>
    <w:rsid w:val="55B657BB"/>
    <w:rsid w:val="55C534B2"/>
    <w:rsid w:val="55DC08EF"/>
    <w:rsid w:val="56376E72"/>
    <w:rsid w:val="566E1A20"/>
    <w:rsid w:val="568D576F"/>
    <w:rsid w:val="56905B87"/>
    <w:rsid w:val="56BD1341"/>
    <w:rsid w:val="56C12882"/>
    <w:rsid w:val="56FF4250"/>
    <w:rsid w:val="571975E7"/>
    <w:rsid w:val="5781715D"/>
    <w:rsid w:val="57861E67"/>
    <w:rsid w:val="579C2C5E"/>
    <w:rsid w:val="579E012A"/>
    <w:rsid w:val="57E23ADE"/>
    <w:rsid w:val="57EC2B0A"/>
    <w:rsid w:val="57FA0CEB"/>
    <w:rsid w:val="58124285"/>
    <w:rsid w:val="586F5B0A"/>
    <w:rsid w:val="589B0227"/>
    <w:rsid w:val="589F0F23"/>
    <w:rsid w:val="58B43DCB"/>
    <w:rsid w:val="58E508B4"/>
    <w:rsid w:val="59080F34"/>
    <w:rsid w:val="59200492"/>
    <w:rsid w:val="593E47F1"/>
    <w:rsid w:val="595A77FC"/>
    <w:rsid w:val="596A5151"/>
    <w:rsid w:val="597503B8"/>
    <w:rsid w:val="59824D1B"/>
    <w:rsid w:val="598A35AF"/>
    <w:rsid w:val="599415C4"/>
    <w:rsid w:val="59C91131"/>
    <w:rsid w:val="59D14D34"/>
    <w:rsid w:val="59D750E7"/>
    <w:rsid w:val="59DD60B5"/>
    <w:rsid w:val="59DF28DB"/>
    <w:rsid w:val="59DF5136"/>
    <w:rsid w:val="59EE6788"/>
    <w:rsid w:val="59FB24CD"/>
    <w:rsid w:val="59FD10D9"/>
    <w:rsid w:val="5A171F37"/>
    <w:rsid w:val="5A3D5F4D"/>
    <w:rsid w:val="5A411426"/>
    <w:rsid w:val="5A575511"/>
    <w:rsid w:val="5A604E37"/>
    <w:rsid w:val="5A6753AA"/>
    <w:rsid w:val="5A687E11"/>
    <w:rsid w:val="5A73328E"/>
    <w:rsid w:val="5A961EEC"/>
    <w:rsid w:val="5AB60078"/>
    <w:rsid w:val="5ABD554E"/>
    <w:rsid w:val="5AC11663"/>
    <w:rsid w:val="5B4C6D12"/>
    <w:rsid w:val="5B511411"/>
    <w:rsid w:val="5B6E6320"/>
    <w:rsid w:val="5BC32E73"/>
    <w:rsid w:val="5BE23A21"/>
    <w:rsid w:val="5BEB0388"/>
    <w:rsid w:val="5BF226CE"/>
    <w:rsid w:val="5C465EC9"/>
    <w:rsid w:val="5C5A1747"/>
    <w:rsid w:val="5C6259B0"/>
    <w:rsid w:val="5CBE72E3"/>
    <w:rsid w:val="5CC656E4"/>
    <w:rsid w:val="5CEA5484"/>
    <w:rsid w:val="5CFC7727"/>
    <w:rsid w:val="5D054AD0"/>
    <w:rsid w:val="5D1568E8"/>
    <w:rsid w:val="5D73660B"/>
    <w:rsid w:val="5D9C1A10"/>
    <w:rsid w:val="5DBE7347"/>
    <w:rsid w:val="5DE56A1F"/>
    <w:rsid w:val="5E0C3AA0"/>
    <w:rsid w:val="5E1623F4"/>
    <w:rsid w:val="5E24228C"/>
    <w:rsid w:val="5E26434C"/>
    <w:rsid w:val="5E494728"/>
    <w:rsid w:val="5E70005C"/>
    <w:rsid w:val="5EAA06B5"/>
    <w:rsid w:val="5EAA6797"/>
    <w:rsid w:val="5EAC70A1"/>
    <w:rsid w:val="5EDC76A4"/>
    <w:rsid w:val="5EE72978"/>
    <w:rsid w:val="5EF06D94"/>
    <w:rsid w:val="5F124031"/>
    <w:rsid w:val="5F1A2085"/>
    <w:rsid w:val="5F3E693E"/>
    <w:rsid w:val="5F4A737B"/>
    <w:rsid w:val="5F523013"/>
    <w:rsid w:val="5F6F2336"/>
    <w:rsid w:val="5F7F1BD8"/>
    <w:rsid w:val="5FAC70EB"/>
    <w:rsid w:val="6047717B"/>
    <w:rsid w:val="608D5E17"/>
    <w:rsid w:val="60A73C17"/>
    <w:rsid w:val="60FF0F62"/>
    <w:rsid w:val="61016CDA"/>
    <w:rsid w:val="6111316C"/>
    <w:rsid w:val="61122B14"/>
    <w:rsid w:val="6126731F"/>
    <w:rsid w:val="61293839"/>
    <w:rsid w:val="614E0803"/>
    <w:rsid w:val="618B0219"/>
    <w:rsid w:val="61C04A21"/>
    <w:rsid w:val="61C7556D"/>
    <w:rsid w:val="61D446F8"/>
    <w:rsid w:val="61F113C8"/>
    <w:rsid w:val="62027671"/>
    <w:rsid w:val="622268FC"/>
    <w:rsid w:val="624232C6"/>
    <w:rsid w:val="6269219A"/>
    <w:rsid w:val="627D1120"/>
    <w:rsid w:val="62973964"/>
    <w:rsid w:val="62974E74"/>
    <w:rsid w:val="62B71692"/>
    <w:rsid w:val="62EE0142"/>
    <w:rsid w:val="63012C75"/>
    <w:rsid w:val="63196CD2"/>
    <w:rsid w:val="631C68C6"/>
    <w:rsid w:val="63423D23"/>
    <w:rsid w:val="634C382D"/>
    <w:rsid w:val="63724E23"/>
    <w:rsid w:val="63A54320"/>
    <w:rsid w:val="63C757FE"/>
    <w:rsid w:val="63DD3DEC"/>
    <w:rsid w:val="63FF4BE8"/>
    <w:rsid w:val="64366A35"/>
    <w:rsid w:val="644A2E98"/>
    <w:rsid w:val="644A7F4A"/>
    <w:rsid w:val="644C5230"/>
    <w:rsid w:val="6465019E"/>
    <w:rsid w:val="6482443B"/>
    <w:rsid w:val="64A25A7F"/>
    <w:rsid w:val="64A3627A"/>
    <w:rsid w:val="64FA0484"/>
    <w:rsid w:val="653A05B5"/>
    <w:rsid w:val="653F0376"/>
    <w:rsid w:val="656D1C4E"/>
    <w:rsid w:val="659269C5"/>
    <w:rsid w:val="65A14338"/>
    <w:rsid w:val="65A4600C"/>
    <w:rsid w:val="65AD70A8"/>
    <w:rsid w:val="65B76C65"/>
    <w:rsid w:val="65BC71B4"/>
    <w:rsid w:val="65FA617C"/>
    <w:rsid w:val="65FB7FAA"/>
    <w:rsid w:val="660A5D53"/>
    <w:rsid w:val="6610063F"/>
    <w:rsid w:val="66177A75"/>
    <w:rsid w:val="66510947"/>
    <w:rsid w:val="6655604C"/>
    <w:rsid w:val="665B55A5"/>
    <w:rsid w:val="66642F22"/>
    <w:rsid w:val="669A6010"/>
    <w:rsid w:val="66C1272D"/>
    <w:rsid w:val="66CE038E"/>
    <w:rsid w:val="67091DE5"/>
    <w:rsid w:val="670F5267"/>
    <w:rsid w:val="672B7879"/>
    <w:rsid w:val="6744415D"/>
    <w:rsid w:val="674F4E53"/>
    <w:rsid w:val="676E2ACC"/>
    <w:rsid w:val="677A68B4"/>
    <w:rsid w:val="67A953B9"/>
    <w:rsid w:val="67AD6492"/>
    <w:rsid w:val="67D35A09"/>
    <w:rsid w:val="67F066A0"/>
    <w:rsid w:val="68114F22"/>
    <w:rsid w:val="684D5726"/>
    <w:rsid w:val="6855646E"/>
    <w:rsid w:val="685C1DB3"/>
    <w:rsid w:val="68BA7E1E"/>
    <w:rsid w:val="68BE2EE6"/>
    <w:rsid w:val="68CE70E9"/>
    <w:rsid w:val="68D60DD0"/>
    <w:rsid w:val="68DA1267"/>
    <w:rsid w:val="69104DAA"/>
    <w:rsid w:val="6912152F"/>
    <w:rsid w:val="694224F7"/>
    <w:rsid w:val="694F7F8B"/>
    <w:rsid w:val="6951057C"/>
    <w:rsid w:val="69585F80"/>
    <w:rsid w:val="697D0CBC"/>
    <w:rsid w:val="697D221E"/>
    <w:rsid w:val="698173BD"/>
    <w:rsid w:val="699771F9"/>
    <w:rsid w:val="69A62F91"/>
    <w:rsid w:val="69B57D62"/>
    <w:rsid w:val="69E8567B"/>
    <w:rsid w:val="6A282C50"/>
    <w:rsid w:val="6A40539F"/>
    <w:rsid w:val="6A5E42D8"/>
    <w:rsid w:val="6AA85E67"/>
    <w:rsid w:val="6AC363E7"/>
    <w:rsid w:val="6AD1657F"/>
    <w:rsid w:val="6AF2197E"/>
    <w:rsid w:val="6B036063"/>
    <w:rsid w:val="6B1870A6"/>
    <w:rsid w:val="6B3325E5"/>
    <w:rsid w:val="6B3F47BA"/>
    <w:rsid w:val="6B3F7686"/>
    <w:rsid w:val="6B570E4D"/>
    <w:rsid w:val="6B92360B"/>
    <w:rsid w:val="6BF93967"/>
    <w:rsid w:val="6BFF4122"/>
    <w:rsid w:val="6C275338"/>
    <w:rsid w:val="6C4622EC"/>
    <w:rsid w:val="6C74276C"/>
    <w:rsid w:val="6C992CBC"/>
    <w:rsid w:val="6CB1467B"/>
    <w:rsid w:val="6CEB286E"/>
    <w:rsid w:val="6D15714B"/>
    <w:rsid w:val="6D171D0D"/>
    <w:rsid w:val="6D174789"/>
    <w:rsid w:val="6D35514D"/>
    <w:rsid w:val="6D3E5F0D"/>
    <w:rsid w:val="6D4A335D"/>
    <w:rsid w:val="6D9B0879"/>
    <w:rsid w:val="6DA71974"/>
    <w:rsid w:val="6DBA5497"/>
    <w:rsid w:val="6DBB27B7"/>
    <w:rsid w:val="6DD57F7F"/>
    <w:rsid w:val="6DDE05E5"/>
    <w:rsid w:val="6E1C3F74"/>
    <w:rsid w:val="6E205C82"/>
    <w:rsid w:val="6E2317E2"/>
    <w:rsid w:val="6E47178C"/>
    <w:rsid w:val="6E4D6572"/>
    <w:rsid w:val="6E7667BC"/>
    <w:rsid w:val="6EB25F34"/>
    <w:rsid w:val="6EB5025E"/>
    <w:rsid w:val="6EB844CB"/>
    <w:rsid w:val="6EC97A2E"/>
    <w:rsid w:val="6EF86E26"/>
    <w:rsid w:val="6F0E267D"/>
    <w:rsid w:val="6F2A7185"/>
    <w:rsid w:val="6F473CEF"/>
    <w:rsid w:val="6F5C5A0B"/>
    <w:rsid w:val="6F722F83"/>
    <w:rsid w:val="6F817873"/>
    <w:rsid w:val="6F8572C2"/>
    <w:rsid w:val="6F8E3E08"/>
    <w:rsid w:val="6F8F29F5"/>
    <w:rsid w:val="6FAB691C"/>
    <w:rsid w:val="6FB67940"/>
    <w:rsid w:val="6FF32A8B"/>
    <w:rsid w:val="701538C6"/>
    <w:rsid w:val="702E5B16"/>
    <w:rsid w:val="70696D40"/>
    <w:rsid w:val="709C5B1A"/>
    <w:rsid w:val="70C17AE8"/>
    <w:rsid w:val="70D53F50"/>
    <w:rsid w:val="70DA61EA"/>
    <w:rsid w:val="710B0E9A"/>
    <w:rsid w:val="71392EC7"/>
    <w:rsid w:val="714F3DDA"/>
    <w:rsid w:val="71531D21"/>
    <w:rsid w:val="71666FA6"/>
    <w:rsid w:val="71717B01"/>
    <w:rsid w:val="717C2474"/>
    <w:rsid w:val="71CE6CDC"/>
    <w:rsid w:val="724E6E83"/>
    <w:rsid w:val="725F77A6"/>
    <w:rsid w:val="72654298"/>
    <w:rsid w:val="72713B77"/>
    <w:rsid w:val="72790DC9"/>
    <w:rsid w:val="72846F50"/>
    <w:rsid w:val="728A1A21"/>
    <w:rsid w:val="72D26BFB"/>
    <w:rsid w:val="72E6351E"/>
    <w:rsid w:val="731C015C"/>
    <w:rsid w:val="732D4772"/>
    <w:rsid w:val="73464A36"/>
    <w:rsid w:val="73934754"/>
    <w:rsid w:val="73AB2F81"/>
    <w:rsid w:val="73B90023"/>
    <w:rsid w:val="73D30E97"/>
    <w:rsid w:val="73D53C2A"/>
    <w:rsid w:val="73D62D44"/>
    <w:rsid w:val="73D9087E"/>
    <w:rsid w:val="73FE3033"/>
    <w:rsid w:val="74243EC3"/>
    <w:rsid w:val="742E758E"/>
    <w:rsid w:val="744B0F32"/>
    <w:rsid w:val="7460237D"/>
    <w:rsid w:val="746632A7"/>
    <w:rsid w:val="74A0210E"/>
    <w:rsid w:val="74A04AAF"/>
    <w:rsid w:val="74B04D39"/>
    <w:rsid w:val="74E242D1"/>
    <w:rsid w:val="74EA0340"/>
    <w:rsid w:val="750444A0"/>
    <w:rsid w:val="750C7215"/>
    <w:rsid w:val="751F08D6"/>
    <w:rsid w:val="75484487"/>
    <w:rsid w:val="755126FD"/>
    <w:rsid w:val="756E7716"/>
    <w:rsid w:val="75753530"/>
    <w:rsid w:val="75AF24E5"/>
    <w:rsid w:val="75C160AA"/>
    <w:rsid w:val="75C84031"/>
    <w:rsid w:val="75D72C8B"/>
    <w:rsid w:val="75DA4B0D"/>
    <w:rsid w:val="7605296F"/>
    <w:rsid w:val="760D497E"/>
    <w:rsid w:val="760D7C8B"/>
    <w:rsid w:val="766113A7"/>
    <w:rsid w:val="767E0B8B"/>
    <w:rsid w:val="76AC51FF"/>
    <w:rsid w:val="76B308E6"/>
    <w:rsid w:val="76C6163F"/>
    <w:rsid w:val="76E57EC1"/>
    <w:rsid w:val="770A4FC8"/>
    <w:rsid w:val="773B6CD5"/>
    <w:rsid w:val="77507165"/>
    <w:rsid w:val="779C4CA2"/>
    <w:rsid w:val="77C8099A"/>
    <w:rsid w:val="77D54E1F"/>
    <w:rsid w:val="77E96CF2"/>
    <w:rsid w:val="77F50CBB"/>
    <w:rsid w:val="780A6ABB"/>
    <w:rsid w:val="78213308"/>
    <w:rsid w:val="782B662D"/>
    <w:rsid w:val="785B6B88"/>
    <w:rsid w:val="78716FB5"/>
    <w:rsid w:val="78797B06"/>
    <w:rsid w:val="787C39FC"/>
    <w:rsid w:val="787F7220"/>
    <w:rsid w:val="7884713C"/>
    <w:rsid w:val="78B458D1"/>
    <w:rsid w:val="78FB6851"/>
    <w:rsid w:val="79372670"/>
    <w:rsid w:val="79466398"/>
    <w:rsid w:val="795B7D77"/>
    <w:rsid w:val="7967571B"/>
    <w:rsid w:val="79D247E8"/>
    <w:rsid w:val="79DF7282"/>
    <w:rsid w:val="7A5A12DA"/>
    <w:rsid w:val="7A5C27DC"/>
    <w:rsid w:val="7A7578B7"/>
    <w:rsid w:val="7AAF1E96"/>
    <w:rsid w:val="7ABB5FB7"/>
    <w:rsid w:val="7B0938BB"/>
    <w:rsid w:val="7B15565A"/>
    <w:rsid w:val="7B3156E2"/>
    <w:rsid w:val="7B5F3248"/>
    <w:rsid w:val="7B7F4DA2"/>
    <w:rsid w:val="7BBB29DF"/>
    <w:rsid w:val="7BF26CC9"/>
    <w:rsid w:val="7BFA7BFB"/>
    <w:rsid w:val="7C1135F2"/>
    <w:rsid w:val="7C4A5C2E"/>
    <w:rsid w:val="7C992893"/>
    <w:rsid w:val="7CA13FF6"/>
    <w:rsid w:val="7CB13187"/>
    <w:rsid w:val="7CB15134"/>
    <w:rsid w:val="7CB34E12"/>
    <w:rsid w:val="7CB76667"/>
    <w:rsid w:val="7CCB5BCE"/>
    <w:rsid w:val="7CFC041A"/>
    <w:rsid w:val="7D017EA1"/>
    <w:rsid w:val="7D244BA9"/>
    <w:rsid w:val="7D2867E0"/>
    <w:rsid w:val="7D4B2C87"/>
    <w:rsid w:val="7D4F2B8D"/>
    <w:rsid w:val="7D6674E8"/>
    <w:rsid w:val="7D95546F"/>
    <w:rsid w:val="7DB95781"/>
    <w:rsid w:val="7DBE4199"/>
    <w:rsid w:val="7DC2690F"/>
    <w:rsid w:val="7DC63FAA"/>
    <w:rsid w:val="7E993586"/>
    <w:rsid w:val="7E9F6E62"/>
    <w:rsid w:val="7EC466C1"/>
    <w:rsid w:val="7ED2222E"/>
    <w:rsid w:val="7ED62F17"/>
    <w:rsid w:val="7EE1276A"/>
    <w:rsid w:val="7F137480"/>
    <w:rsid w:val="7F3D5056"/>
    <w:rsid w:val="7F870795"/>
    <w:rsid w:val="7F9124C9"/>
    <w:rsid w:val="7FAC1795"/>
    <w:rsid w:val="7FC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楷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8DE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8DE6"/>
      <w:u w:val="none"/>
    </w:rPr>
  </w:style>
  <w:style w:type="character" w:styleId="12">
    <w:name w:val="HTML Code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hint="default" w:ascii="serif" w:hAnsi="serif" w:eastAsia="serif" w:cs="serif"/>
      <w:sz w:val="21"/>
      <w:szCs w:val="21"/>
      <w:u w:val="single"/>
    </w:rPr>
  </w:style>
  <w:style w:type="character" w:styleId="15">
    <w:name w:val="HTML Sample"/>
    <w:basedOn w:val="5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7">
    <w:name w:val="fontstrikethrough"/>
    <w:basedOn w:val="5"/>
    <w:qFormat/>
    <w:uiPriority w:val="0"/>
    <w:rPr>
      <w:strike/>
    </w:rPr>
  </w:style>
  <w:style w:type="character" w:customStyle="1" w:styleId="18">
    <w:name w:val="fontborder"/>
    <w:basedOn w:val="5"/>
    <w:qFormat/>
    <w:uiPriority w:val="0"/>
    <w:rPr>
      <w:bdr w:val="single" w:color="000000" w:sz="4" w:space="0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5"/>
    <w:link w:val="2"/>
    <w:qFormat/>
    <w:uiPriority w:val="0"/>
    <w:rPr>
      <w:rFonts w:eastAsia="仿宋_GB2312" w:cs="楷体" w:asciiTheme="minorHAnsi" w:hAnsiTheme="minorHAns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18</Pages>
  <Words>1337</Words>
  <Characters>7624</Characters>
  <Lines>63</Lines>
  <Paragraphs>17</Paragraphs>
  <ScaleCrop>false</ScaleCrop>
  <LinksUpToDate>false</LinksUpToDate>
  <CharactersWithSpaces>8944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2018-11-04T10:41:00Z</dcterms:created>
  <dc:creator>zhaoxinlei</dc:creator>
  <cp:lastModifiedBy>null</cp:lastModifiedBy>
  <cp:lastPrinted>2018-11-28T07:37:00Z</cp:lastPrinted>
  <dcterms:modified xsi:type="dcterms:W3CDTF">2019-01-03T09:30:08Z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