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sz w:val="44"/>
          <w:szCs w:val="44"/>
          <w:lang w:val="en-US" w:eastAsia="zh-CN"/>
        </w:rPr>
      </w:pPr>
      <w:r>
        <w:rPr>
          <w:rFonts w:hint="eastAsia"/>
          <w:sz w:val="44"/>
          <w:szCs w:val="44"/>
          <w:lang w:val="en-US" w:eastAsia="zh-CN"/>
        </w:rPr>
        <w:t>深圳市福田区支持车公庙片区产业空间供给侧发展若干措施起草说明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sz w:val="44"/>
          <w:szCs w:val="44"/>
          <w:lang w:val="en-US" w:eastAsia="zh-CN"/>
        </w:rPr>
      </w:pPr>
      <w:r>
        <w:rPr>
          <w:rFonts w:hint="eastAsia" w:ascii="仿宋_GB2312" w:hAnsi="仿宋_GB2312" w:eastAsia="仿宋_GB2312" w:cs="仿宋_GB2312"/>
          <w:sz w:val="32"/>
          <w:szCs w:val="32"/>
          <w:lang w:eastAsia="zh-CN"/>
        </w:rPr>
        <w:t>为进一步推进福田区时尚产业发展，</w:t>
      </w:r>
      <w:r>
        <w:rPr>
          <w:rFonts w:hint="eastAsia" w:ascii="仿宋_GB2312" w:hAnsi="仿宋_GB2312" w:eastAsia="仿宋_GB2312" w:cs="仿宋_GB2312"/>
          <w:sz w:val="32"/>
          <w:szCs w:val="32"/>
        </w:rPr>
        <w:t>根据区委区政府工作部署</w:t>
      </w:r>
      <w:r>
        <w:rPr>
          <w:rFonts w:hint="eastAsia" w:ascii="仿宋_GB2312" w:hAnsi="仿宋_GB2312" w:eastAsia="仿宋_GB2312" w:cs="仿宋_GB2312"/>
          <w:sz w:val="32"/>
          <w:szCs w:val="32"/>
          <w:lang w:eastAsia="zh-CN"/>
        </w:rPr>
        <w:t>及打造车公庙湾区时尚总部重点工作要求，结合我区实际，区文化广电旅游体育局组织起草了《深圳市福田区支持车公庙片区产业空间供给侧发展若干措施（征求意见稿）》，现将起草情况说明如下：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为贯彻落实习近平总书记改革开放40周年讲话、视察广东重要讲话和在民营企业座谈会上的重要讲话精神，紧抓粤港澳大湾区建设发展机遇，对标“</w:t>
      </w:r>
      <w:r>
        <w:rPr>
          <w:rFonts w:hint="eastAsia" w:ascii="仿宋_GB2312" w:hAnsi="仿宋_GB2312" w:eastAsia="仿宋_GB2312" w:cs="仿宋_GB2312"/>
          <w:color w:val="auto"/>
          <w:kern w:val="0"/>
          <w:sz w:val="32"/>
          <w:szCs w:val="32"/>
        </w:rPr>
        <w:t>香谢丽舍大街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纽约第五大道</w:t>
      </w:r>
      <w:r>
        <w:rPr>
          <w:rFonts w:hint="eastAsia" w:ascii="仿宋_GB2312" w:hAnsi="仿宋_GB2312" w:eastAsia="仿宋_GB2312" w:cs="仿宋_GB2312"/>
          <w:sz w:val="32"/>
          <w:szCs w:val="32"/>
          <w:lang w:val="en-US" w:eastAsia="zh-CN"/>
        </w:rPr>
        <w:t>”等国际著名时尚街区，研究解决车公庙片区时尚产业聚合发展问题，推动</w:t>
      </w:r>
      <w:r>
        <w:rPr>
          <w:rFonts w:hint="eastAsia" w:ascii="仿宋_GB2312" w:hAnsi="仿宋_GB2312" w:eastAsia="仿宋_GB2312" w:cs="仿宋_GB2312"/>
          <w:color w:val="auto"/>
          <w:sz w:val="32"/>
          <w:szCs w:val="32"/>
        </w:rPr>
        <w:t>时尚价值链资源集聚，</w:t>
      </w:r>
      <w:r>
        <w:rPr>
          <w:rFonts w:hint="eastAsia"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rPr>
        <w:t>福田国际时尚产业发展和</w:t>
      </w:r>
      <w:r>
        <w:rPr>
          <w:rFonts w:hint="eastAsia" w:ascii="仿宋_GB2312" w:hAnsi="仿宋_GB2312" w:eastAsia="仿宋_GB2312" w:cs="仿宋_GB2312"/>
          <w:color w:val="auto"/>
          <w:sz w:val="32"/>
          <w:szCs w:val="32"/>
          <w:lang w:eastAsia="zh-CN"/>
        </w:rPr>
        <w:t>湾区时尚中心</w:t>
      </w:r>
      <w:r>
        <w:rPr>
          <w:rFonts w:hint="eastAsia" w:ascii="仿宋_GB2312" w:hAnsi="仿宋_GB2312" w:eastAsia="仿宋_GB2312" w:cs="仿宋_GB2312"/>
          <w:color w:val="auto"/>
          <w:sz w:val="32"/>
          <w:szCs w:val="32"/>
        </w:rPr>
        <w:t>打造</w:t>
      </w:r>
      <w:r>
        <w:rPr>
          <w:rFonts w:hint="eastAsia" w:ascii="仿宋_GB2312" w:hAnsi="仿宋_GB2312" w:eastAsia="仿宋_GB2312" w:cs="仿宋_GB2312"/>
          <w:color w:val="auto"/>
          <w:sz w:val="32"/>
          <w:szCs w:val="32"/>
          <w:lang w:eastAsia="zh-CN"/>
        </w:rPr>
        <w:t>，我区于</w:t>
      </w:r>
      <w:r>
        <w:rPr>
          <w:rFonts w:hint="eastAsia" w:ascii="仿宋_GB2312" w:hAnsi="仿宋_GB2312" w:eastAsia="仿宋_GB2312" w:cs="仿宋_GB2312"/>
          <w:color w:val="auto"/>
          <w:sz w:val="32"/>
          <w:szCs w:val="32"/>
          <w:lang w:val="en-US" w:eastAsia="zh-CN"/>
        </w:rPr>
        <w:t>2019年3月</w:t>
      </w:r>
      <w:r>
        <w:rPr>
          <w:rFonts w:hint="eastAsia" w:ascii="仿宋_GB2312" w:hAnsi="仿宋_GB2312" w:eastAsia="仿宋_GB2312" w:cs="仿宋_GB2312"/>
          <w:color w:val="auto"/>
          <w:kern w:val="24"/>
          <w:sz w:val="32"/>
          <w:szCs w:val="32"/>
          <w:lang w:eastAsia="zh-CN"/>
        </w:rPr>
        <w:t>发布</w:t>
      </w:r>
      <w:r>
        <w:rPr>
          <w:rFonts w:hint="eastAsia" w:ascii="仿宋_GB2312" w:hAnsi="仿宋_GB2312" w:eastAsia="仿宋_GB2312" w:cs="仿宋_GB2312"/>
          <w:color w:val="auto"/>
          <w:kern w:val="24"/>
          <w:sz w:val="32"/>
          <w:szCs w:val="32"/>
        </w:rPr>
        <w:t>《湾区时尚总部中心发展规划》</w:t>
      </w:r>
      <w:r>
        <w:rPr>
          <w:rFonts w:hint="eastAsia" w:ascii="仿宋_GB2312" w:hAnsi="仿宋_GB2312" w:eastAsia="仿宋_GB2312" w:cs="仿宋_GB2312"/>
          <w:color w:val="auto"/>
          <w:kern w:val="24"/>
          <w:sz w:val="32"/>
          <w:szCs w:val="32"/>
          <w:lang w:eastAsia="zh-CN"/>
        </w:rPr>
        <w:t>，正式启动湾区时尚总部中心打造工作。为尽快为湾区时尚总部中心及车公庙片区时尚企业及相关业态入驻提供相关政策依据，引导车公庙片区</w:t>
      </w:r>
      <w:bookmarkStart w:id="0" w:name="_GoBack"/>
      <w:bookmarkEnd w:id="0"/>
      <w:r>
        <w:rPr>
          <w:rFonts w:hint="eastAsia" w:ascii="仿宋_GB2312" w:hAnsi="仿宋_GB2312" w:eastAsia="仿宋_GB2312" w:cs="仿宋_GB2312"/>
          <w:color w:val="auto"/>
          <w:kern w:val="24"/>
          <w:sz w:val="32"/>
          <w:szCs w:val="32"/>
          <w:lang w:eastAsia="zh-CN"/>
        </w:rPr>
        <w:t>时尚产业科学布局健康发展，我局经多次研究，起草</w:t>
      </w:r>
      <w:r>
        <w:rPr>
          <w:rFonts w:hint="eastAsia" w:ascii="仿宋_GB2312" w:hAnsi="仿宋_GB2312" w:eastAsia="仿宋_GB2312" w:cs="仿宋_GB2312"/>
          <w:sz w:val="32"/>
          <w:szCs w:val="32"/>
          <w:lang w:eastAsia="zh-CN"/>
        </w:rPr>
        <w:t>《深圳市福田区支持车公庙片区产业空间供给侧发展若干措施（征求意见稿）》</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法律法规政策依据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auto"/>
          <w:sz w:val="32"/>
          <w:szCs w:val="32"/>
          <w:lang w:val="en-US" w:eastAsia="zh-CN"/>
        </w:rPr>
        <w:t>本措施制定依据的相关政策为《深圳市福田区产业发展专项资金管理办法》。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三、主要目的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对企业及相关行业协会入驻政府物业、社会物业、购置办公用房、人才住房、引进企业、建设时尚生活空间、公共艺术空间提供支持，加快推进时尚产业发展，促进车公庙片区更新发展，降低企业成本，加快产业集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主要内容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明确支持对象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 w:hAnsi="仿宋" w:eastAsia="仿宋"/>
          <w:color w:val="auto"/>
          <w:sz w:val="32"/>
          <w:szCs w:val="32"/>
          <w:lang w:val="en-US" w:eastAsia="zh-CN"/>
        </w:rPr>
        <w:t>对申请主体资格予以界定，</w:t>
      </w:r>
      <w:r>
        <w:rPr>
          <w:rFonts w:hint="eastAsia" w:ascii="仿宋" w:hAnsi="仿宋" w:eastAsia="仿宋"/>
          <w:color w:val="auto"/>
          <w:sz w:val="32"/>
          <w:szCs w:val="32"/>
        </w:rPr>
        <w:t>本措施适用</w:t>
      </w:r>
      <w:r>
        <w:rPr>
          <w:rFonts w:hint="eastAsia" w:ascii="仿宋" w:hAnsi="仿宋" w:eastAsia="仿宋"/>
          <w:color w:val="auto"/>
          <w:sz w:val="32"/>
          <w:szCs w:val="32"/>
          <w:lang w:eastAsia="zh-CN"/>
        </w:rPr>
        <w:t>的支持对象必须是</w:t>
      </w:r>
      <w:r>
        <w:rPr>
          <w:rFonts w:hint="eastAsia" w:ascii="仿宋" w:hAnsi="仿宋" w:eastAsia="仿宋"/>
          <w:color w:val="auto"/>
          <w:sz w:val="32"/>
          <w:szCs w:val="32"/>
        </w:rPr>
        <w:t>注册登记、税务和统计关系在福田区，具有独立法人资格、健全财务制度、实行独立核算的文化时尚企业及民管注册地址在福田辖区内、具有法人资格的相关</w:t>
      </w:r>
      <w:r>
        <w:rPr>
          <w:rFonts w:hint="eastAsia" w:ascii="仿宋" w:hAnsi="仿宋" w:eastAsia="仿宋"/>
          <w:color w:val="auto"/>
          <w:sz w:val="32"/>
          <w:szCs w:val="32"/>
          <w:lang w:eastAsia="zh-CN"/>
        </w:rPr>
        <w:t>社会团体</w:t>
      </w:r>
      <w:r>
        <w:rPr>
          <w:rFonts w:hint="eastAsia" w:ascii="仿宋" w:hAnsi="仿宋" w:eastAsia="仿宋"/>
          <w:color w:val="auto"/>
          <w:sz w:val="32"/>
          <w:szCs w:val="32"/>
        </w:rPr>
        <w:t>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明确适用范围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 w:hAnsi="仿宋" w:eastAsia="仿宋"/>
          <w:color w:val="auto"/>
          <w:sz w:val="32"/>
          <w:szCs w:val="32"/>
          <w:lang w:val="en-US" w:eastAsia="zh-CN"/>
        </w:rPr>
        <w:t>确定给予支持的车公庙片区具体区域，</w:t>
      </w:r>
      <w:r>
        <w:rPr>
          <w:rFonts w:hint="eastAsia" w:ascii="仿宋" w:hAnsi="仿宋" w:eastAsia="仿宋"/>
          <w:color w:val="auto"/>
          <w:sz w:val="32"/>
          <w:szCs w:val="32"/>
          <w:lang w:eastAsia="zh-CN"/>
        </w:rPr>
        <w:t>本措施</w:t>
      </w:r>
      <w:r>
        <w:rPr>
          <w:rFonts w:hint="eastAsia" w:ascii="仿宋" w:hAnsi="仿宋" w:eastAsia="仿宋"/>
          <w:color w:val="auto"/>
          <w:sz w:val="32"/>
          <w:szCs w:val="32"/>
        </w:rPr>
        <w:t>适用范围为深南大道、广深高速公路、滨河大道、泰然一路围合区域的政府物业</w:t>
      </w:r>
      <w:r>
        <w:rPr>
          <w:rFonts w:hint="eastAsia" w:ascii="仿宋" w:hAnsi="仿宋" w:eastAsia="仿宋"/>
          <w:color w:val="auto"/>
          <w:sz w:val="32"/>
          <w:szCs w:val="32"/>
          <w:lang w:eastAsia="zh-CN"/>
        </w:rPr>
        <w:t>，</w:t>
      </w:r>
      <w:r>
        <w:rPr>
          <w:rFonts w:hint="eastAsia" w:ascii="仿宋" w:hAnsi="仿宋" w:eastAsia="仿宋"/>
          <w:color w:val="auto"/>
          <w:sz w:val="32"/>
          <w:szCs w:val="32"/>
        </w:rPr>
        <w:t>经区政府认定的</w:t>
      </w:r>
      <w:r>
        <w:rPr>
          <w:rFonts w:hint="eastAsia" w:ascii="仿宋" w:hAnsi="仿宋" w:eastAsia="仿宋"/>
          <w:color w:val="auto"/>
          <w:sz w:val="32"/>
          <w:szCs w:val="32"/>
          <w:lang w:eastAsia="zh-CN"/>
        </w:rPr>
        <w:t>围合区域内及周边的</w:t>
      </w:r>
      <w:r>
        <w:rPr>
          <w:rFonts w:hint="eastAsia" w:ascii="仿宋" w:hAnsi="仿宋" w:eastAsia="仿宋"/>
          <w:color w:val="auto"/>
          <w:sz w:val="32"/>
          <w:szCs w:val="32"/>
        </w:rPr>
        <w:t>社会物业</w:t>
      </w:r>
      <w:r>
        <w:rPr>
          <w:rFonts w:hint="eastAsia" w:ascii="仿宋" w:hAnsi="仿宋" w:eastAsia="仿宋"/>
          <w:color w:val="auto"/>
          <w:sz w:val="32"/>
          <w:szCs w:val="32"/>
          <w:lang w:eastAsia="zh-CN"/>
        </w:rPr>
        <w:t>等。</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明确支持的项目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对入驻政府物业、入驻社会物业、办公用房购置、人才住房、引进企业、建设时尚生活空间、建设公共艺术空间几个方面给予重点支持；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明确支持的重点对象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仿宋" w:hAnsi="仿宋" w:eastAsia="仿宋"/>
          <w:color w:val="auto"/>
          <w:sz w:val="32"/>
          <w:szCs w:val="32"/>
        </w:rPr>
        <w:t>重点支持时装、服饰、内衣</w:t>
      </w:r>
      <w:r>
        <w:rPr>
          <w:rFonts w:hint="eastAsia" w:ascii="仿宋" w:hAnsi="仿宋" w:eastAsia="仿宋"/>
          <w:color w:val="auto"/>
          <w:sz w:val="32"/>
          <w:szCs w:val="32"/>
          <w:lang w:eastAsia="zh-CN"/>
        </w:rPr>
        <w:t>、</w:t>
      </w:r>
      <w:r>
        <w:rPr>
          <w:rFonts w:hint="eastAsia" w:ascii="仿宋" w:hAnsi="仿宋" w:eastAsia="仿宋"/>
          <w:color w:val="auto"/>
          <w:sz w:val="32"/>
          <w:szCs w:val="32"/>
        </w:rPr>
        <w:t>珠宝、钟表、化妆品</w:t>
      </w:r>
      <w:r>
        <w:rPr>
          <w:rFonts w:hint="eastAsia" w:ascii="仿宋" w:hAnsi="仿宋" w:eastAsia="仿宋"/>
          <w:color w:val="auto"/>
          <w:sz w:val="32"/>
          <w:szCs w:val="32"/>
          <w:lang w:eastAsia="zh-CN"/>
        </w:rPr>
        <w:t>等时尚企业</w:t>
      </w:r>
      <w:r>
        <w:rPr>
          <w:rFonts w:hint="eastAsia" w:ascii="仿宋" w:hAnsi="仿宋" w:eastAsia="仿宋"/>
          <w:color w:val="auto"/>
          <w:sz w:val="32"/>
          <w:szCs w:val="32"/>
        </w:rPr>
        <w:t>及相关时尚价值链</w:t>
      </w:r>
      <w:r>
        <w:rPr>
          <w:rFonts w:hint="eastAsia" w:ascii="仿宋" w:hAnsi="仿宋" w:eastAsia="仿宋"/>
          <w:color w:val="auto"/>
          <w:sz w:val="32"/>
          <w:szCs w:val="32"/>
          <w:lang w:eastAsia="zh-CN"/>
        </w:rPr>
        <w:t>；为完善产业链条实现高端时尚价值链全方位聚集，</w:t>
      </w:r>
      <w:r>
        <w:rPr>
          <w:rFonts w:hint="eastAsia" w:ascii="仿宋_GB2312" w:hAnsi="仿宋_GB2312" w:eastAsia="仿宋_GB2312" w:cs="仿宋_GB2312"/>
          <w:color w:val="auto"/>
          <w:sz w:val="32"/>
          <w:szCs w:val="32"/>
          <w:lang w:val="en-US" w:eastAsia="zh-CN"/>
        </w:rPr>
        <w:t>对入驻政府物业的企业总部、独立设计师品牌、订货平台、国际时尚媒体、时尚资本、人才培训等相关时尚企业给予重点支持，并结合不同类别企业实际发展情况进行分类资助。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7A"/>
    <w:family w:val="auto"/>
    <w:pitch w:val="default"/>
    <w:sig w:usb0="00000000" w:usb1="00000000" w:usb2="00000000" w:usb3="00000000" w:csb0="0004009F" w:csb1="DFD70000"/>
  </w:font>
  <w:font w:name="仿宋">
    <w:panose1 w:val="02010609060101010101"/>
    <w:charset w:val="7A"/>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PingFangSC-Regular">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沧澜楷体">
    <w:panose1 w:val="00000000000000000000"/>
    <w:charset w:val="86"/>
    <w:family w:val="auto"/>
    <w:pitch w:val="default"/>
    <w:sig w:usb0="00000000" w:usb1="00000000" w:usb2="00000000" w:usb3="00000000" w:csb0="00140001" w:csb1="00000000"/>
  </w:font>
  <w:font w:name="方正美黑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方正大标宋简体">
    <w:panose1 w:val="03000509000000000000"/>
    <w:charset w:val="86"/>
    <w:family w:val="auto"/>
    <w:pitch w:val="default"/>
    <w:sig w:usb0="00000001" w:usb1="080E0000" w:usb2="00000000" w:usb3="00000000" w:csb0="00040000" w:csb1="00000000"/>
  </w:font>
  <w:font w:name="华康行楷体 W5">
    <w:panose1 w:val="03000509000000000000"/>
    <w:charset w:val="86"/>
    <w:family w:val="auto"/>
    <w:pitch w:val="default"/>
    <w:sig w:usb0="A00002BF" w:usb1="384F6CFA" w:usb2="00000012" w:usb3="00000000" w:csb0="00040001" w:csb1="00000000"/>
  </w:font>
  <w:font w:name="方正仿宋简体">
    <w:panose1 w:val="03000509000000000000"/>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PingFang SC">
    <w:altName w:val="微软雅黑"/>
    <w:panose1 w:val="00000000000000000000"/>
    <w:charset w:val="86"/>
    <w:family w:val="auto"/>
    <w:pitch w:val="default"/>
    <w:sig w:usb0="00000000" w:usb1="00000000" w:usb2="0000001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brandon_grotesque_regularRg">
    <w:altName w:val="Cambria"/>
    <w:panose1 w:val="00000000000000000000"/>
    <w:charset w:val="00"/>
    <w:family w:val="auto"/>
    <w:pitch w:val="default"/>
    <w:sig w:usb0="00000000" w:usb1="00000000" w:usb2="00000000" w:usb3="00000000" w:csb0="00040001" w:csb1="00000000"/>
  </w:font>
  <w:font w:name="&amp;quot">
    <w:altName w:val="Cambria"/>
    <w:panose1 w:val="00000000000000000000"/>
    <w:charset w:val="00"/>
    <w:family w:val="auto"/>
    <w:pitch w:val="default"/>
    <w:sig w:usb0="00000000" w:usb1="00000000" w:usb2="00000000" w:usb3="00000000" w:csb0="00040001" w:csb1="00000000"/>
  </w:font>
  <w:font w:name="MS Mincho">
    <w:panose1 w:val="02020609040205080304"/>
    <w:charset w:val="80"/>
    <w:family w:val="auto"/>
    <w:pitch w:val="default"/>
    <w:sig w:usb0="E00002FF" w:usb1="6AC7FDFB" w:usb2="00000012" w:usb3="00000000" w:csb0="4002009F" w:csb1="DFD70000"/>
  </w:font>
  <w:font w:name="quc-icon">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40F34"/>
    <w:multiLevelType w:val="singleLevel"/>
    <w:tmpl w:val="5D240F34"/>
    <w:lvl w:ilvl="0" w:tentative="0">
      <w:start w:val="2"/>
      <w:numFmt w:val="chineseCounting"/>
      <w:suff w:val="nothing"/>
      <w:lvlText w:val="%1、"/>
      <w:lvlJc w:val="left"/>
    </w:lvl>
  </w:abstractNum>
  <w:abstractNum w:abstractNumId="1">
    <w:nsid w:val="5D248E71"/>
    <w:multiLevelType w:val="singleLevel"/>
    <w:tmpl w:val="5D248E71"/>
    <w:lvl w:ilvl="0" w:tentative="0">
      <w:start w:val="4"/>
      <w:numFmt w:val="chineseCounting"/>
      <w:suff w:val="nothing"/>
      <w:lvlText w:val="%1、"/>
      <w:lvlJc w:val="left"/>
    </w:lvl>
  </w:abstractNum>
  <w:abstractNum w:abstractNumId="2">
    <w:nsid w:val="5D43DB93"/>
    <w:multiLevelType w:val="singleLevel"/>
    <w:tmpl w:val="5D43DB93"/>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04122"/>
    <w:rsid w:val="243E3667"/>
    <w:rsid w:val="24CB3AF1"/>
    <w:rsid w:val="5279651C"/>
    <w:rsid w:val="536D6CFA"/>
    <w:rsid w:val="53E65DA9"/>
    <w:rsid w:val="6B56057B"/>
    <w:rsid w:val="79A75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5">
    <w:name w:val="contenttex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2019-08-02T07:14:46Z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