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32"/>
          <w:szCs w:val="32"/>
        </w:rPr>
      </w:pPr>
      <w:bookmarkStart w:id="3" w:name="_GoBack"/>
      <w:bookmarkEnd w:id="3"/>
      <w:r>
        <w:rPr>
          <w:rFonts w:hint="eastAsia" w:ascii="黑体" w:hAnsi="黑体" w:eastAsia="黑体"/>
          <w:b/>
          <w:sz w:val="32"/>
          <w:szCs w:val="32"/>
        </w:rPr>
        <w:t>深圳市福田区区属国有企业负责人履职待遇和业务支出</w:t>
      </w:r>
    </w:p>
    <w:p>
      <w:pPr>
        <w:spacing w:line="360" w:lineRule="auto"/>
        <w:jc w:val="center"/>
        <w:rPr>
          <w:rFonts w:ascii="黑体" w:hAnsi="黑体" w:eastAsia="黑体"/>
          <w:b/>
          <w:sz w:val="32"/>
          <w:szCs w:val="32"/>
        </w:rPr>
      </w:pPr>
      <w:r>
        <w:rPr>
          <w:rFonts w:hint="eastAsia" w:ascii="黑体" w:hAnsi="黑体" w:eastAsia="黑体"/>
          <w:b/>
          <w:sz w:val="32"/>
          <w:szCs w:val="32"/>
        </w:rPr>
        <w:t>管理规定</w:t>
      </w:r>
    </w:p>
    <w:p>
      <w:pPr>
        <w:spacing w:line="360" w:lineRule="auto"/>
        <w:jc w:val="center"/>
        <w:rPr>
          <w:rFonts w:ascii="仿宋" w:hAnsi="仿宋" w:eastAsia="仿宋"/>
          <w:b/>
          <w:sz w:val="24"/>
        </w:rPr>
      </w:pPr>
      <w:r>
        <w:rPr>
          <w:rFonts w:hint="eastAsia" w:ascii="仿宋" w:hAnsi="仿宋" w:eastAsia="仿宋"/>
          <w:b/>
          <w:sz w:val="24"/>
        </w:rPr>
        <w:t>（</w:t>
      </w:r>
      <w:ins w:id="0" w:author="yang sun" w:date="2019-08-01T14:08:00Z">
        <w:r>
          <w:rPr>
            <w:rFonts w:hint="eastAsia" w:ascii="仿宋" w:hAnsi="仿宋" w:eastAsia="仿宋"/>
            <w:b/>
            <w:sz w:val="24"/>
          </w:rPr>
          <w:t>20190801</w:t>
        </w:r>
      </w:ins>
      <w:r>
        <w:rPr>
          <w:rFonts w:hint="eastAsia" w:ascii="仿宋" w:hAnsi="仿宋" w:eastAsia="仿宋"/>
          <w:b/>
          <w:sz w:val="24"/>
        </w:rPr>
        <w:t>）</w:t>
      </w:r>
    </w:p>
    <w:p>
      <w:pPr>
        <w:pStyle w:val="7"/>
        <w:adjustRightInd w:val="0"/>
        <w:snapToGrid w:val="0"/>
        <w:spacing w:before="0" w:beforeAutospacing="0" w:after="0" w:afterAutospacing="0" w:line="360" w:lineRule="auto"/>
        <w:ind w:firstLine="482" w:firstLineChars="200"/>
        <w:jc w:val="both"/>
        <w:rPr>
          <w:rFonts w:ascii="仿宋" w:hAnsi="仿宋" w:eastAsia="仿宋"/>
          <w:b/>
        </w:rPr>
      </w:pPr>
    </w:p>
    <w:p>
      <w:pPr>
        <w:spacing w:line="360" w:lineRule="auto"/>
        <w:jc w:val="center"/>
        <w:rPr>
          <w:rFonts w:ascii="仿宋" w:hAnsi="仿宋" w:eastAsia="仿宋"/>
          <w:b/>
          <w:sz w:val="28"/>
          <w:szCs w:val="28"/>
        </w:rPr>
      </w:pPr>
      <w:r>
        <w:rPr>
          <w:rFonts w:hint="eastAsia" w:ascii="仿宋" w:hAnsi="仿宋" w:eastAsia="仿宋"/>
          <w:b/>
          <w:sz w:val="28"/>
          <w:szCs w:val="28"/>
        </w:rPr>
        <w:t>第一章 总则</w:t>
      </w:r>
    </w:p>
    <w:p>
      <w:pPr>
        <w:pStyle w:val="7"/>
        <w:adjustRightInd w:val="0"/>
        <w:snapToGrid w:val="0"/>
        <w:spacing w:before="0" w:beforeAutospacing="0" w:after="0" w:afterAutospacing="0" w:line="360" w:lineRule="auto"/>
        <w:ind w:firstLine="562" w:firstLineChars="200"/>
        <w:jc w:val="both"/>
        <w:rPr>
          <w:rFonts w:ascii="仿宋" w:hAnsi="仿宋" w:eastAsia="仿宋"/>
          <w:b/>
          <w:sz w:val="28"/>
          <w:szCs w:val="28"/>
        </w:rPr>
      </w:pP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第一条</w:t>
      </w:r>
      <w:r>
        <w:rPr>
          <w:rFonts w:ascii="仿宋" w:hAnsi="仿宋" w:eastAsia="仿宋"/>
          <w:bCs/>
          <w:color w:val="333333"/>
          <w:sz w:val="28"/>
          <w:szCs w:val="28"/>
        </w:rPr>
        <w:t xml:space="preserve"> </w:t>
      </w:r>
      <w:r>
        <w:rPr>
          <w:rFonts w:hint="eastAsia" w:ascii="仿宋" w:hAnsi="仿宋" w:eastAsia="仿宋"/>
          <w:bCs/>
          <w:color w:val="333333"/>
          <w:sz w:val="28"/>
          <w:szCs w:val="28"/>
        </w:rPr>
        <w:t>为合理确定并严格规范深圳市福田区区属国有企业负责人的履职待遇、业务支出，根据《十八届中央政治局关于改进工作作风、密切联系群众的八项规定》、《党政机关厉行节约反对浪费条例》和《关于合理确定并严格规范中央企业负责人履职待遇、业务支出的意见》、《深圳市福田区区属企业国有资产监督管理办法》等法律、法规、规章和规范性文件，结合深圳市福田区区属企业实际情况，制定本规定。</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第二条</w:t>
      </w:r>
      <w:r>
        <w:rPr>
          <w:rFonts w:hint="eastAsia" w:ascii="仿宋" w:hAnsi="仿宋" w:eastAsia="仿宋"/>
          <w:bCs/>
          <w:color w:val="333333"/>
          <w:sz w:val="28"/>
          <w:szCs w:val="28"/>
        </w:rPr>
        <w:t xml:space="preserve"> 本规定适用于深圳市福田区人民政府授权深圳市福田区</w:t>
      </w:r>
      <w:bookmarkStart w:id="0" w:name="_Hlk14526162"/>
      <w:r>
        <w:rPr>
          <w:rFonts w:hint="eastAsia" w:ascii="仿宋" w:hAnsi="仿宋" w:eastAsia="仿宋"/>
          <w:bCs/>
          <w:color w:val="333333"/>
          <w:sz w:val="28"/>
          <w:szCs w:val="28"/>
        </w:rPr>
        <w:t>财政局（福田区国有资产监督管理局）</w:t>
      </w:r>
      <w:bookmarkEnd w:id="0"/>
      <w:r>
        <w:rPr>
          <w:rFonts w:ascii="仿宋" w:hAnsi="仿宋" w:eastAsia="仿宋"/>
          <w:bCs/>
          <w:color w:val="333333"/>
          <w:sz w:val="28"/>
          <w:szCs w:val="28"/>
        </w:rPr>
        <w:t>（以下简称</w:t>
      </w:r>
      <w:r>
        <w:rPr>
          <w:rFonts w:hint="eastAsia" w:ascii="仿宋" w:hAnsi="仿宋" w:eastAsia="仿宋"/>
          <w:bCs/>
          <w:color w:val="333333"/>
          <w:sz w:val="28"/>
          <w:szCs w:val="28"/>
        </w:rPr>
        <w:t>“区财政局（国资局）”</w:t>
      </w:r>
      <w:r>
        <w:rPr>
          <w:rFonts w:ascii="仿宋" w:hAnsi="仿宋" w:eastAsia="仿宋"/>
          <w:bCs/>
          <w:color w:val="333333"/>
          <w:sz w:val="28"/>
          <w:szCs w:val="28"/>
        </w:rPr>
        <w:t>）</w:t>
      </w:r>
      <w:r>
        <w:rPr>
          <w:rFonts w:hint="eastAsia" w:ascii="仿宋" w:hAnsi="仿宋" w:eastAsia="仿宋"/>
          <w:bCs/>
          <w:color w:val="333333"/>
          <w:sz w:val="28"/>
          <w:szCs w:val="28"/>
        </w:rPr>
        <w:t>直接出资的国有独资公司和国有资本控股公司（以下简称“区直企业”）以及区直企业直接出资或间接出资的下属所有全资公司和国有控股公司（以下简称“辖属企业”）。区直企业和辖属企业合称“区属企业”。</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第三条</w:t>
      </w:r>
      <w:r>
        <w:rPr>
          <w:rFonts w:hint="eastAsia" w:ascii="仿宋" w:hAnsi="仿宋" w:eastAsia="仿宋"/>
          <w:bCs/>
          <w:color w:val="333333"/>
          <w:sz w:val="28"/>
          <w:szCs w:val="28"/>
        </w:rPr>
        <w:t xml:space="preserve"> 本规定所称企业负责人，是指上述深圳市福田区区属企业的领导班子成员。企业主要负责人，是指区直企业的董事长和总经理。</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本规定所称履职待遇，是指区属企业为企业负责人履行工作职责提供的工作保障和条件，主要包括公务用车、办公用房、培训等。</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本规定所称业务支出，是指企业负责人在生产经营活动中因履行工作职责所发生的费用支出，主要包括业务招待、差旅、通信等履职行为发生的支出。</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第四条</w:t>
      </w:r>
      <w:r>
        <w:rPr>
          <w:rFonts w:hint="eastAsia" w:ascii="仿宋" w:hAnsi="仿宋" w:eastAsia="仿宋"/>
          <w:bCs/>
          <w:color w:val="333333"/>
          <w:sz w:val="28"/>
          <w:szCs w:val="28"/>
        </w:rPr>
        <w:t xml:space="preserve"> 区财政局（国资局）负责对区直企业的企业负责人的履职待遇、业务支出管理进行监督和指导。</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区直企业负责对本企业管理范围内的辖属企业的企业负责人的履职待遇、业务支出进行规范管理、监督和指导。</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区直企业应根据生产经营实际，结合企业负责人履行工作职责需要，对企业负责人年度履职待遇、业务支出水平合理预计安排，纳入全面预算管理。</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第五条</w:t>
      </w:r>
      <w:r>
        <w:rPr>
          <w:rFonts w:hint="eastAsia" w:ascii="仿宋" w:hAnsi="仿宋" w:eastAsia="仿宋"/>
          <w:bCs/>
          <w:color w:val="333333"/>
          <w:sz w:val="28"/>
          <w:szCs w:val="28"/>
        </w:rPr>
        <w:t xml:space="preserve"> 企业主要负责人对执行本规定负领导责任，分管企业负责人负分管责任。</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第六条</w:t>
      </w:r>
      <w:r>
        <w:rPr>
          <w:rFonts w:hint="eastAsia" w:ascii="仿宋" w:hAnsi="仿宋" w:eastAsia="仿宋"/>
          <w:bCs/>
          <w:color w:val="333333"/>
          <w:sz w:val="28"/>
          <w:szCs w:val="28"/>
        </w:rPr>
        <w:t xml:space="preserve"> 合理确定并严格规范企业负责人履职待遇、业务支出应当遵循下列原则：</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（一）坚持依法合规。根据国家法律法规和相关规定，结合企业生产经营实际提供履职待遇、进行业务支出，坚决杜绝企业承担个人消费支出。</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（二）坚持廉洁节俭。不允许讲排场、比阔气，反对铺张浪费，坚决抵制享乐主义和奢靡之风。</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（三）坚持规范管理，公开透明。企业应当建立健全企业负责人履职待遇、业务支出管理制度，规范管理，通过公开相关信息等方法加强对制度执行的民主监督。</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第七条</w:t>
      </w:r>
      <w:r>
        <w:rPr>
          <w:rFonts w:hint="eastAsia" w:ascii="仿宋" w:hAnsi="仿宋" w:eastAsia="仿宋"/>
          <w:bCs/>
          <w:color w:val="333333"/>
          <w:sz w:val="28"/>
          <w:szCs w:val="28"/>
        </w:rPr>
        <w:t xml:space="preserve"> 严禁违反本规定用公款支付企业负责人的个人支出，包括：</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（一）严禁按照职务等级为企业负责人个人设置消费定额。禁止企业用公款为企业负责人办理理疗保健卡、运动健身卡、会所和俱乐部会员卡、高尔夫球卡等各种消费卡、券。</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（二）严禁用公款支付应当由企业负责人个人承担的娱乐活动、宴请、赠送礼品及培训等各种费用，坚决制止用公款支付与企业经营管理无关的各种消费。</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（三）严禁企业负责人通过向下属企业和其他有利益关系的单位转移各种个人费用支出的方式规避本规定。</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（四）企业负责人退休或调离企业后，企业不得继续为其提供各类履职待遇、承担业务支出。</w:t>
      </w:r>
    </w:p>
    <w:p>
      <w:pPr>
        <w:pStyle w:val="7"/>
        <w:adjustRightInd w:val="0"/>
        <w:snapToGrid w:val="0"/>
        <w:spacing w:before="0" w:beforeAutospacing="0" w:after="0" w:afterAutospacing="0" w:line="360" w:lineRule="auto"/>
        <w:ind w:firstLine="560" w:firstLineChars="200"/>
        <w:jc w:val="both"/>
        <w:rPr>
          <w:rFonts w:ascii="仿宋" w:hAnsi="仿宋" w:eastAsia="仿宋"/>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 xml:space="preserve">第二章 </w:t>
      </w:r>
      <w:r>
        <w:rPr>
          <w:rFonts w:ascii="仿宋" w:hAnsi="仿宋" w:eastAsia="仿宋"/>
          <w:b/>
          <w:sz w:val="28"/>
          <w:szCs w:val="28"/>
        </w:rPr>
        <w:t xml:space="preserve"> </w:t>
      </w:r>
      <w:r>
        <w:rPr>
          <w:rFonts w:hint="eastAsia" w:ascii="仿宋" w:hAnsi="仿宋" w:eastAsia="仿宋"/>
          <w:b/>
          <w:sz w:val="28"/>
          <w:szCs w:val="28"/>
        </w:rPr>
        <w:t>公务用车管理</w:t>
      </w:r>
    </w:p>
    <w:p>
      <w:pPr>
        <w:pStyle w:val="7"/>
        <w:adjustRightInd w:val="0"/>
        <w:snapToGrid w:val="0"/>
        <w:spacing w:before="0" w:beforeAutospacing="0" w:after="0" w:afterAutospacing="0" w:line="360" w:lineRule="auto"/>
        <w:ind w:firstLine="562" w:firstLineChars="200"/>
        <w:jc w:val="both"/>
        <w:rPr>
          <w:rFonts w:ascii="仿宋" w:hAnsi="仿宋" w:eastAsia="仿宋"/>
          <w:b/>
          <w:sz w:val="28"/>
          <w:szCs w:val="28"/>
        </w:rPr>
      </w:pP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第八条</w:t>
      </w:r>
      <w:r>
        <w:rPr>
          <w:rFonts w:hint="eastAsia" w:ascii="仿宋" w:hAnsi="仿宋" w:eastAsia="仿宋"/>
          <w:bCs/>
          <w:color w:val="333333"/>
          <w:sz w:val="28"/>
          <w:szCs w:val="28"/>
        </w:rPr>
        <w:t xml:space="preserve"> 企业负责人不配备专属的公务用车，统一使用企业的经营和业务保障用车，不得将经营和业务保障用车用作企业主要负责人的专门用车。</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第九条</w:t>
      </w:r>
      <w:r>
        <w:rPr>
          <w:rFonts w:hint="eastAsia" w:ascii="仿宋" w:hAnsi="仿宋" w:eastAsia="仿宋"/>
          <w:bCs/>
          <w:color w:val="333333"/>
          <w:sz w:val="28"/>
          <w:szCs w:val="28"/>
        </w:rPr>
        <w:t xml:space="preserve"> 企业的经营和业务保障用车（轿车型）的配置标准原则上要求如下：轿车型的，应控制在购车价格18万元（不含车辆购置税）以内、排气量1.8升以下（含1</w:t>
      </w:r>
      <w:r>
        <w:rPr>
          <w:rFonts w:ascii="仿宋" w:hAnsi="仿宋" w:eastAsia="仿宋"/>
          <w:bCs/>
          <w:color w:val="333333"/>
          <w:sz w:val="28"/>
          <w:szCs w:val="28"/>
        </w:rPr>
        <w:t>.8</w:t>
      </w:r>
      <w:r>
        <w:rPr>
          <w:rFonts w:hint="eastAsia" w:ascii="仿宋" w:hAnsi="仿宋" w:eastAsia="仿宋"/>
          <w:bCs/>
          <w:color w:val="333333"/>
          <w:sz w:val="28"/>
          <w:szCs w:val="28"/>
        </w:rPr>
        <w:t>升），商务车型的，应控制在购车价格38万元（不含车辆购置税）以内、排气量3.0升以下（含3</w:t>
      </w:r>
      <w:r>
        <w:rPr>
          <w:rFonts w:ascii="仿宋" w:hAnsi="仿宋" w:eastAsia="仿宋"/>
          <w:bCs/>
          <w:color w:val="333333"/>
          <w:sz w:val="28"/>
          <w:szCs w:val="28"/>
        </w:rPr>
        <w:t>.0</w:t>
      </w:r>
      <w:r>
        <w:rPr>
          <w:rFonts w:hint="eastAsia" w:ascii="仿宋" w:hAnsi="仿宋" w:eastAsia="仿宋"/>
          <w:bCs/>
          <w:color w:val="333333"/>
          <w:sz w:val="28"/>
          <w:szCs w:val="28"/>
        </w:rPr>
        <w:t>升）。</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区属企业不得在购置经营和业务保障用车时增加高档配置或豪华内饰。确因生产经营需要等原因必须配备较高标准经营和业务保障用车的，企业应严格履行内部决策程序，并严格控制数量。区直企业本部的较高标准经营和业务保障用车原则上不能超过</w:t>
      </w:r>
      <w:r>
        <w:rPr>
          <w:rFonts w:ascii="仿宋" w:hAnsi="仿宋" w:eastAsia="仿宋"/>
          <w:bCs/>
          <w:color w:val="333333"/>
          <w:sz w:val="28"/>
          <w:szCs w:val="28"/>
        </w:rPr>
        <w:t>2</w:t>
      </w:r>
      <w:r>
        <w:rPr>
          <w:rFonts w:hint="eastAsia" w:ascii="仿宋" w:hAnsi="仿宋" w:eastAsia="仿宋"/>
          <w:bCs/>
          <w:color w:val="333333"/>
          <w:sz w:val="28"/>
          <w:szCs w:val="28"/>
        </w:rPr>
        <w:t>辆。</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区属企业不得以任何方式换用、借用、占用下属企业或其他有利益关系的单位和个人的车辆。</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第十条</w:t>
      </w:r>
      <w:r>
        <w:rPr>
          <w:rFonts w:hint="eastAsia" w:ascii="仿宋" w:hAnsi="仿宋" w:eastAsia="仿宋"/>
          <w:bCs/>
          <w:color w:val="333333"/>
          <w:sz w:val="28"/>
          <w:szCs w:val="28"/>
        </w:rPr>
        <w:t xml:space="preserve"> 企业负责人每月领取公务交通补贴，或者在公务交通补贴标准范围内据实报销公务交通费用。如果为企业负责人发放公务交通补贴，则不能为企业负责人报销公务交通费用。</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企业负责人的交通补贴标准可以在深圳市福田区党政机关公务交通补贴相应档次的基础上上浮一倍的范围内合理规定。</w:t>
      </w:r>
    </w:p>
    <w:p>
      <w:pPr>
        <w:pStyle w:val="7"/>
        <w:adjustRightInd w:val="0"/>
        <w:snapToGrid w:val="0"/>
        <w:spacing w:before="0" w:beforeAutospacing="0" w:after="0" w:afterAutospacing="0" w:line="360" w:lineRule="auto"/>
        <w:ind w:firstLine="560" w:firstLineChars="200"/>
        <w:jc w:val="both"/>
        <w:rPr>
          <w:rFonts w:ascii="仿宋" w:hAnsi="仿宋" w:eastAsia="仿宋"/>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 xml:space="preserve">第三章 </w:t>
      </w:r>
      <w:r>
        <w:rPr>
          <w:rFonts w:ascii="仿宋" w:hAnsi="仿宋" w:eastAsia="仿宋"/>
          <w:b/>
          <w:sz w:val="28"/>
          <w:szCs w:val="28"/>
        </w:rPr>
        <w:t xml:space="preserve"> </w:t>
      </w:r>
      <w:r>
        <w:rPr>
          <w:rFonts w:hint="eastAsia" w:ascii="仿宋" w:hAnsi="仿宋" w:eastAsia="仿宋"/>
          <w:b/>
          <w:sz w:val="28"/>
          <w:szCs w:val="28"/>
        </w:rPr>
        <w:t>办公用房管理</w:t>
      </w:r>
    </w:p>
    <w:p>
      <w:pPr>
        <w:pStyle w:val="7"/>
        <w:adjustRightInd w:val="0"/>
        <w:snapToGrid w:val="0"/>
        <w:spacing w:before="0" w:beforeAutospacing="0" w:after="0" w:afterAutospacing="0" w:line="360" w:lineRule="auto"/>
        <w:ind w:firstLine="562" w:firstLineChars="200"/>
        <w:jc w:val="both"/>
        <w:rPr>
          <w:rFonts w:ascii="仿宋" w:hAnsi="仿宋" w:eastAsia="仿宋"/>
          <w:b/>
          <w:sz w:val="28"/>
          <w:szCs w:val="28"/>
        </w:rPr>
      </w:pP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第十一条</w:t>
      </w:r>
      <w:r>
        <w:rPr>
          <w:rFonts w:hint="eastAsia" w:ascii="仿宋" w:hAnsi="仿宋" w:eastAsia="仿宋"/>
          <w:bCs/>
          <w:color w:val="333333"/>
          <w:sz w:val="28"/>
          <w:szCs w:val="28"/>
        </w:rPr>
        <w:t xml:space="preserve"> 区属企业只可以为企业负责人配置一处办公用房，确因异地工作需要另行为企业负责人配置办公用房的，应当严格履行企业内部集体决策审批程序。</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第十二条</w:t>
      </w:r>
      <w:r>
        <w:rPr>
          <w:rFonts w:hint="eastAsia" w:ascii="仿宋" w:hAnsi="仿宋" w:eastAsia="仿宋"/>
          <w:bCs/>
          <w:color w:val="333333"/>
          <w:sz w:val="28"/>
          <w:szCs w:val="28"/>
        </w:rPr>
        <w:t xml:space="preserve"> 企业主要负责人的办公用房的使用面积标准不得超过深圳市福田区党政机关类同级别的公务人员的办公用房控制标准</w:t>
      </w:r>
      <w:ins w:id="1" w:author="yang sun" w:date="2019-08-01T14:09:00Z">
        <w:r>
          <w:rPr>
            <w:rFonts w:hint="eastAsia" w:ascii="仿宋" w:hAnsi="仿宋" w:eastAsia="仿宋"/>
            <w:bCs/>
            <w:color w:val="333333"/>
            <w:sz w:val="28"/>
            <w:szCs w:val="28"/>
          </w:rPr>
          <w:t>的1.5倍</w:t>
        </w:r>
      </w:ins>
      <w:r>
        <w:rPr>
          <w:rFonts w:hint="eastAsia" w:ascii="仿宋" w:hAnsi="仿宋" w:eastAsia="仿宋"/>
          <w:bCs/>
          <w:color w:val="333333"/>
          <w:sz w:val="28"/>
          <w:szCs w:val="28"/>
        </w:rPr>
        <w:t>。</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第十三条</w:t>
      </w:r>
      <w:r>
        <w:rPr>
          <w:rFonts w:hint="eastAsia" w:ascii="仿宋" w:hAnsi="仿宋" w:eastAsia="仿宋"/>
          <w:bCs/>
          <w:color w:val="333333"/>
          <w:sz w:val="28"/>
          <w:szCs w:val="28"/>
        </w:rPr>
        <w:t xml:space="preserve"> 区属企业不得超标准新建办公用房，不得豪华装饰办公用房，不得长期租用宾馆、酒店房间作为办公用房。</w:t>
      </w:r>
    </w:p>
    <w:p>
      <w:pPr>
        <w:pStyle w:val="7"/>
        <w:adjustRightInd w:val="0"/>
        <w:snapToGrid w:val="0"/>
        <w:spacing w:before="0" w:beforeAutospacing="0" w:after="0" w:afterAutospacing="0" w:line="360" w:lineRule="auto"/>
        <w:ind w:firstLine="560" w:firstLineChars="200"/>
        <w:jc w:val="both"/>
        <w:rPr>
          <w:rFonts w:ascii="仿宋" w:hAnsi="仿宋" w:eastAsia="仿宋"/>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 xml:space="preserve">第四章 </w:t>
      </w:r>
      <w:r>
        <w:rPr>
          <w:rFonts w:ascii="仿宋" w:hAnsi="仿宋" w:eastAsia="仿宋"/>
          <w:b/>
          <w:sz w:val="28"/>
          <w:szCs w:val="28"/>
        </w:rPr>
        <w:t xml:space="preserve"> </w:t>
      </w:r>
      <w:r>
        <w:rPr>
          <w:rFonts w:hint="eastAsia" w:ascii="仿宋" w:hAnsi="仿宋" w:eastAsia="仿宋"/>
          <w:b/>
          <w:sz w:val="28"/>
          <w:szCs w:val="28"/>
        </w:rPr>
        <w:t>培训管理</w:t>
      </w:r>
    </w:p>
    <w:p>
      <w:pPr>
        <w:pStyle w:val="7"/>
        <w:adjustRightInd w:val="0"/>
        <w:snapToGrid w:val="0"/>
        <w:spacing w:before="0" w:beforeAutospacing="0" w:after="0" w:afterAutospacing="0" w:line="360" w:lineRule="auto"/>
        <w:ind w:firstLine="562" w:firstLineChars="200"/>
        <w:jc w:val="both"/>
        <w:rPr>
          <w:rFonts w:ascii="仿宋" w:hAnsi="仿宋" w:eastAsia="仿宋"/>
          <w:b/>
          <w:sz w:val="28"/>
          <w:szCs w:val="28"/>
        </w:rPr>
      </w:pP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第十四条</w:t>
      </w:r>
      <w:r>
        <w:rPr>
          <w:rFonts w:hint="eastAsia" w:ascii="仿宋" w:hAnsi="仿宋" w:eastAsia="仿宋"/>
          <w:bCs/>
          <w:color w:val="333333"/>
          <w:sz w:val="28"/>
          <w:szCs w:val="28"/>
        </w:rPr>
        <w:t xml:space="preserve"> 区属企业应建立健全培训管理制度，对企业负责人培训实施分类管理，合理制定培训计划和安排培训内容，加强培训费用的开支管理。</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第十五条</w:t>
      </w:r>
      <w:r>
        <w:rPr>
          <w:rFonts w:hint="eastAsia" w:ascii="仿宋" w:hAnsi="仿宋" w:eastAsia="仿宋"/>
          <w:bCs/>
          <w:color w:val="333333"/>
          <w:sz w:val="28"/>
          <w:szCs w:val="28"/>
        </w:rPr>
        <w:t xml:space="preserve"> 企业负责人参加培训的主要目的是提高政治和专业素质、创新和经营管理能力。</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企业负责人参加学历教育以及个人为取得学位而参加的在职教育，或者与本职工作无关的专业课程进修、专业资格证书培训等发生的所有费用，应当由企业负责人个人承担。</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第十六条</w:t>
      </w:r>
      <w:r>
        <w:rPr>
          <w:rFonts w:ascii="仿宋" w:hAnsi="仿宋" w:eastAsia="仿宋"/>
          <w:bCs/>
          <w:color w:val="333333"/>
          <w:sz w:val="28"/>
          <w:szCs w:val="28"/>
        </w:rPr>
        <w:t xml:space="preserve"> </w:t>
      </w:r>
      <w:r>
        <w:rPr>
          <w:rFonts w:hint="eastAsia" w:ascii="仿宋" w:hAnsi="仿宋" w:eastAsia="仿宋"/>
          <w:bCs/>
          <w:color w:val="333333"/>
          <w:sz w:val="28"/>
          <w:szCs w:val="28"/>
        </w:rPr>
        <w:t>区属企业不得报销企业负责人培训期间与培训活动无关的费用。</w:t>
      </w:r>
    </w:p>
    <w:p>
      <w:pPr>
        <w:pStyle w:val="7"/>
        <w:adjustRightInd w:val="0"/>
        <w:snapToGrid w:val="0"/>
        <w:spacing w:before="0" w:beforeAutospacing="0" w:after="0" w:afterAutospacing="0" w:line="360" w:lineRule="auto"/>
        <w:ind w:firstLine="560" w:firstLineChars="200"/>
        <w:jc w:val="both"/>
        <w:rPr>
          <w:rFonts w:ascii="仿宋" w:hAnsi="仿宋" w:eastAsia="仿宋"/>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 xml:space="preserve">第五章 </w:t>
      </w:r>
      <w:r>
        <w:rPr>
          <w:rFonts w:ascii="仿宋" w:hAnsi="仿宋" w:eastAsia="仿宋"/>
          <w:b/>
          <w:sz w:val="28"/>
          <w:szCs w:val="28"/>
        </w:rPr>
        <w:t xml:space="preserve"> </w:t>
      </w:r>
      <w:r>
        <w:rPr>
          <w:rFonts w:hint="eastAsia" w:ascii="仿宋" w:hAnsi="仿宋" w:eastAsia="仿宋"/>
          <w:b/>
          <w:sz w:val="28"/>
          <w:szCs w:val="28"/>
        </w:rPr>
        <w:t>业务招待管理</w:t>
      </w:r>
    </w:p>
    <w:p>
      <w:pPr>
        <w:pStyle w:val="7"/>
        <w:adjustRightInd w:val="0"/>
        <w:snapToGrid w:val="0"/>
        <w:spacing w:before="0" w:beforeAutospacing="0" w:after="0" w:afterAutospacing="0" w:line="360" w:lineRule="auto"/>
        <w:ind w:firstLine="562" w:firstLineChars="200"/>
        <w:jc w:val="both"/>
        <w:rPr>
          <w:rFonts w:ascii="仿宋" w:hAnsi="仿宋" w:eastAsia="仿宋"/>
          <w:b/>
          <w:sz w:val="28"/>
          <w:szCs w:val="28"/>
        </w:rPr>
      </w:pP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第十七条</w:t>
      </w:r>
      <w:r>
        <w:rPr>
          <w:rFonts w:hint="eastAsia" w:ascii="仿宋" w:hAnsi="仿宋" w:eastAsia="仿宋"/>
          <w:bCs/>
          <w:color w:val="333333"/>
          <w:sz w:val="28"/>
          <w:szCs w:val="28"/>
        </w:rPr>
        <w:t xml:space="preserve"> 区属企业应当建立健全业务招待管理制度，合理制定各类业务招待费用标准，明确管理流程。</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第十八条</w:t>
      </w:r>
      <w:r>
        <w:rPr>
          <w:rFonts w:hint="eastAsia" w:ascii="仿宋" w:hAnsi="仿宋" w:eastAsia="仿宋"/>
          <w:bCs/>
          <w:color w:val="333333"/>
          <w:sz w:val="28"/>
          <w:szCs w:val="28"/>
        </w:rPr>
        <w:t xml:space="preserve"> 就企业负责人代表企业开展商务和外事活动的宴请、赠送纪念品等应遵守的开支标准，区属企业应根据有关规定合理确定。企业负责人代表企业进行的其他公务招待活动，开支应参照深圳市福田区党政机关公务接待标准执行，不得赠送纪念品。</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第十九条</w:t>
      </w:r>
      <w:r>
        <w:rPr>
          <w:rFonts w:hint="eastAsia" w:ascii="仿宋" w:hAnsi="仿宋" w:eastAsia="仿宋"/>
          <w:bCs/>
          <w:color w:val="333333"/>
          <w:sz w:val="28"/>
          <w:szCs w:val="28"/>
        </w:rPr>
        <w:t xml:space="preserve"> 企业负责人代表企业进行业务招待，原则上应在本企业内部或者定点饭店、宾馆等进行，不得安排招待对象到高档餐饮、娱乐、休闲、健身保健等场所活动，严禁出入私人会所。</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第二十条</w:t>
      </w:r>
      <w:r>
        <w:rPr>
          <w:rFonts w:hint="eastAsia" w:ascii="仿宋" w:hAnsi="仿宋" w:eastAsia="仿宋"/>
          <w:bCs/>
          <w:color w:val="333333"/>
          <w:sz w:val="28"/>
          <w:szCs w:val="28"/>
        </w:rPr>
        <w:t xml:space="preserve"> 区属企业应严格规范企业负责人代表企业在境外进行的接待工作的支出，严禁超标准接待。</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第二十一条</w:t>
      </w:r>
      <w:r>
        <w:rPr>
          <w:rFonts w:hint="eastAsia" w:ascii="仿宋" w:hAnsi="仿宋" w:eastAsia="仿宋"/>
          <w:bCs/>
          <w:color w:val="333333"/>
          <w:sz w:val="28"/>
          <w:szCs w:val="28"/>
        </w:rPr>
        <w:t xml:space="preserve"> 企业负责人代表企业赠送纪念品，应当有利于宣传企业形象、展示企业文化，不得赠送现金、有价证券、提货凭证、会员卡、商业预付卡等类似卡、券，不得赠送贵重金属和其他贵重物品。</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第二十二条</w:t>
      </w:r>
      <w:r>
        <w:rPr>
          <w:rFonts w:hint="eastAsia" w:ascii="仿宋" w:hAnsi="仿宋" w:eastAsia="仿宋"/>
          <w:bCs/>
          <w:color w:val="333333"/>
          <w:sz w:val="28"/>
          <w:szCs w:val="28"/>
        </w:rPr>
        <w:t xml:space="preserve"> 区属企业不得将企业负责人的业务招待费用以会议、培训、调研等费用的名义虚列、隐匿，不得向下属企业和其他有利益关系的单位转嫁企业领导人的业务招待费用。</w:t>
      </w:r>
    </w:p>
    <w:p>
      <w:pPr>
        <w:pStyle w:val="7"/>
        <w:adjustRightInd w:val="0"/>
        <w:snapToGrid w:val="0"/>
        <w:spacing w:before="0" w:beforeAutospacing="0" w:after="0" w:afterAutospacing="0" w:line="360" w:lineRule="auto"/>
        <w:ind w:firstLine="560" w:firstLineChars="200"/>
        <w:jc w:val="both"/>
        <w:rPr>
          <w:rFonts w:ascii="仿宋" w:hAnsi="仿宋" w:eastAsia="仿宋"/>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 xml:space="preserve">第六章 </w:t>
      </w:r>
      <w:r>
        <w:rPr>
          <w:rFonts w:ascii="仿宋" w:hAnsi="仿宋" w:eastAsia="仿宋"/>
          <w:b/>
          <w:sz w:val="28"/>
          <w:szCs w:val="28"/>
        </w:rPr>
        <w:t xml:space="preserve"> </w:t>
      </w:r>
      <w:r>
        <w:rPr>
          <w:rFonts w:hint="eastAsia" w:ascii="仿宋" w:hAnsi="仿宋" w:eastAsia="仿宋"/>
          <w:b/>
          <w:sz w:val="28"/>
          <w:szCs w:val="28"/>
        </w:rPr>
        <w:t>差旅管理</w:t>
      </w:r>
    </w:p>
    <w:p>
      <w:pPr>
        <w:pStyle w:val="7"/>
        <w:adjustRightInd w:val="0"/>
        <w:snapToGrid w:val="0"/>
        <w:spacing w:before="0" w:beforeAutospacing="0" w:after="0" w:afterAutospacing="0" w:line="360" w:lineRule="auto"/>
        <w:ind w:firstLine="562" w:firstLineChars="200"/>
        <w:jc w:val="both"/>
        <w:rPr>
          <w:rFonts w:ascii="仿宋" w:hAnsi="仿宋" w:eastAsia="仿宋"/>
          <w:b/>
          <w:sz w:val="28"/>
          <w:szCs w:val="28"/>
        </w:rPr>
      </w:pP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第二十三条</w:t>
      </w:r>
      <w:r>
        <w:rPr>
          <w:rFonts w:hint="eastAsia" w:ascii="仿宋" w:hAnsi="仿宋" w:eastAsia="仿宋"/>
          <w:bCs/>
          <w:color w:val="333333"/>
          <w:sz w:val="28"/>
          <w:szCs w:val="28"/>
        </w:rPr>
        <w:t xml:space="preserve"> 区属企业应当根据国家有关规定和财务会计制度，建立健全企业负责人国内差旅和因公临时出国境（以下简称“差旅”）管理制度，合理确定企业负责人在差旅活动中的住宿开支标准、就餐开支标准、可以乘坐的交通工具类型和等级。</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第二十四条</w:t>
      </w:r>
      <w:r>
        <w:rPr>
          <w:rFonts w:ascii="仿宋" w:hAnsi="仿宋" w:eastAsia="仿宋"/>
          <w:bCs/>
          <w:color w:val="333333"/>
          <w:sz w:val="28"/>
          <w:szCs w:val="28"/>
        </w:rPr>
        <w:t xml:space="preserve"> </w:t>
      </w:r>
      <w:r>
        <w:rPr>
          <w:rFonts w:hint="eastAsia" w:ascii="仿宋" w:hAnsi="仿宋" w:eastAsia="仿宋"/>
          <w:bCs/>
          <w:color w:val="333333"/>
          <w:sz w:val="28"/>
          <w:szCs w:val="28"/>
        </w:rPr>
        <w:t>企业主要负责人差旅的交通工具，原则上应选用商务舱及以下舱位，不得乘坐头等舱，不得乘坐非公共交通运输性质的飞机、船只和其他交通工具。</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第二十五条</w:t>
      </w:r>
      <w:r>
        <w:rPr>
          <w:rFonts w:hint="eastAsia" w:ascii="仿宋" w:hAnsi="仿宋" w:eastAsia="仿宋"/>
          <w:bCs/>
          <w:color w:val="333333"/>
          <w:sz w:val="28"/>
          <w:szCs w:val="28"/>
        </w:rPr>
        <w:t xml:space="preserve"> 差旅地有区属企业开办的宾馆、招待所、定点饭店的，企业负责人应当在上述场所住宿。企业负责人不得入住高档宾馆的豪华套房。企业主要负责人可选住宾馆的小型套间或单间。</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第二十六条</w:t>
      </w:r>
      <w:r>
        <w:rPr>
          <w:rFonts w:hint="eastAsia" w:ascii="仿宋" w:hAnsi="仿宋" w:eastAsia="仿宋"/>
          <w:bCs/>
          <w:color w:val="333333"/>
          <w:sz w:val="28"/>
          <w:szCs w:val="28"/>
        </w:rPr>
        <w:t xml:space="preserve"> 区属企业应当根据生产经营需要，保障企业负责人必要的因公出境任务，不得安排无实质内容的一般性考察、研讨交流活动。严禁公款旅游或变相公款旅游。</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第二十七条</w:t>
      </w:r>
      <w:r>
        <w:rPr>
          <w:rFonts w:ascii="仿宋" w:hAnsi="仿宋" w:eastAsia="仿宋"/>
          <w:bCs/>
          <w:color w:val="333333"/>
          <w:sz w:val="28"/>
          <w:szCs w:val="28"/>
        </w:rPr>
        <w:t xml:space="preserve"> </w:t>
      </w:r>
      <w:r>
        <w:rPr>
          <w:rFonts w:hint="eastAsia" w:ascii="仿宋" w:hAnsi="仿宋" w:eastAsia="仿宋"/>
          <w:bCs/>
          <w:color w:val="333333"/>
          <w:sz w:val="28"/>
          <w:szCs w:val="28"/>
        </w:rPr>
        <w:t>企业负责人的差旅费用报销应当凭有效票据、符合企业的差旅管理制度和财务管理制度报销，不得报销企业负责人出差期间与差旅活动无关的费用。</w:t>
      </w:r>
    </w:p>
    <w:p>
      <w:pPr>
        <w:pStyle w:val="7"/>
        <w:adjustRightInd w:val="0"/>
        <w:snapToGrid w:val="0"/>
        <w:spacing w:before="0" w:beforeAutospacing="0" w:after="0" w:afterAutospacing="0" w:line="360" w:lineRule="auto"/>
        <w:ind w:firstLine="560" w:firstLineChars="200"/>
        <w:jc w:val="both"/>
        <w:rPr>
          <w:rFonts w:ascii="仿宋" w:hAnsi="仿宋" w:eastAsia="仿宋"/>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第七章  通信管理</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第二十八条</w:t>
      </w:r>
      <w:r>
        <w:rPr>
          <w:rFonts w:hint="eastAsia" w:ascii="仿宋" w:hAnsi="仿宋" w:eastAsia="仿宋"/>
          <w:bCs/>
          <w:color w:val="333333"/>
          <w:sz w:val="28"/>
          <w:szCs w:val="28"/>
        </w:rPr>
        <w:t xml:space="preserve"> 区属企业要参考电信市场资费情况，根据有关规定合理确定企业负责人的通信费用支出标准，并严格按照规定的支出标准执行。</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第二十九条</w:t>
      </w:r>
      <w:r>
        <w:rPr>
          <w:rFonts w:ascii="仿宋" w:hAnsi="仿宋" w:eastAsia="仿宋"/>
          <w:bCs/>
          <w:color w:val="333333"/>
          <w:sz w:val="28"/>
          <w:szCs w:val="28"/>
        </w:rPr>
        <w:t xml:space="preserve"> </w:t>
      </w:r>
      <w:r>
        <w:rPr>
          <w:rFonts w:hint="eastAsia" w:ascii="仿宋" w:hAnsi="仿宋" w:eastAsia="仿宋"/>
          <w:bCs/>
          <w:color w:val="333333"/>
          <w:sz w:val="28"/>
          <w:szCs w:val="28"/>
        </w:rPr>
        <w:t>企业负责人因公务活动发生的通信费用可采取据实报销、发放通信补贴等方式进行管理。如果为企业负责人发放通信补贴，则不能为企业负责人报销通信费用。</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第八章 附则</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第三十条</w:t>
      </w:r>
      <w:r>
        <w:rPr>
          <w:rFonts w:hint="eastAsia" w:ascii="仿宋" w:hAnsi="仿宋" w:eastAsia="仿宋"/>
          <w:bCs/>
          <w:color w:val="333333"/>
          <w:sz w:val="28"/>
          <w:szCs w:val="28"/>
        </w:rPr>
        <w:t xml:space="preserve"> 应当将企业负责人的履职待遇和业务支出的标准、年度预算及执行情况等，作为民主生活会、年度述职述廉的重要内容，接受监督和民主评议。</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企业负责人履职待遇、业务支出管理制度、年度预算及执行情况，要按规定接受职工监督，以向职工代表大会报告等形式定期公开。</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第三十一条</w:t>
      </w:r>
      <w:r>
        <w:rPr>
          <w:rFonts w:ascii="仿宋" w:hAnsi="仿宋" w:eastAsia="仿宋"/>
          <w:bCs/>
          <w:color w:val="333333"/>
          <w:sz w:val="28"/>
          <w:szCs w:val="28"/>
        </w:rPr>
        <w:t xml:space="preserve"> </w:t>
      </w:r>
      <w:r>
        <w:rPr>
          <w:rFonts w:hint="eastAsia" w:ascii="仿宋" w:hAnsi="仿宋" w:eastAsia="仿宋"/>
          <w:bCs/>
          <w:color w:val="333333"/>
          <w:sz w:val="28"/>
          <w:szCs w:val="28"/>
        </w:rPr>
        <w:t>企业负责人的履职待遇、业务支出应当接受纪检、监察、审计等部门的监督。</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区直企业监事会、财务总监应将企业负责人履职待遇、业务支出纳入重点监督范围。</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第三十二条</w:t>
      </w:r>
      <w:r>
        <w:rPr>
          <w:rFonts w:hint="eastAsia" w:ascii="仿宋" w:hAnsi="仿宋" w:eastAsia="仿宋"/>
          <w:bCs/>
          <w:color w:val="333333"/>
          <w:sz w:val="28"/>
          <w:szCs w:val="28"/>
        </w:rPr>
        <w:t xml:space="preserve"> </w:t>
      </w:r>
      <w:bookmarkStart w:id="1" w:name="_Hlk525981157"/>
      <w:r>
        <w:rPr>
          <w:rFonts w:hint="eastAsia" w:ascii="仿宋" w:hAnsi="仿宋" w:eastAsia="仿宋"/>
          <w:bCs/>
          <w:color w:val="333333"/>
          <w:sz w:val="28"/>
          <w:szCs w:val="28"/>
        </w:rPr>
        <w:t>对违反本规定的区属企业和相关责任人员，按照分级分层追责的原则，由区财政局（国资局）或区直企业按照国有资本出资关系和人事管理权限组织进行责任追究。</w:t>
      </w:r>
    </w:p>
    <w:p>
      <w:pPr>
        <w:pStyle w:val="7"/>
        <w:adjustRightInd w:val="0"/>
        <w:snapToGrid w:val="0"/>
        <w:spacing w:before="0" w:beforeAutospacing="0" w:after="0" w:afterAutospacing="0" w:line="360" w:lineRule="auto"/>
        <w:ind w:firstLine="560" w:firstLineChars="200"/>
        <w:jc w:val="both"/>
        <w:rPr>
          <w:ins w:id="2" w:author="yang sun" w:date="2019-08-01T14:13:00Z"/>
          <w:rFonts w:ascii="仿宋" w:hAnsi="仿宋" w:eastAsia="仿宋"/>
          <w:bCs/>
          <w:color w:val="333333"/>
          <w:sz w:val="28"/>
          <w:szCs w:val="28"/>
        </w:rPr>
      </w:pPr>
      <w:r>
        <w:rPr>
          <w:rFonts w:hint="eastAsia" w:ascii="仿宋" w:hAnsi="仿宋" w:eastAsia="仿宋"/>
          <w:bCs/>
          <w:color w:val="333333"/>
          <w:sz w:val="28"/>
          <w:szCs w:val="28"/>
        </w:rPr>
        <w:t>区直企业应当及时向区财政局（国资局）报告责任追究工作开展情况，区财政局（国资局）有权进行检查并出具复核意见。</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r>
        <w:rPr>
          <w:rFonts w:hint="eastAsia" w:ascii="仿宋" w:hAnsi="仿宋" w:eastAsia="仿宋"/>
          <w:bCs/>
          <w:color w:val="333333"/>
          <w:sz w:val="28"/>
          <w:szCs w:val="28"/>
        </w:rPr>
        <w:t>区直企业未按规定开展责任追究工作的，区财政局（国资局）有权按照国有资本出资关系和人事管理权限追究区直企业负责人的责任，或者移送深圳市福田区人民政府其他有权部门。</w:t>
      </w:r>
    </w:p>
    <w:p>
      <w:pPr>
        <w:pStyle w:val="7"/>
        <w:adjustRightInd w:val="0"/>
        <w:snapToGrid w:val="0"/>
        <w:spacing w:before="0" w:beforeAutospacing="0" w:after="0" w:afterAutospacing="0" w:line="360" w:lineRule="auto"/>
        <w:ind w:firstLine="560" w:firstLineChars="200"/>
        <w:jc w:val="both"/>
        <w:rPr>
          <w:rFonts w:ascii="仿宋" w:hAnsi="仿宋" w:eastAsia="仿宋"/>
          <w:bCs/>
          <w:color w:val="333333"/>
          <w:sz w:val="28"/>
          <w:szCs w:val="28"/>
        </w:rPr>
      </w:pPr>
      <w:bookmarkStart w:id="2" w:name="_Hlk525984893"/>
      <w:r>
        <w:rPr>
          <w:rFonts w:hint="eastAsia" w:ascii="仿宋" w:hAnsi="仿宋" w:eastAsia="仿宋"/>
          <w:bCs/>
          <w:color w:val="333333"/>
          <w:sz w:val="28"/>
          <w:szCs w:val="28"/>
        </w:rPr>
        <w:t>具体责任追究工作的开展参照《中央企业违规投资经营责任追究实施办法（试行）》、《深圳市属国有企业资产损失责任追究暂行办法》执行。</w:t>
      </w:r>
      <w:bookmarkEnd w:id="2"/>
      <w:r>
        <w:rPr>
          <w:rFonts w:hint="eastAsia" w:ascii="仿宋" w:hAnsi="仿宋" w:eastAsia="仿宋"/>
          <w:bCs/>
          <w:color w:val="333333"/>
          <w:sz w:val="28"/>
          <w:szCs w:val="28"/>
        </w:rPr>
        <w:t>如违反本规定的行为导致国有资产遭受损失，区财政局（国资局）或区直企业应当向责任单位或人员追偿。</w:t>
      </w:r>
    </w:p>
    <w:bookmarkEnd w:id="1"/>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第三十三条</w:t>
      </w:r>
      <w:r>
        <w:rPr>
          <w:rFonts w:hint="eastAsia" w:ascii="仿宋" w:hAnsi="仿宋" w:eastAsia="仿宋"/>
          <w:bCs/>
          <w:color w:val="333333"/>
          <w:sz w:val="28"/>
          <w:szCs w:val="28"/>
        </w:rPr>
        <w:t xml:space="preserve"> 企业其他负责人的公务用车、办公用房、培训、业务招待、差旅、通信等履职待遇和业务支出标准原则上不得高于企业主要负责人的标准。</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第三十四条</w:t>
      </w:r>
      <w:r>
        <w:rPr>
          <w:rFonts w:hint="eastAsia" w:ascii="仿宋" w:hAnsi="仿宋" w:eastAsia="仿宋"/>
          <w:bCs/>
          <w:color w:val="333333"/>
          <w:sz w:val="28"/>
          <w:szCs w:val="28"/>
        </w:rPr>
        <w:t xml:space="preserve"> 本规定由区财政局（国资局）负责解释</w:t>
      </w:r>
    </w:p>
    <w:p>
      <w:pPr>
        <w:pStyle w:val="7"/>
        <w:adjustRightInd w:val="0"/>
        <w:snapToGrid w:val="0"/>
        <w:spacing w:before="0" w:beforeAutospacing="0" w:after="0" w:afterAutospacing="0" w:line="360" w:lineRule="auto"/>
        <w:ind w:firstLine="562" w:firstLineChars="200"/>
        <w:jc w:val="both"/>
        <w:rPr>
          <w:rFonts w:ascii="仿宋" w:hAnsi="仿宋" w:eastAsia="仿宋"/>
          <w:bCs/>
          <w:color w:val="333333"/>
          <w:sz w:val="28"/>
          <w:szCs w:val="28"/>
        </w:rPr>
      </w:pPr>
      <w:r>
        <w:rPr>
          <w:rFonts w:hint="eastAsia" w:ascii="仿宋" w:hAnsi="仿宋" w:eastAsia="仿宋"/>
          <w:b/>
          <w:color w:val="333333"/>
          <w:sz w:val="28"/>
          <w:szCs w:val="28"/>
        </w:rPr>
        <w:t>第三十五条</w:t>
      </w:r>
      <w:r>
        <w:rPr>
          <w:rFonts w:ascii="仿宋" w:hAnsi="仿宋" w:eastAsia="仿宋"/>
          <w:bCs/>
          <w:color w:val="333333"/>
          <w:sz w:val="28"/>
          <w:szCs w:val="28"/>
        </w:rPr>
        <w:t xml:space="preserve"> </w:t>
      </w:r>
      <w:r>
        <w:rPr>
          <w:rFonts w:hint="eastAsia" w:ascii="仿宋" w:hAnsi="仿宋" w:eastAsia="仿宋"/>
          <w:bCs/>
          <w:color w:val="333333"/>
          <w:sz w:val="28"/>
          <w:szCs w:val="28"/>
        </w:rPr>
        <w:t>本规定自颁布之日起施行。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321"/>
    <w:rsid w:val="000032F6"/>
    <w:rsid w:val="00030F4B"/>
    <w:rsid w:val="00032854"/>
    <w:rsid w:val="000560B2"/>
    <w:rsid w:val="0006066A"/>
    <w:rsid w:val="00060860"/>
    <w:rsid w:val="000661AB"/>
    <w:rsid w:val="00086C35"/>
    <w:rsid w:val="000B57FA"/>
    <w:rsid w:val="000D1D03"/>
    <w:rsid w:val="00136A1F"/>
    <w:rsid w:val="00145483"/>
    <w:rsid w:val="001C568B"/>
    <w:rsid w:val="001D09F9"/>
    <w:rsid w:val="0020265D"/>
    <w:rsid w:val="00221549"/>
    <w:rsid w:val="00224F5E"/>
    <w:rsid w:val="00276E9D"/>
    <w:rsid w:val="00290E8E"/>
    <w:rsid w:val="002D0EEE"/>
    <w:rsid w:val="002E407F"/>
    <w:rsid w:val="00386F8A"/>
    <w:rsid w:val="00391C41"/>
    <w:rsid w:val="0039486E"/>
    <w:rsid w:val="00394DE8"/>
    <w:rsid w:val="00395B2D"/>
    <w:rsid w:val="003A2739"/>
    <w:rsid w:val="003B6EA4"/>
    <w:rsid w:val="003D056A"/>
    <w:rsid w:val="003E5202"/>
    <w:rsid w:val="003F33CC"/>
    <w:rsid w:val="003F6A05"/>
    <w:rsid w:val="00417770"/>
    <w:rsid w:val="00435267"/>
    <w:rsid w:val="00447241"/>
    <w:rsid w:val="004539BE"/>
    <w:rsid w:val="0045483C"/>
    <w:rsid w:val="00485A69"/>
    <w:rsid w:val="00492DF3"/>
    <w:rsid w:val="004A6F4C"/>
    <w:rsid w:val="004C2758"/>
    <w:rsid w:val="004C70F6"/>
    <w:rsid w:val="004D4142"/>
    <w:rsid w:val="004F618E"/>
    <w:rsid w:val="005072D9"/>
    <w:rsid w:val="00513E55"/>
    <w:rsid w:val="00526113"/>
    <w:rsid w:val="00535E05"/>
    <w:rsid w:val="00546368"/>
    <w:rsid w:val="00547915"/>
    <w:rsid w:val="005545A4"/>
    <w:rsid w:val="00564301"/>
    <w:rsid w:val="0057558E"/>
    <w:rsid w:val="005A6F3B"/>
    <w:rsid w:val="005B19E3"/>
    <w:rsid w:val="005D0379"/>
    <w:rsid w:val="005D3A6E"/>
    <w:rsid w:val="0060441B"/>
    <w:rsid w:val="00611B5E"/>
    <w:rsid w:val="006128A2"/>
    <w:rsid w:val="00617110"/>
    <w:rsid w:val="00642E76"/>
    <w:rsid w:val="00657C76"/>
    <w:rsid w:val="00682B5F"/>
    <w:rsid w:val="0069609A"/>
    <w:rsid w:val="006A4B7B"/>
    <w:rsid w:val="006C55A3"/>
    <w:rsid w:val="006E50BB"/>
    <w:rsid w:val="00700071"/>
    <w:rsid w:val="00716AB9"/>
    <w:rsid w:val="007206BC"/>
    <w:rsid w:val="007234FA"/>
    <w:rsid w:val="007274C7"/>
    <w:rsid w:val="007455E8"/>
    <w:rsid w:val="007462E1"/>
    <w:rsid w:val="0075791B"/>
    <w:rsid w:val="00771797"/>
    <w:rsid w:val="00795FE9"/>
    <w:rsid w:val="007F5C8E"/>
    <w:rsid w:val="0081788A"/>
    <w:rsid w:val="008225F8"/>
    <w:rsid w:val="00834489"/>
    <w:rsid w:val="008479F6"/>
    <w:rsid w:val="008544D0"/>
    <w:rsid w:val="00876612"/>
    <w:rsid w:val="00882D96"/>
    <w:rsid w:val="00883C44"/>
    <w:rsid w:val="00890393"/>
    <w:rsid w:val="008939C6"/>
    <w:rsid w:val="00895EBD"/>
    <w:rsid w:val="008A746B"/>
    <w:rsid w:val="009200A9"/>
    <w:rsid w:val="00921DFC"/>
    <w:rsid w:val="009260A4"/>
    <w:rsid w:val="0092743D"/>
    <w:rsid w:val="0093471E"/>
    <w:rsid w:val="00934DD7"/>
    <w:rsid w:val="00942A03"/>
    <w:rsid w:val="009979F9"/>
    <w:rsid w:val="009A78FD"/>
    <w:rsid w:val="009B4533"/>
    <w:rsid w:val="009B58BC"/>
    <w:rsid w:val="009C572E"/>
    <w:rsid w:val="00A15622"/>
    <w:rsid w:val="00A249A5"/>
    <w:rsid w:val="00A26A80"/>
    <w:rsid w:val="00A330EB"/>
    <w:rsid w:val="00A52434"/>
    <w:rsid w:val="00A76292"/>
    <w:rsid w:val="00A83AAD"/>
    <w:rsid w:val="00AF354D"/>
    <w:rsid w:val="00AF42CB"/>
    <w:rsid w:val="00B02144"/>
    <w:rsid w:val="00B52699"/>
    <w:rsid w:val="00B62FAD"/>
    <w:rsid w:val="00B72123"/>
    <w:rsid w:val="00B75F64"/>
    <w:rsid w:val="00B76F76"/>
    <w:rsid w:val="00B85A5D"/>
    <w:rsid w:val="00B90711"/>
    <w:rsid w:val="00BA43C9"/>
    <w:rsid w:val="00BB27A3"/>
    <w:rsid w:val="00BD5417"/>
    <w:rsid w:val="00BE0321"/>
    <w:rsid w:val="00BE40D6"/>
    <w:rsid w:val="00C14E75"/>
    <w:rsid w:val="00C25751"/>
    <w:rsid w:val="00C469B2"/>
    <w:rsid w:val="00C537C3"/>
    <w:rsid w:val="00C538C4"/>
    <w:rsid w:val="00C65550"/>
    <w:rsid w:val="00C9071E"/>
    <w:rsid w:val="00CA09F3"/>
    <w:rsid w:val="00D470C9"/>
    <w:rsid w:val="00D62685"/>
    <w:rsid w:val="00D6662E"/>
    <w:rsid w:val="00DB1902"/>
    <w:rsid w:val="00DC072E"/>
    <w:rsid w:val="00DC5E8D"/>
    <w:rsid w:val="00DE3885"/>
    <w:rsid w:val="00DF6C0D"/>
    <w:rsid w:val="00E24FC3"/>
    <w:rsid w:val="00E278B7"/>
    <w:rsid w:val="00E86507"/>
    <w:rsid w:val="00E912EB"/>
    <w:rsid w:val="00EB431D"/>
    <w:rsid w:val="00EC7764"/>
    <w:rsid w:val="00EC7969"/>
    <w:rsid w:val="00ED4409"/>
    <w:rsid w:val="00F03DE9"/>
    <w:rsid w:val="00F6105D"/>
    <w:rsid w:val="00F6162E"/>
    <w:rsid w:val="00F86CB5"/>
    <w:rsid w:val="00F913B3"/>
    <w:rsid w:val="00F96C4C"/>
    <w:rsid w:val="00FB7621"/>
    <w:rsid w:val="00FC2620"/>
    <w:rsid w:val="00FC65FF"/>
    <w:rsid w:val="00FD761D"/>
    <w:rsid w:val="62B15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uiPriority w:val="99"/>
    <w:rPr>
      <w:b/>
      <w:bCs/>
    </w:rPr>
  </w:style>
  <w:style w:type="paragraph" w:styleId="3">
    <w:name w:val="annotation text"/>
    <w:basedOn w:val="1"/>
    <w:link w:val="12"/>
    <w:unhideWhenUsed/>
    <w:uiPriority w:val="99"/>
    <w:pPr>
      <w:jc w:val="left"/>
    </w:pPr>
  </w:style>
  <w:style w:type="paragraph" w:styleId="4">
    <w:name w:val="Balloon Text"/>
    <w:basedOn w:val="1"/>
    <w:link w:val="11"/>
    <w:unhideWhenUsed/>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9">
    <w:name w:val="annotation reference"/>
    <w:basedOn w:val="8"/>
    <w:unhideWhenUsed/>
    <w:uiPriority w:val="99"/>
    <w:rPr>
      <w:sz w:val="21"/>
      <w:szCs w:val="21"/>
    </w:rPr>
  </w:style>
  <w:style w:type="character" w:customStyle="1" w:styleId="11">
    <w:name w:val="批注框文本 字符"/>
    <w:basedOn w:val="8"/>
    <w:link w:val="4"/>
    <w:semiHidden/>
    <w:uiPriority w:val="99"/>
    <w:rPr>
      <w:sz w:val="18"/>
      <w:szCs w:val="18"/>
    </w:rPr>
  </w:style>
  <w:style w:type="character" w:customStyle="1" w:styleId="12">
    <w:name w:val="批注文字 字符"/>
    <w:basedOn w:val="8"/>
    <w:link w:val="3"/>
    <w:semiHidden/>
    <w:uiPriority w:val="99"/>
    <w:rPr>
      <w:szCs w:val="24"/>
    </w:rPr>
  </w:style>
  <w:style w:type="character" w:customStyle="1" w:styleId="13">
    <w:name w:val="批注主题 字符"/>
    <w:basedOn w:val="12"/>
    <w:link w:val="2"/>
    <w:semiHidden/>
    <w:uiPriority w:val="99"/>
    <w:rPr>
      <w:b/>
      <w:bCs/>
      <w:szCs w:val="24"/>
    </w:rPr>
  </w:style>
  <w:style w:type="paragraph" w:customStyle="1" w:styleId="14">
    <w:name w:val="List Paragraph"/>
    <w:basedOn w:val="1"/>
    <w:qFormat/>
    <w:uiPriority w:val="34"/>
    <w:pPr>
      <w:ind w:firstLine="420" w:firstLineChars="200"/>
    </w:pPr>
  </w:style>
  <w:style w:type="character" w:customStyle="1" w:styleId="15">
    <w:name w:val="页眉 字符"/>
    <w:basedOn w:val="8"/>
    <w:link w:val="6"/>
    <w:qFormat/>
    <w:uiPriority w:val="99"/>
    <w:rPr>
      <w:sz w:val="18"/>
      <w:szCs w:val="18"/>
    </w:rPr>
  </w:style>
  <w:style w:type="character" w:customStyle="1" w:styleId="16">
    <w:name w:val="页脚 字符"/>
    <w:basedOn w:val="8"/>
    <w:link w:val="5"/>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582</Words>
  <Characters>3322</Characters>
  <Lines>27</Lines>
  <Paragraphs>7</Paragraphs>
  <TotalTime>0</TotalTime>
  <ScaleCrop>false</ScaleCrop>
  <LinksUpToDate>false</LinksUpToDate>
  <CharactersWithSpaces>3897</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2018-12-11T04:50:00Z</dcterms:created>
  <dc:creator>sun yang</dc:creator>
  <cp:lastModifiedBy>钟敏玲</cp:lastModifiedBy>
  <dcterms:modified xsi:type="dcterms:W3CDTF">2019-08-14T08:20:38Z</dcterms:modified>
  <dc:title>深圳市福田区区属国有企业负责人履职待遇和业务支出</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