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570" w:lineRule="exact"/>
        <w:jc w:val="center"/>
        <w:rPr>
          <w:rFonts w:hint="eastAsia" w:ascii="方正小标宋简体" w:hAnsi="方正小标宋简体" w:eastAsia="方正小标宋简体" w:cs="方正小标宋简体"/>
          <w:sz w:val="44"/>
          <w:szCs w:val="44"/>
          <w:lang w:val="en-US" w:eastAsia="zh-CN"/>
        </w:rPr>
      </w:pPr>
    </w:p>
    <w:p>
      <w:pPr>
        <w:pageBreakBefore w:val="0"/>
        <w:kinsoku/>
        <w:wordWrap/>
        <w:overflowPunct/>
        <w:topLinePunct w:val="0"/>
        <w:bidi w:val="0"/>
        <w:snapToGrid/>
        <w:spacing w:line="570" w:lineRule="exact"/>
        <w:jc w:val="center"/>
        <w:rPr>
          <w:rFonts w:hint="eastAsia" w:ascii="方正小标宋简体" w:hAnsi="方正小标宋简体" w:eastAsia="方正小标宋简体" w:cs="方正小标宋简体"/>
          <w:sz w:val="44"/>
          <w:szCs w:val="44"/>
          <w:lang w:val="en-US" w:eastAsia="zh-CN"/>
        </w:rPr>
      </w:pPr>
    </w:p>
    <w:p>
      <w:pPr>
        <w:pageBreakBefore w:val="0"/>
        <w:kinsoku/>
        <w:wordWrap/>
        <w:overflowPunct/>
        <w:topLinePunct w:val="0"/>
        <w:bidi w:val="0"/>
        <w:snapToGrid/>
        <w:spacing w:line="57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福田区沙头街道机关工会开展“春（秋）游”活动服务类项目采购需求</w:t>
      </w:r>
    </w:p>
    <w:p>
      <w:pPr>
        <w:pStyle w:val="2"/>
        <w:pageBreakBefore w:val="0"/>
        <w:numPr>
          <w:ilvl w:val="0"/>
          <w:numId w:val="1"/>
        </w:numPr>
        <w:kinsoku/>
        <w:wordWrap/>
        <w:overflowPunct/>
        <w:topLinePunct w:val="0"/>
        <w:bidi w:val="0"/>
        <w:snapToGrid/>
        <w:spacing w:before="156" w:beforeLines="50" w:after="156" w:afterLines="50" w:line="560" w:lineRule="exact"/>
        <w:ind w:firstLine="640" w:firstLineChars="200"/>
        <w:jc w:val="both"/>
        <w:rPr>
          <w:rFonts w:hint="eastAsia" w:ascii="仿宋_GB2312" w:hAnsi="仿宋_GB2312" w:eastAsia="仿宋_GB2312" w:cs="仿宋_GB2312"/>
          <w:sz w:val="28"/>
          <w:szCs w:val="28"/>
          <w:lang w:val="en-US" w:eastAsia="zh-CN"/>
        </w:rPr>
      </w:pPr>
      <w:r>
        <w:rPr>
          <w:rFonts w:hint="eastAsia" w:ascii="黑体" w:hAnsi="黑体" w:eastAsia="黑体" w:cs="黑体"/>
          <w:b w:val="0"/>
          <w:bCs/>
          <w:sz w:val="32"/>
          <w:szCs w:val="32"/>
        </w:rPr>
        <w:t>采购项目概况</w:t>
      </w:r>
    </w:p>
    <w:p>
      <w:pPr>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广东省总工会关于印发《广东省基层工会经费收支管理实施细则（试行）的通知》（粤工总〔2018〕5号）文件要求，为了丰富机关干部职工业余生活，欣赏大自然美丽景色，陶冶情操，增进集体凝聚力，我街道机关工会组织全体干部职工开展春（秋）游活动。</w:t>
      </w:r>
    </w:p>
    <w:p>
      <w:pPr>
        <w:pStyle w:val="2"/>
        <w:pageBreakBefore w:val="0"/>
        <w:kinsoku/>
        <w:wordWrap/>
        <w:overflowPunct/>
        <w:topLinePunct w:val="0"/>
        <w:bidi w:val="0"/>
        <w:snapToGrid/>
        <w:spacing w:before="156" w:beforeLines="50" w:after="156" w:afterLines="50" w:line="560" w:lineRule="exact"/>
        <w:ind w:firstLine="640" w:firstLineChars="200"/>
        <w:jc w:val="both"/>
        <w:rPr>
          <w:rFonts w:ascii="黑体" w:hAnsi="黑体" w:eastAsia="黑体" w:cs="黑体"/>
          <w:b w:val="0"/>
          <w:bCs/>
          <w:sz w:val="32"/>
          <w:szCs w:val="32"/>
        </w:rPr>
      </w:pPr>
      <w:r>
        <w:rPr>
          <w:rFonts w:hint="eastAsia" w:ascii="黑体" w:hAnsi="黑体" w:eastAsia="黑体" w:cs="黑体"/>
          <w:b w:val="0"/>
          <w:bCs/>
          <w:sz w:val="32"/>
          <w:szCs w:val="32"/>
        </w:rPr>
        <w:t>二、项目管理和服务要求</w:t>
      </w:r>
    </w:p>
    <w:p>
      <w:pPr>
        <w:pStyle w:val="2"/>
        <w:pageBreakBefore w:val="0"/>
        <w:kinsoku/>
        <w:wordWrap/>
        <w:overflowPunct/>
        <w:topLinePunct w:val="0"/>
        <w:bidi w:val="0"/>
        <w:snapToGrid/>
        <w:spacing w:before="156" w:beforeLines="50" w:after="156" w:afterLines="50" w:line="560" w:lineRule="exact"/>
        <w:ind w:firstLine="64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服从管理、安全第一、保质保量、按时完成。</w:t>
      </w:r>
    </w:p>
    <w:p>
      <w:pPr>
        <w:pStyle w:val="2"/>
        <w:pageBreakBefore w:val="0"/>
        <w:kinsoku/>
        <w:wordWrap/>
        <w:overflowPunct/>
        <w:topLinePunct w:val="0"/>
        <w:bidi w:val="0"/>
        <w:snapToGrid/>
        <w:spacing w:before="156" w:beforeLines="50" w:after="156" w:afterLines="50" w:line="560" w:lineRule="exact"/>
        <w:jc w:val="both"/>
        <w:rPr>
          <w:rFonts w:ascii="黑体" w:hAnsi="黑体" w:eastAsia="黑体" w:cs="黑体"/>
          <w:b w:val="0"/>
          <w:bCs/>
          <w:sz w:val="32"/>
          <w:szCs w:val="32"/>
        </w:rPr>
      </w:pPr>
      <w:r>
        <w:rPr>
          <w:rFonts w:hint="eastAsia" w:ascii="黑体" w:hAnsi="黑体" w:eastAsia="黑体" w:cs="黑体"/>
          <w:b w:val="0"/>
          <w:bCs/>
          <w:sz w:val="32"/>
          <w:szCs w:val="32"/>
        </w:rPr>
        <w:t xml:space="preserve">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三、商务需求</w:t>
      </w:r>
    </w:p>
    <w:p>
      <w:pPr>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1.服务期：201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月下旬至</w:t>
      </w:r>
      <w:r>
        <w:rPr>
          <w:rFonts w:hint="eastAsia" w:ascii="仿宋_GB2312" w:hAnsi="仿宋_GB2312" w:eastAsia="仿宋_GB2312" w:cs="仿宋_GB2312"/>
          <w:sz w:val="28"/>
          <w:szCs w:val="28"/>
          <w:lang w:val="en-US" w:eastAsia="zh-CN"/>
        </w:rPr>
        <w:t>11月中旬</w:t>
      </w:r>
    </w:p>
    <w:p>
      <w:pPr>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2.服务地点：采购</w:t>
      </w:r>
      <w:r>
        <w:rPr>
          <w:rFonts w:hint="eastAsia" w:ascii="仿宋_GB2312" w:hAnsi="仿宋_GB2312" w:eastAsia="仿宋_GB2312" w:cs="仿宋_GB2312"/>
          <w:sz w:val="28"/>
          <w:szCs w:val="28"/>
          <w:lang w:eastAsia="zh-CN"/>
        </w:rPr>
        <w:t>部门</w:t>
      </w:r>
      <w:r>
        <w:rPr>
          <w:rFonts w:hint="eastAsia" w:ascii="仿宋_GB2312" w:hAnsi="仿宋_GB2312" w:eastAsia="仿宋_GB2312" w:cs="仿宋_GB2312"/>
          <w:sz w:val="28"/>
          <w:szCs w:val="28"/>
        </w:rPr>
        <w:t>指定地点</w:t>
      </w:r>
    </w:p>
    <w:p>
      <w:pPr>
        <w:pStyle w:val="5"/>
        <w:pageBreakBefore w:val="0"/>
        <w:kinsoku/>
        <w:wordWrap/>
        <w:overflowPunct/>
        <w:topLinePunct w:val="0"/>
        <w:bidi w:val="0"/>
        <w:snapToGrid/>
        <w:spacing w:before="78" w:beforeLines="25" w:after="78" w:afterLines="25" w:line="560" w:lineRule="exact"/>
        <w:ind w:firstLine="523" w:firstLineChars="18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3.报价要求：</w:t>
      </w:r>
      <w:r>
        <w:rPr>
          <w:rFonts w:hint="eastAsia" w:ascii="仿宋_GB2312" w:hAnsi="仿宋_GB2312" w:eastAsia="仿宋_GB2312" w:cs="仿宋_GB2312"/>
          <w:sz w:val="28"/>
          <w:szCs w:val="28"/>
          <w:lang w:eastAsia="zh-CN"/>
        </w:rPr>
        <w:t>经费标准不超过</w:t>
      </w:r>
      <w:r>
        <w:rPr>
          <w:rFonts w:hint="eastAsia" w:ascii="仿宋_GB2312" w:hAnsi="仿宋_GB2312" w:eastAsia="仿宋_GB2312" w:cs="仿宋_GB2312"/>
          <w:sz w:val="28"/>
          <w:szCs w:val="28"/>
          <w:lang w:val="en-US" w:eastAsia="zh-CN"/>
        </w:rPr>
        <w:t>120元/人，</w:t>
      </w:r>
      <w:r>
        <w:rPr>
          <w:rFonts w:hint="eastAsia" w:ascii="仿宋_GB2312" w:hAnsi="仿宋_GB2312" w:eastAsia="仿宋_GB2312" w:cs="仿宋_GB2312"/>
          <w:sz w:val="28"/>
          <w:szCs w:val="28"/>
          <w:lang w:eastAsia="zh-CN"/>
        </w:rPr>
        <w:t>拟参加人数共</w:t>
      </w:r>
      <w:r>
        <w:rPr>
          <w:rFonts w:hint="eastAsia" w:ascii="仿宋_GB2312" w:hAnsi="仿宋_GB2312" w:eastAsia="仿宋_GB2312" w:cs="仿宋_GB2312"/>
          <w:sz w:val="28"/>
          <w:szCs w:val="28"/>
          <w:lang w:val="en-US" w:eastAsia="zh-CN"/>
        </w:rPr>
        <w:t>597人</w:t>
      </w:r>
    </w:p>
    <w:p>
      <w:pPr>
        <w:pStyle w:val="5"/>
        <w:pageBreakBefore w:val="0"/>
        <w:kinsoku/>
        <w:wordWrap/>
        <w:overflowPunct/>
        <w:topLinePunct w:val="0"/>
        <w:bidi w:val="0"/>
        <w:snapToGrid/>
        <w:spacing w:before="78" w:beforeLines="25" w:after="78" w:afterLines="25" w:line="560" w:lineRule="exact"/>
        <w:ind w:firstLine="523" w:firstLineChars="187"/>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本项目服务费采用包干制，应包括服务成本、法定税费和企业的利润。由企业根据采购文件所提供的资料自行测算投标报价；一经中选，报价总价作为中选单位与采购</w:t>
      </w:r>
      <w:r>
        <w:rPr>
          <w:rFonts w:hint="eastAsia" w:ascii="仿宋_GB2312" w:hAnsi="仿宋_GB2312" w:eastAsia="仿宋_GB2312" w:cs="仿宋_GB2312"/>
          <w:color w:val="000000"/>
          <w:sz w:val="28"/>
          <w:szCs w:val="28"/>
          <w:lang w:eastAsia="zh-CN"/>
        </w:rPr>
        <w:t>部门</w:t>
      </w:r>
      <w:r>
        <w:rPr>
          <w:rFonts w:hint="eastAsia" w:ascii="仿宋_GB2312" w:hAnsi="仿宋_GB2312" w:eastAsia="仿宋_GB2312" w:cs="仿宋_GB2312"/>
          <w:color w:val="000000"/>
          <w:sz w:val="28"/>
          <w:szCs w:val="28"/>
        </w:rPr>
        <w:t>签定的合同金额，合同期限内不做调整；</w:t>
      </w:r>
    </w:p>
    <w:p>
      <w:pPr>
        <w:pStyle w:val="5"/>
        <w:pageBreakBefore w:val="0"/>
        <w:kinsoku/>
        <w:wordWrap/>
        <w:overflowPunct/>
        <w:topLinePunct w:val="0"/>
        <w:bidi w:val="0"/>
        <w:snapToGrid/>
        <w:spacing w:before="78" w:beforeLines="25" w:after="78" w:afterLines="25" w:line="560" w:lineRule="exact"/>
        <w:ind w:firstLine="523" w:firstLineChars="187"/>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（2）响应人应根据本企业的成本自行决定报价，但不得以低于其企业成本的报价投标；</w:t>
      </w:r>
    </w:p>
    <w:p>
      <w:pPr>
        <w:pStyle w:val="5"/>
        <w:pageBreakBefore w:val="0"/>
        <w:kinsoku/>
        <w:wordWrap/>
        <w:overflowPunct/>
        <w:topLinePunct w:val="0"/>
        <w:bidi w:val="0"/>
        <w:snapToGrid/>
        <w:spacing w:before="78" w:beforeLines="25" w:after="78" w:afterLines="25" w:line="560" w:lineRule="exact"/>
        <w:ind w:firstLine="523" w:firstLineChars="187"/>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sz w:val="28"/>
          <w:szCs w:val="28"/>
        </w:rPr>
        <w:t>响应</w:t>
      </w:r>
      <w:r>
        <w:rPr>
          <w:rFonts w:hint="eastAsia" w:ascii="仿宋_GB2312" w:hAnsi="仿宋_GB2312" w:eastAsia="仿宋_GB2312" w:cs="仿宋_GB2312"/>
          <w:color w:val="000000"/>
          <w:sz w:val="28"/>
          <w:szCs w:val="28"/>
        </w:rPr>
        <w:t>人的报价不得超过财政预算限额；</w:t>
      </w:r>
    </w:p>
    <w:p>
      <w:pPr>
        <w:pStyle w:val="5"/>
        <w:pageBreakBefore w:val="0"/>
        <w:kinsoku/>
        <w:wordWrap/>
        <w:overflowPunct/>
        <w:topLinePunct w:val="0"/>
        <w:bidi w:val="0"/>
        <w:snapToGrid/>
        <w:spacing w:before="78" w:beforeLines="25" w:after="78" w:afterLines="25" w:line="560" w:lineRule="exact"/>
        <w:ind w:firstLine="523" w:firstLineChars="187"/>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（4）响应人的报价，应是本项目采购范围和采购文件及合同条款上所列的各项内容中所述的全部，不得以任何理由予以重复，并以响应人最终提出的综合单价或总价为依据；</w:t>
      </w:r>
    </w:p>
    <w:p>
      <w:pPr>
        <w:pStyle w:val="5"/>
        <w:pageBreakBefore w:val="0"/>
        <w:kinsoku/>
        <w:wordWrap/>
        <w:overflowPunct/>
        <w:topLinePunct w:val="0"/>
        <w:bidi w:val="0"/>
        <w:snapToGrid/>
        <w:spacing w:before="78" w:beforeLines="25" w:after="78" w:afterLines="25" w:line="560" w:lineRule="exact"/>
        <w:ind w:firstLine="523" w:firstLineChars="187"/>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除非采购人通过修改采购文件予以更正，否则，响应人应毫无例外地按响应文件所列的清单中项目和数量填报综合单价和合价。响应人未填综合单价或合价的项目，在实施后，将不得以支付，并视作该项费用已包括在其它有价款的综合单价或合价内；</w:t>
      </w:r>
    </w:p>
    <w:p>
      <w:pPr>
        <w:pStyle w:val="5"/>
        <w:pageBreakBefore w:val="0"/>
        <w:kinsoku/>
        <w:wordWrap/>
        <w:overflowPunct/>
        <w:topLinePunct w:val="0"/>
        <w:bidi w:val="0"/>
        <w:snapToGrid/>
        <w:spacing w:before="78" w:beforeLines="25" w:after="78" w:afterLines="25" w:line="560" w:lineRule="exact"/>
        <w:ind w:firstLine="523" w:firstLineChars="187"/>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（6）响应人应先到项目地点踏勘以充分了解项目的位置、情况及任何其它足以影响投标报价的情况，任何因忽视或误解项目情况而导致的索赔或服务期限延长申请将不获批准；</w:t>
      </w:r>
    </w:p>
    <w:p>
      <w:pPr>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（7）响应人不得期望通过索赔等方式获取补偿，否则，除可能遭到拒绝外，还可能将被作为不良行为记录在案，并可能影响其以后参加政府采购的项目投标。各响应人在报价时，应充分考虑报价的风险。</w:t>
      </w:r>
    </w:p>
    <w:p>
      <w:pPr>
        <w:pageBreakBefore w:val="0"/>
        <w:kinsoku/>
        <w:wordWrap/>
        <w:overflowPunct/>
        <w:topLinePunct w:val="0"/>
        <w:bidi w:val="0"/>
        <w:snapToGrid/>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）付款方式：按照完成服务工作进度付款。</w:t>
      </w:r>
    </w:p>
    <w:p>
      <w:pPr>
        <w:pageBreakBefore w:val="0"/>
        <w:kinsoku/>
        <w:wordWrap/>
        <w:overflowPunct/>
        <w:topLinePunct w:val="0"/>
        <w:bidi w:val="0"/>
        <w:snapToGrid/>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）履约担保金：由双方协商。</w:t>
      </w:r>
    </w:p>
    <w:p>
      <w:pPr>
        <w:pageBreakBefore w:val="0"/>
        <w:kinsoku/>
        <w:wordWrap/>
        <w:overflowPunct/>
        <w:topLinePunct w:val="0"/>
        <w:autoSpaceDE w:val="0"/>
        <w:autoSpaceDN w:val="0"/>
        <w:bidi w:val="0"/>
        <w:snapToGrid/>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）违约责任：服务</w:t>
      </w:r>
      <w:r>
        <w:rPr>
          <w:rFonts w:hint="eastAsia" w:ascii="仿宋_GB2312" w:hAnsi="仿宋_GB2312" w:eastAsia="仿宋_GB2312" w:cs="仿宋_GB2312"/>
          <w:color w:val="000000"/>
          <w:sz w:val="28"/>
          <w:szCs w:val="28"/>
        </w:rPr>
        <w:t>活动过程中如因</w:t>
      </w:r>
      <w:r>
        <w:rPr>
          <w:rFonts w:hint="eastAsia" w:ascii="仿宋_GB2312" w:hAnsi="仿宋_GB2312" w:eastAsia="仿宋_GB2312" w:cs="仿宋_GB2312"/>
          <w:sz w:val="28"/>
          <w:szCs w:val="28"/>
          <w:shd w:val="clear" w:color="auto" w:fill="FFFFFF"/>
        </w:rPr>
        <w:t>乙</w:t>
      </w:r>
      <w:r>
        <w:rPr>
          <w:rFonts w:hint="eastAsia" w:ascii="仿宋_GB2312" w:hAnsi="仿宋_GB2312" w:eastAsia="仿宋_GB2312" w:cs="仿宋_GB2312"/>
          <w:color w:val="000000"/>
          <w:sz w:val="28"/>
          <w:szCs w:val="28"/>
        </w:rPr>
        <w:t>方操作不当造成人员伤害，责任由</w:t>
      </w:r>
      <w:r>
        <w:rPr>
          <w:rFonts w:hint="eastAsia" w:ascii="仿宋_GB2312" w:hAnsi="仿宋_GB2312" w:eastAsia="仿宋_GB2312" w:cs="仿宋_GB2312"/>
          <w:sz w:val="28"/>
          <w:szCs w:val="28"/>
          <w:shd w:val="clear" w:color="auto" w:fill="FFFFFF"/>
        </w:rPr>
        <w:t>乙</w:t>
      </w:r>
      <w:r>
        <w:rPr>
          <w:rFonts w:hint="eastAsia" w:ascii="仿宋_GB2312" w:hAnsi="仿宋_GB2312" w:eastAsia="仿宋_GB2312" w:cs="仿宋_GB2312"/>
          <w:color w:val="000000"/>
          <w:sz w:val="28"/>
          <w:szCs w:val="28"/>
        </w:rPr>
        <w:t>方负担。</w:t>
      </w:r>
      <w:r>
        <w:rPr>
          <w:rFonts w:hint="eastAsia" w:ascii="仿宋_GB2312" w:hAnsi="仿宋_GB2312" w:eastAsia="仿宋_GB2312" w:cs="仿宋_GB2312"/>
          <w:sz w:val="28"/>
          <w:szCs w:val="28"/>
        </w:rPr>
        <w:t>合同如有争议，双方应协商解决，不能解决的，</w:t>
      </w:r>
      <w:r>
        <w:rPr>
          <w:rFonts w:hint="eastAsia" w:ascii="仿宋_GB2312" w:hAnsi="仿宋_GB2312" w:eastAsia="仿宋_GB2312" w:cs="仿宋_GB2312"/>
          <w:color w:val="000000"/>
          <w:sz w:val="28"/>
          <w:szCs w:val="28"/>
        </w:rPr>
        <w:t>可提交深圳福田区人民法院起诉。</w:t>
      </w:r>
      <w:r>
        <w:rPr>
          <w:rFonts w:hint="eastAsia" w:ascii="仿宋_GB2312" w:hAnsi="仿宋_GB2312" w:eastAsia="仿宋_GB2312" w:cs="仿宋_GB2312"/>
          <w:sz w:val="28"/>
          <w:szCs w:val="28"/>
        </w:rPr>
        <w:t>合同内容如与国家法律、法规和规章相违背，应服从法律、法规和规章的规定。</w:t>
      </w:r>
    </w:p>
    <w:p>
      <w:pPr>
        <w:pageBreakBefore w:val="0"/>
        <w:kinsoku/>
        <w:wordWrap/>
        <w:overflowPunct/>
        <w:topLinePunct w:val="0"/>
        <w:autoSpaceDE w:val="0"/>
        <w:autoSpaceDN w:val="0"/>
        <w:bidi w:val="0"/>
        <w:snapToGrid/>
        <w:spacing w:line="560" w:lineRule="exact"/>
        <w:ind w:firstLine="640" w:firstLineChars="200"/>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 xml:space="preserve"> 四</w:t>
      </w:r>
      <w:r>
        <w:rPr>
          <w:rFonts w:hint="eastAsia" w:ascii="仿宋_GB2312" w:hAnsi="仿宋_GB2312" w:eastAsia="仿宋_GB2312" w:cs="仿宋_GB2312"/>
          <w:b/>
          <w:bCs/>
          <w:sz w:val="28"/>
          <w:szCs w:val="28"/>
          <w:lang w:eastAsia="zh-CN"/>
        </w:rPr>
        <w:t>、</w:t>
      </w:r>
      <w:r>
        <w:rPr>
          <w:rFonts w:hint="eastAsia" w:ascii="黑体" w:hAnsi="黑体" w:eastAsia="黑体" w:cs="黑体"/>
          <w:b w:val="0"/>
          <w:bCs/>
          <w:sz w:val="32"/>
          <w:szCs w:val="32"/>
          <w:lang w:eastAsia="zh-CN"/>
        </w:rPr>
        <w:t>公开征集要求及时限</w:t>
      </w:r>
    </w:p>
    <w:p>
      <w:pPr>
        <w:pStyle w:val="4"/>
        <w:pageBreakBefore w:val="0"/>
        <w:numPr>
          <w:ilvl w:val="0"/>
          <w:numId w:val="0"/>
        </w:numPr>
        <w:kinsoku/>
        <w:wordWrap/>
        <w:overflowPunct/>
        <w:topLinePunct w:val="0"/>
        <w:bidi w:val="0"/>
        <w:snapToGrid/>
        <w:spacing w:line="560" w:lineRule="exact"/>
        <w:ind w:left="480" w:leftChars="0" w:firstLine="560" w:firstLineChars="200"/>
        <w:rPr>
          <w:rFonts w:hint="eastAsia" w:ascii="仿宋_GB2312" w:eastAsia="仿宋_GB2312"/>
          <w:b w:val="0"/>
          <w:bCs w:val="0"/>
          <w:sz w:val="28"/>
          <w:szCs w:val="28"/>
        </w:rPr>
      </w:pPr>
      <w:r>
        <w:rPr>
          <w:rFonts w:hint="eastAsia" w:ascii="仿宋_GB2312" w:hAnsi="仿宋_GB2312" w:eastAsia="仿宋_GB2312" w:cs="仿宋_GB2312"/>
          <w:b w:val="0"/>
          <w:bCs w:val="0"/>
          <w:sz w:val="28"/>
          <w:szCs w:val="28"/>
          <w:lang w:val="en-US" w:eastAsia="zh-CN"/>
        </w:rPr>
        <w:t>响应投标单位请于2019年10月18日前，</w:t>
      </w:r>
      <w:r>
        <w:rPr>
          <w:rFonts w:hint="eastAsia" w:ascii="仿宋_GB2312" w:eastAsia="仿宋_GB2312"/>
          <w:b w:val="0"/>
          <w:bCs w:val="0"/>
          <w:sz w:val="28"/>
          <w:szCs w:val="28"/>
        </w:rPr>
        <w:t>将响应文件送达或邮寄至</w:t>
      </w:r>
      <w:r>
        <w:rPr>
          <w:rFonts w:hint="eastAsia" w:ascii="仿宋_GB2312" w:eastAsia="仿宋_GB2312"/>
          <w:b w:val="0"/>
          <w:bCs w:val="0"/>
          <w:sz w:val="28"/>
          <w:szCs w:val="28"/>
          <w:lang w:eastAsia="zh-CN"/>
        </w:rPr>
        <w:t>福田区新沙路</w:t>
      </w:r>
      <w:r>
        <w:rPr>
          <w:rFonts w:hint="eastAsia" w:ascii="仿宋_GB2312" w:eastAsia="仿宋_GB2312"/>
          <w:b w:val="0"/>
          <w:bCs w:val="0"/>
          <w:sz w:val="28"/>
          <w:szCs w:val="28"/>
          <w:lang w:val="en-US" w:eastAsia="zh-CN"/>
        </w:rPr>
        <w:t>60号沙头</w:t>
      </w:r>
      <w:r>
        <w:rPr>
          <w:rFonts w:hint="eastAsia" w:ascii="仿宋_GB2312" w:eastAsia="仿宋_GB2312"/>
          <w:b w:val="0"/>
          <w:bCs w:val="0"/>
          <w:sz w:val="28"/>
          <w:szCs w:val="28"/>
        </w:rPr>
        <w:t>街道</w:t>
      </w:r>
      <w:r>
        <w:rPr>
          <w:rFonts w:hint="eastAsia" w:ascii="仿宋_GB2312" w:eastAsia="仿宋_GB2312"/>
          <w:b w:val="0"/>
          <w:bCs w:val="0"/>
          <w:sz w:val="28"/>
          <w:szCs w:val="28"/>
          <w:lang w:val="en-US" w:eastAsia="zh-CN"/>
        </w:rPr>
        <w:t>201</w:t>
      </w:r>
      <w:r>
        <w:rPr>
          <w:rFonts w:hint="eastAsia" w:ascii="仿宋_GB2312" w:eastAsia="仿宋_GB2312"/>
          <w:b w:val="0"/>
          <w:bCs w:val="0"/>
          <w:sz w:val="28"/>
          <w:szCs w:val="28"/>
        </w:rPr>
        <w:t>社会管理办公室。</w:t>
      </w:r>
    </w:p>
    <w:p>
      <w:pPr>
        <w:pStyle w:val="6"/>
        <w:pageBreakBefore w:val="0"/>
        <w:widowControl/>
        <w:kinsoku/>
        <w:wordWrap/>
        <w:overflowPunct/>
        <w:topLinePunct w:val="0"/>
        <w:bidi w:val="0"/>
        <w:snapToGrid/>
        <w:spacing w:line="560" w:lineRule="exact"/>
        <w:ind w:firstLine="560" w:firstLineChars="200"/>
        <w:jc w:val="both"/>
        <w:rPr>
          <w:rFonts w:ascii="仿宋_GB2312" w:eastAsia="仿宋_GB2312"/>
          <w:bCs/>
          <w:sz w:val="28"/>
          <w:szCs w:val="28"/>
        </w:rPr>
      </w:pPr>
      <w:r>
        <w:rPr>
          <w:rFonts w:hint="eastAsia" w:ascii="仿宋_GB2312" w:eastAsia="仿宋_GB2312"/>
          <w:b w:val="0"/>
          <w:bCs w:val="0"/>
          <w:sz w:val="28"/>
          <w:szCs w:val="28"/>
          <w:lang w:val="en-US" w:eastAsia="zh-CN"/>
        </w:rPr>
        <w:t xml:space="preserve">     </w:t>
      </w:r>
      <w:r>
        <w:rPr>
          <w:rFonts w:hint="eastAsia" w:ascii="仿宋_GB2312" w:eastAsia="仿宋_GB2312"/>
          <w:bCs/>
          <w:sz w:val="28"/>
          <w:szCs w:val="28"/>
        </w:rPr>
        <w:t>响应文件包括但不限于以下内容：</w:t>
      </w:r>
    </w:p>
    <w:p>
      <w:pPr>
        <w:pStyle w:val="6"/>
        <w:pageBreakBefore w:val="0"/>
        <w:widowControl/>
        <w:kinsoku/>
        <w:wordWrap/>
        <w:overflowPunct/>
        <w:topLinePunct w:val="0"/>
        <w:bidi w:val="0"/>
        <w:snapToGrid/>
        <w:spacing w:line="560" w:lineRule="exact"/>
        <w:ind w:firstLine="1400" w:firstLineChars="500"/>
        <w:jc w:val="both"/>
        <w:rPr>
          <w:rFonts w:ascii="仿宋_GB2312" w:eastAsia="仿宋_GB2312"/>
          <w:bCs/>
          <w:sz w:val="28"/>
          <w:szCs w:val="28"/>
        </w:rPr>
      </w:pPr>
      <w:r>
        <w:rPr>
          <w:rFonts w:hint="eastAsia" w:ascii="仿宋_GB2312" w:eastAsia="仿宋_GB2312"/>
          <w:bCs/>
          <w:sz w:val="28"/>
          <w:szCs w:val="28"/>
        </w:rPr>
        <w:t>1.单位法人资格证明、授权委托书原件及授权委托人身份证复印件；</w:t>
      </w:r>
    </w:p>
    <w:p>
      <w:pPr>
        <w:pStyle w:val="6"/>
        <w:pageBreakBefore w:val="0"/>
        <w:widowControl/>
        <w:kinsoku/>
        <w:wordWrap/>
        <w:overflowPunct/>
        <w:topLinePunct w:val="0"/>
        <w:bidi w:val="0"/>
        <w:snapToGrid/>
        <w:spacing w:line="560" w:lineRule="exact"/>
        <w:ind w:firstLine="1400" w:firstLineChars="500"/>
        <w:jc w:val="both"/>
        <w:rPr>
          <w:rFonts w:ascii="仿宋_GB2312" w:eastAsia="仿宋_GB2312"/>
          <w:bCs/>
          <w:sz w:val="28"/>
          <w:szCs w:val="28"/>
        </w:rPr>
      </w:pPr>
      <w:r>
        <w:rPr>
          <w:rFonts w:hint="eastAsia" w:ascii="仿宋_GB2312" w:eastAsia="仿宋_GB2312"/>
          <w:bCs/>
          <w:sz w:val="28"/>
          <w:szCs w:val="28"/>
        </w:rPr>
        <w:t>2.单位法人登记证书；</w:t>
      </w:r>
    </w:p>
    <w:p>
      <w:pPr>
        <w:pStyle w:val="6"/>
        <w:pageBreakBefore w:val="0"/>
        <w:widowControl/>
        <w:kinsoku/>
        <w:wordWrap/>
        <w:overflowPunct/>
        <w:topLinePunct w:val="0"/>
        <w:bidi w:val="0"/>
        <w:snapToGrid/>
        <w:spacing w:line="560" w:lineRule="exact"/>
        <w:ind w:firstLine="1400" w:firstLineChars="500"/>
        <w:jc w:val="both"/>
        <w:rPr>
          <w:rFonts w:ascii="仿宋_GB2312" w:eastAsia="仿宋_GB2312"/>
          <w:bCs/>
          <w:sz w:val="28"/>
          <w:szCs w:val="28"/>
        </w:rPr>
      </w:pPr>
      <w:r>
        <w:rPr>
          <w:rFonts w:hint="eastAsia" w:ascii="仿宋_GB2312" w:eastAsia="仿宋_GB2312"/>
          <w:bCs/>
          <w:sz w:val="28"/>
          <w:szCs w:val="28"/>
        </w:rPr>
        <w:t>3.报价单；</w:t>
      </w:r>
    </w:p>
    <w:p>
      <w:pPr>
        <w:pStyle w:val="6"/>
        <w:pageBreakBefore w:val="0"/>
        <w:widowControl/>
        <w:kinsoku/>
        <w:wordWrap/>
        <w:overflowPunct/>
        <w:topLinePunct w:val="0"/>
        <w:bidi w:val="0"/>
        <w:snapToGrid/>
        <w:spacing w:line="560" w:lineRule="exact"/>
        <w:ind w:firstLine="1400" w:firstLineChars="500"/>
        <w:jc w:val="both"/>
        <w:rPr>
          <w:rFonts w:ascii="仿宋_GB2312" w:eastAsia="仿宋_GB2312"/>
          <w:bCs/>
          <w:sz w:val="28"/>
          <w:szCs w:val="28"/>
        </w:rPr>
      </w:pPr>
      <w:r>
        <w:rPr>
          <w:rFonts w:hint="eastAsia" w:ascii="仿宋_GB2312" w:eastAsia="仿宋_GB2312"/>
          <w:bCs/>
          <w:sz w:val="28"/>
          <w:szCs w:val="28"/>
        </w:rPr>
        <w:t>4.项目实施方案；</w:t>
      </w:r>
    </w:p>
    <w:p>
      <w:pPr>
        <w:pStyle w:val="6"/>
        <w:pageBreakBefore w:val="0"/>
        <w:widowControl/>
        <w:kinsoku/>
        <w:wordWrap/>
        <w:overflowPunct/>
        <w:topLinePunct w:val="0"/>
        <w:bidi w:val="0"/>
        <w:snapToGrid/>
        <w:spacing w:line="560" w:lineRule="exact"/>
        <w:ind w:firstLine="1400" w:firstLineChars="500"/>
        <w:jc w:val="both"/>
        <w:rPr>
          <w:rFonts w:ascii="仿宋_GB2312" w:eastAsia="仿宋_GB2312"/>
          <w:bCs/>
          <w:sz w:val="28"/>
          <w:szCs w:val="28"/>
        </w:rPr>
      </w:pPr>
      <w:r>
        <w:rPr>
          <w:rFonts w:hint="eastAsia" w:ascii="仿宋_GB2312" w:eastAsia="仿宋_GB2312"/>
          <w:bCs/>
          <w:sz w:val="28"/>
          <w:szCs w:val="28"/>
        </w:rPr>
        <w:t>5.履约承诺书。</w:t>
      </w:r>
    </w:p>
    <w:p>
      <w:pPr>
        <w:pageBreakBefore w:val="0"/>
        <w:kinsoku/>
        <w:wordWrap/>
        <w:overflowPunct/>
        <w:topLinePunct w:val="0"/>
        <w:autoSpaceDE w:val="0"/>
        <w:autoSpaceDN w:val="0"/>
        <w:bidi w:val="0"/>
        <w:snapToGrid/>
        <w:spacing w:line="560" w:lineRule="exact"/>
        <w:ind w:firstLine="560" w:firstLineChars="200"/>
        <w:jc w:val="left"/>
        <w:rPr>
          <w:rFonts w:hint="eastAsia" w:ascii="黑体" w:hAnsi="黑体" w:eastAsia="黑体" w:cs="黑体"/>
          <w:b w:val="0"/>
          <w:bCs/>
          <w:sz w:val="28"/>
          <w:szCs w:val="28"/>
          <w:lang w:eastAsia="zh-CN"/>
        </w:rPr>
      </w:pPr>
      <w:bookmarkStart w:id="0" w:name="_GoBack"/>
      <w:bookmarkEnd w:id="0"/>
    </w:p>
    <w:p>
      <w:pPr>
        <w:pageBreakBefore w:val="0"/>
        <w:kinsoku/>
        <w:wordWrap/>
        <w:overflowPunct/>
        <w:topLinePunct w:val="0"/>
        <w:bidi w:val="0"/>
        <w:snapToGrid/>
        <w:spacing w:line="560" w:lineRule="exact"/>
        <w:rPr>
          <w:rFonts w:hint="default" w:eastAsia="仿宋_GB2312"/>
          <w:sz w:val="28"/>
          <w:szCs w:val="28"/>
          <w:lang w:val="en-US" w:eastAsia="zh-CN"/>
        </w:rPr>
      </w:pPr>
    </w:p>
    <w:p>
      <w:pPr>
        <w:pStyle w:val="4"/>
        <w:pageBreakBefore w:val="0"/>
        <w:kinsoku/>
        <w:wordWrap/>
        <w:overflowPunct/>
        <w:topLinePunct w:val="0"/>
        <w:autoSpaceDE/>
        <w:autoSpaceDN/>
        <w:bidi w:val="0"/>
        <w:adjustRightInd/>
        <w:snapToGrid/>
        <w:spacing w:line="570" w:lineRule="exact"/>
        <w:ind w:firstLine="640"/>
        <w:jc w:val="right"/>
        <w:textAlignment w:val="auto"/>
        <w:rPr>
          <w:rFonts w:hint="eastAsia"/>
          <w:sz w:val="28"/>
          <w:szCs w:val="28"/>
        </w:rPr>
      </w:pPr>
    </w:p>
    <w:p>
      <w:pPr>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3A8"/>
    <w:multiLevelType w:val="singleLevel"/>
    <w:tmpl w:val="5AB0E3A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1051B"/>
    <w:rsid w:val="23CB0DB0"/>
    <w:rsid w:val="3E1572D2"/>
    <w:rsid w:val="5511051B"/>
    <w:rsid w:val="6DAC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4"/>
    <w:unhideWhenUsed/>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uiPriority w:val="0"/>
    <w:pPr>
      <w:ind w:firstLine="420"/>
    </w:pPr>
    <w:rPr>
      <w:szCs w:val="20"/>
    </w:rPr>
  </w:style>
  <w:style w:type="paragraph" w:styleId="6">
    <w:name w:val="Normal (Web)"/>
    <w:basedOn w:val="1"/>
    <w:qFormat/>
    <w:uiPriority w:val="0"/>
    <w:pPr>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2019-04-12T02:15:00Z</dcterms:created>
  <dc:creator>admin</dc:creator>
  <cp:lastModifiedBy>admin</cp:lastModifiedBy>
  <cp:lastPrinted>2019-10-11T03:24:57Z</cp:lastPrinted>
  <dcterms:modified xsi:type="dcterms:W3CDTF">2019-10-11T03:25:31Z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