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C3" w:rsidRPr="00B179E1" w:rsidRDefault="00AE7AC3" w:rsidP="00AE7AC3">
      <w:pPr>
        <w:pStyle w:val="a4"/>
        <w:widowControl/>
        <w:shd w:val="clear" w:color="auto" w:fill="FFFFFF"/>
        <w:spacing w:before="0" w:beforeAutospacing="0" w:after="375" w:afterAutospacing="0" w:line="320" w:lineRule="exact"/>
        <w:ind w:firstLine="640"/>
        <w:jc w:val="both"/>
        <w:rPr>
          <w:rFonts w:ascii="黑体" w:eastAsia="黑体" w:hAnsi="黑体" w:cs="黑体" w:hint="eastAsia"/>
          <w:bCs/>
          <w:sz w:val="32"/>
          <w:szCs w:val="32"/>
          <w:shd w:val="clear" w:color="auto" w:fill="FFFFFF"/>
        </w:rPr>
      </w:pPr>
      <w:r w:rsidRPr="00B179E1">
        <w:rPr>
          <w:rFonts w:ascii="黑体" w:eastAsia="黑体" w:hAnsi="黑体" w:cs="黑体" w:hint="eastAsia"/>
          <w:bCs/>
          <w:sz w:val="32"/>
          <w:szCs w:val="32"/>
          <w:shd w:val="clear" w:color="auto" w:fill="FFFFFF"/>
        </w:rPr>
        <w:t>附件二：</w:t>
      </w:r>
    </w:p>
    <w:p w:rsidR="00AE7AC3" w:rsidRPr="00B179E1" w:rsidRDefault="00AE7AC3" w:rsidP="00AE7AC3">
      <w:pPr>
        <w:pStyle w:val="a4"/>
        <w:widowControl/>
        <w:shd w:val="clear" w:color="auto" w:fill="FFFFFF"/>
        <w:spacing w:before="0" w:beforeAutospacing="0" w:after="375" w:afterAutospacing="0" w:line="320" w:lineRule="exact"/>
        <w:ind w:firstLine="640"/>
        <w:jc w:val="center"/>
        <w:rPr>
          <w:rFonts w:ascii="黑体" w:eastAsia="黑体" w:hAnsi="黑体" w:cs="黑体" w:hint="eastAsia"/>
          <w:bCs/>
          <w:sz w:val="32"/>
          <w:szCs w:val="32"/>
          <w:shd w:val="clear" w:color="auto" w:fill="FFFFFF"/>
        </w:rPr>
      </w:pPr>
      <w:bookmarkStart w:id="0" w:name="_GoBack"/>
      <w:r w:rsidRPr="00B179E1">
        <w:rPr>
          <w:rFonts w:ascii="黑体" w:eastAsia="黑体" w:hAnsi="黑体" w:cs="黑体" w:hint="eastAsia"/>
          <w:bCs/>
          <w:sz w:val="32"/>
          <w:szCs w:val="32"/>
          <w:shd w:val="clear" w:color="auto" w:fill="FFFFFF"/>
        </w:rPr>
        <w:t>福田区2016-2020年文体事业发展重大项目表</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firstRow="0" w:lastRow="0" w:firstColumn="0" w:lastColumn="0" w:noHBand="0" w:noVBand="0"/>
      </w:tblPr>
      <w:tblGrid>
        <w:gridCol w:w="923"/>
        <w:gridCol w:w="2130"/>
        <w:gridCol w:w="5917"/>
      </w:tblGrid>
      <w:tr w:rsidR="00AE7AC3" w:rsidTr="00065870">
        <w:trPr>
          <w:trHeight w:val="330"/>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tcPr>
          <w:bookmarkEnd w:id="0"/>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序号</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项目名称</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建设内容</w:t>
            </w:r>
          </w:p>
        </w:tc>
      </w:tr>
      <w:tr w:rsidR="00AE7AC3" w:rsidTr="00065870">
        <w:trPr>
          <w:trHeight w:val="2389"/>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1</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探索文化治理新模式</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深入推进文化议事会、文化场馆理事会等文化改革项目，从文化决策、执行、监督层面探索文化体制机制的有效突破，进一步实现文化议事的常态化、规范化运行，切实保障文化议员的审议权、表决权、建议权和质询权，推动文化议事决策实现成果转化，最终形成“文化决策全程把控、文化执行全程监督、文化成果全程评估”的新型全流程文化工作创新机制。</w:t>
            </w:r>
          </w:p>
        </w:tc>
      </w:tr>
      <w:tr w:rsidR="00AE7AC3" w:rsidTr="00065870">
        <w:trPr>
          <w:trHeight w:val="2106"/>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2</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创新公共文化服务的“福田标准”</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建立福田区公共文化服务标准体系。重点开展公共文化服务保障标准、管理服务标准和评价标准等基础标准的制修订，结合福田区十大文化功能区的现状，明确其在服务质量、服务设施、服务信息等领域急需制修订的重要标准，开展相应标准的制修订工作。开展公共文化服务领域标准宣传贯彻。全面推动公共文化服务领域标准化教育培训工作。开展基层公共文化服务“运行评估”和“绩效评价”标准化，加强标准化对福田区公共文化服务的技术支撑。</w:t>
            </w:r>
          </w:p>
        </w:tc>
      </w:tr>
      <w:tr w:rsidR="00AE7AC3" w:rsidTr="00065870">
        <w:trPr>
          <w:trHeight w:val="477"/>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3</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加强文化活动</w:t>
            </w:r>
          </w:p>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品牌管理</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065870">
            <w:pPr>
              <w:spacing w:line="350" w:lineRule="exact"/>
              <w:ind w:firstLineChars="200" w:firstLine="480"/>
              <w:outlineLvl w:val="2"/>
              <w:rPr>
                <w:rFonts w:ascii="仿宋_GB2312" w:eastAsia="仿宋_GB2312" w:hAnsi="仿宋" w:cs="仿宋" w:hint="eastAsia"/>
                <w:kern w:val="0"/>
                <w:sz w:val="24"/>
                <w:szCs w:val="24"/>
              </w:rPr>
            </w:pPr>
            <w:r w:rsidRPr="00350563">
              <w:rPr>
                <w:rFonts w:ascii="仿宋_GB2312" w:eastAsia="仿宋_GB2312" w:hAnsi="仿宋" w:cs="仿宋" w:hint="eastAsia"/>
                <w:kern w:val="0"/>
                <w:sz w:val="24"/>
                <w:szCs w:val="24"/>
              </w:rPr>
              <w:t>立足高雅文化、大众文化、青年文化、传统文化、国际文化五个层面深化精品文化活动建设成果，将品牌文化活动作为城区精神凝练、气质提升和形象营销的重要载体，让文化成为福田建设国际化城市中央活力区的靓丽名片和丰厚底蕴。高雅文化方面，将莲花山草地音乐节、郎朗·深圳福田国际钢琴艺术节、中国深圳双钢琴四手联弹邀请赛、深圳·福田当代</w:t>
            </w:r>
            <w:proofErr w:type="gramStart"/>
            <w:r w:rsidRPr="00350563">
              <w:rPr>
                <w:rFonts w:ascii="仿宋_GB2312" w:eastAsia="仿宋_GB2312" w:hAnsi="仿宋" w:cs="仿宋" w:hint="eastAsia"/>
                <w:kern w:val="0"/>
                <w:sz w:val="24"/>
                <w:szCs w:val="24"/>
              </w:rPr>
              <w:t>戏剧双</w:t>
            </w:r>
            <w:proofErr w:type="gramEnd"/>
            <w:r w:rsidRPr="00350563">
              <w:rPr>
                <w:rFonts w:ascii="仿宋_GB2312" w:eastAsia="仿宋_GB2312" w:hAnsi="仿宋" w:cs="仿宋" w:hint="eastAsia"/>
                <w:kern w:val="0"/>
                <w:sz w:val="24"/>
                <w:szCs w:val="24"/>
              </w:rPr>
              <w:t>年展、WDC世界杯国际标准</w:t>
            </w:r>
            <w:proofErr w:type="gramStart"/>
            <w:r w:rsidRPr="00350563">
              <w:rPr>
                <w:rFonts w:ascii="仿宋_GB2312" w:eastAsia="仿宋_GB2312" w:hAnsi="仿宋" w:cs="仿宋" w:hint="eastAsia"/>
                <w:kern w:val="0"/>
                <w:sz w:val="24"/>
                <w:szCs w:val="24"/>
              </w:rPr>
              <w:t>舞世界</w:t>
            </w:r>
            <w:proofErr w:type="gramEnd"/>
            <w:r w:rsidRPr="00350563">
              <w:rPr>
                <w:rFonts w:ascii="仿宋_GB2312" w:eastAsia="仿宋_GB2312" w:hAnsi="仿宋" w:cs="仿宋" w:hint="eastAsia"/>
                <w:kern w:val="0"/>
                <w:sz w:val="24"/>
                <w:szCs w:val="24"/>
              </w:rPr>
              <w:t>公开赛等活动打造成具有福田特色、中国气派和国际影响的文化品牌；大众文化方面，将“福田文化空间”百场公益文化活动进社区、“华强北好声音”暨周末广场音乐</w:t>
            </w:r>
            <w:proofErr w:type="gramStart"/>
            <w:r w:rsidRPr="00350563">
              <w:rPr>
                <w:rFonts w:ascii="仿宋_GB2312" w:eastAsia="仿宋_GB2312" w:hAnsi="仿宋" w:cs="仿宋" w:hint="eastAsia"/>
                <w:kern w:val="0"/>
                <w:sz w:val="24"/>
                <w:szCs w:val="24"/>
              </w:rPr>
              <w:t>荟</w:t>
            </w:r>
            <w:proofErr w:type="gramEnd"/>
            <w:r w:rsidRPr="00350563">
              <w:rPr>
                <w:rFonts w:ascii="仿宋_GB2312" w:eastAsia="仿宋_GB2312" w:hAnsi="仿宋" w:cs="仿宋" w:hint="eastAsia"/>
                <w:kern w:val="0"/>
                <w:sz w:val="24"/>
                <w:szCs w:val="24"/>
              </w:rPr>
              <w:t>、福田</w:t>
            </w:r>
            <w:proofErr w:type="gramStart"/>
            <w:r w:rsidRPr="00350563">
              <w:rPr>
                <w:rFonts w:ascii="仿宋_GB2312" w:eastAsia="仿宋_GB2312" w:hAnsi="仿宋" w:cs="仿宋" w:hint="eastAsia"/>
                <w:kern w:val="0"/>
                <w:sz w:val="24"/>
                <w:szCs w:val="24"/>
              </w:rPr>
              <w:t>区主题</w:t>
            </w:r>
            <w:proofErr w:type="gramEnd"/>
            <w:r w:rsidRPr="00350563">
              <w:rPr>
                <w:rFonts w:ascii="仿宋_GB2312" w:eastAsia="仿宋_GB2312" w:hAnsi="仿宋" w:cs="仿宋" w:hint="eastAsia"/>
                <w:kern w:val="0"/>
                <w:sz w:val="24"/>
                <w:szCs w:val="24"/>
              </w:rPr>
              <w:t>文化馆艺术节、“托起梦想”公益培训工程打造成凝聚城区精神、凸显城区魅力、引导居民融入城区生活、在福田安居乐业的群众文化活动精品；青年文化方面，把中国（深圳）国际嘻哈文化节、深圳</w:t>
            </w:r>
            <w:r w:rsidRPr="00350563">
              <w:rPr>
                <w:rFonts w:ascii="仿宋_GB2312" w:eastAsia="仿宋_GB2312" w:hAnsi="仿宋" w:cs="仿宋" w:hint="eastAsia"/>
                <w:kern w:val="0"/>
                <w:sz w:val="24"/>
                <w:szCs w:val="24"/>
              </w:rPr>
              <w:lastRenderedPageBreak/>
              <w:t>国际打击乐文化节等文化活动打造成青年市民分享文化发展成果、展示文艺才能的城区舞台；传统文化方面，着力培育“福田·传承”非物质文化遗产展示活动、方锦龙·深圳（福田）民族民间音乐节等文化活动品牌；国际文化方面，举办福田·香蜜湖中外国际社区嘉年华、深圳（福田）东海国际文化艺术节、深圳（福田）国际城区影像节等品牌活动，彰显福田区高品质国际化中央活力</w:t>
            </w:r>
            <w:proofErr w:type="gramStart"/>
            <w:r w:rsidRPr="00350563">
              <w:rPr>
                <w:rFonts w:ascii="仿宋_GB2312" w:eastAsia="仿宋_GB2312" w:hAnsi="仿宋" w:cs="仿宋" w:hint="eastAsia"/>
                <w:kern w:val="0"/>
                <w:sz w:val="24"/>
                <w:szCs w:val="24"/>
              </w:rPr>
              <w:t>区特色</w:t>
            </w:r>
            <w:proofErr w:type="gramEnd"/>
            <w:r w:rsidRPr="00350563">
              <w:rPr>
                <w:rFonts w:ascii="仿宋_GB2312" w:eastAsia="仿宋_GB2312" w:hAnsi="仿宋" w:cs="仿宋" w:hint="eastAsia"/>
                <w:kern w:val="0"/>
                <w:sz w:val="24"/>
                <w:szCs w:val="24"/>
              </w:rPr>
              <w:t>魅力。为配合深圳改革开放40周年、福田建区30周年等重大节庆活动，“十三五”期间将规划打造“福田文化30年”等系列主题文化活动，凸显福田改革创新、开放多元、先锋创意等多元文化特质。</w:t>
            </w:r>
          </w:p>
        </w:tc>
      </w:tr>
      <w:tr w:rsidR="00AE7AC3" w:rsidTr="00065870">
        <w:trPr>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lastRenderedPageBreak/>
              <w:t>4</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建设福田“十大文化功能区”升级版</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 xml:space="preserve">夯实主题文化馆、图书馆和博物馆等传统文化阵地；开发公园、广场和地铁等新兴文化空间潜能；优化戏剧、公共艺术和街道等特色文化载体；拓展数字文体服务空间，打造全媒体融合平台等具体举措着力打造国家公共文化服务体系示范区。 </w:t>
            </w:r>
          </w:p>
        </w:tc>
      </w:tr>
      <w:tr w:rsidR="00AE7AC3" w:rsidTr="00065870">
        <w:trPr>
          <w:trHeight w:val="90"/>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5</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创新社会资源参与公共文化模式</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创新发展福田特色“1+1+N”制度，开辟公共文化服务社会化运作新路径；提高公共文化购买与资助力度，建立文化采购与文化资源、文化服务与文化需求的“双向选择平台”；实施文化志愿者提升工程，探索公共文化服务主体多元化。将福田文化志愿者服务总队登记注册为社会组织法人“福田区文化志愿者协会”，引导和规范全区文化志愿服务工作，逐步推动志愿者成为公共文化服务主体的重要组成部分。</w:t>
            </w:r>
          </w:p>
        </w:tc>
      </w:tr>
      <w:tr w:rsidR="00AE7AC3" w:rsidTr="00065870">
        <w:trPr>
          <w:trHeight w:val="336"/>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6</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拓展互联网+公共文化服务模式</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line="350" w:lineRule="exact"/>
              <w:ind w:firstLineChars="200" w:firstLine="480"/>
              <w:jc w:val="both"/>
              <w:rPr>
                <w:rFonts w:ascii="仿宋_GB2312" w:hAnsi="仿宋" w:cs="仿宋" w:hint="eastAsia"/>
                <w:szCs w:val="24"/>
              </w:rPr>
            </w:pPr>
            <w:r w:rsidRPr="00350563">
              <w:rPr>
                <w:rFonts w:ascii="仿宋_GB2312" w:hAnsi="仿宋" w:cs="仿宋" w:hint="eastAsia"/>
                <w:szCs w:val="24"/>
              </w:rPr>
              <w:t>结合福田区智慧城市建设，运用物联网、云计算、大数据集成等新一代信息技术，建设包括文化信息交流平台、公共文体服务平台、宣传推广平台、文化市场监管预警监测平台、区域品牌活动管理平台于一体的综合性平台。通过公共文化服务云平台，聚合区内公共文化机构服务资源，搜集福田地方文献、展览演出、讲座培训及原创纪录片等资料，形成具有区域特色的公共文化服务资源数据库；借力大数据技术，对公共文化服务受众数据进行相关性分析，精准对接公众文化需求。</w:t>
            </w:r>
          </w:p>
        </w:tc>
      </w:tr>
      <w:tr w:rsidR="00AE7AC3" w:rsidTr="00065870">
        <w:trPr>
          <w:trHeight w:val="2333"/>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lastRenderedPageBreak/>
              <w:t>7</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建设安托山</w:t>
            </w:r>
          </w:p>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博物馆群</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高标准、高起点规划和建设安托山博物馆群，建设一个集博物、博览、旅游、休闲、教育、商贸等功能于一体的“博物馆特区”，涵盖创意设计、高端印刷、改革开放、现当代艺术、玉石文化、收藏等约30个主题博物馆，全面展示深圳的历史、地域风情和馆藏能力、策展能力，将“安托山博物馆群”建成彰显福田地域特色、文化特质和风土人情的文化新地标。</w:t>
            </w:r>
          </w:p>
        </w:tc>
      </w:tr>
      <w:tr w:rsidR="00AE7AC3" w:rsidTr="00065870">
        <w:trPr>
          <w:trHeight w:val="2105"/>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8</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完善全民健身</w:t>
            </w:r>
          </w:p>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服务体系</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推进体育设施网络化建设，构建“百米健身圈”；培育创新城市群众体育新名片，重点建设群众体育品牌项目“福田健身房”和“全民健身节”，充分整合利用福田公共体育资源，为辖区居民提供免费开放、场地设施服务、体质监测、体育指导、群体活动等五大板块的综合性服务，推动全民健身运动大发展。</w:t>
            </w:r>
          </w:p>
        </w:tc>
      </w:tr>
      <w:tr w:rsidR="00AE7AC3" w:rsidTr="00065870">
        <w:trPr>
          <w:trHeight w:val="2775"/>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9</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文化市场技术监管平台建设工程</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积极推进全国文化市场技术监管平台建设，用科技手段不断提升文化市场管理和服务水平；合理利用信息网络技术实现文化市场经营场所在线即时监督监测和非现场监管执法,实现数字化、网格化监管新常态,充分运用移动执法、电子案卷等手段，提高执法效能；及时公开执法案件主体信息、案由、处罚依据和处罚结果，提高执法的透明度和公信力，以科技手段确保文化市场健康有序发展。</w:t>
            </w:r>
          </w:p>
        </w:tc>
      </w:tr>
      <w:tr w:rsidR="00AE7AC3" w:rsidTr="00065870">
        <w:trPr>
          <w:trHeight w:val="193"/>
          <w:jc w:val="center"/>
        </w:trPr>
        <w:tc>
          <w:tcPr>
            <w:tcW w:w="923"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10</w:t>
            </w:r>
          </w:p>
        </w:tc>
        <w:tc>
          <w:tcPr>
            <w:tcW w:w="2130"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提升福田国际</w:t>
            </w:r>
          </w:p>
          <w:p w:rsidR="00AE7AC3" w:rsidRPr="00EC67E8" w:rsidRDefault="00AE7AC3" w:rsidP="00AE7AC3">
            <w:pPr>
              <w:pStyle w:val="a4"/>
              <w:widowControl/>
              <w:spacing w:before="0" w:beforeAutospacing="0" w:after="0" w:afterAutospacing="0" w:line="360" w:lineRule="atLeast"/>
              <w:ind w:firstLine="422"/>
              <w:jc w:val="center"/>
              <w:rPr>
                <w:rFonts w:ascii="黑体" w:eastAsia="黑体" w:hAnsi="黑体" w:cs="仿宋" w:hint="eastAsia"/>
                <w:b/>
                <w:szCs w:val="24"/>
              </w:rPr>
            </w:pPr>
            <w:r w:rsidRPr="00EC67E8">
              <w:rPr>
                <w:rFonts w:ascii="黑体" w:eastAsia="黑体" w:hAnsi="黑体" w:cs="仿宋" w:hint="eastAsia"/>
                <w:b/>
                <w:szCs w:val="24"/>
              </w:rPr>
              <w:t>文化形象</w:t>
            </w:r>
          </w:p>
        </w:tc>
        <w:tc>
          <w:tcPr>
            <w:tcW w:w="5917" w:type="dxa"/>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tcPr>
          <w:p w:rsidR="00AE7AC3" w:rsidRPr="00350563" w:rsidRDefault="00AE7AC3" w:rsidP="00AE7AC3">
            <w:pPr>
              <w:pStyle w:val="a4"/>
              <w:widowControl/>
              <w:spacing w:before="0" w:beforeAutospacing="0" w:after="0" w:afterAutospacing="0" w:line="350" w:lineRule="exact"/>
              <w:ind w:firstLineChars="200" w:firstLine="480"/>
              <w:jc w:val="both"/>
              <w:rPr>
                <w:rFonts w:ascii="仿宋_GB2312" w:hAnsi="仿宋" w:cs="仿宋" w:hint="eastAsia"/>
                <w:szCs w:val="24"/>
              </w:rPr>
            </w:pPr>
            <w:r w:rsidRPr="00350563">
              <w:rPr>
                <w:rFonts w:ascii="仿宋_GB2312" w:hAnsi="仿宋" w:cs="仿宋" w:hint="eastAsia"/>
                <w:szCs w:val="24"/>
              </w:rPr>
              <w:t>到2020年，建成比较完善的国际性文化设施体系，标志性文化设施全面建成并在国际上形成一定的知名度和影响力，文化创意空间比较完善，形成比较完整、合理的国际化文化空间体系；拥有3-5位国际知名文化艺术人才；具有国际视野的文化创意人才成为文化艺术人才队伍核心层；打造5-8个具有较高国际知名度和影响力的精品文化活动；重视以网络、手机为代表的新兴媒体推广，支持以福田区为背景的电影拍摄，鼓励与外方开展电影拍摄国际合作，在电影中融入“福田元素”。</w:t>
            </w:r>
          </w:p>
        </w:tc>
      </w:tr>
    </w:tbl>
    <w:p w:rsidR="00AE7AC3" w:rsidRDefault="00AE7AC3" w:rsidP="00AE7AC3">
      <w:pPr>
        <w:rPr>
          <w:rFonts w:ascii="宋体" w:hAnsi="宋体" w:hint="eastAsia"/>
          <w:b/>
          <w:sz w:val="24"/>
          <w:szCs w:val="28"/>
        </w:rPr>
      </w:pPr>
    </w:p>
    <w:p w:rsidR="00AE7AC3" w:rsidRDefault="00AE7AC3" w:rsidP="00AE7AC3">
      <w:pPr>
        <w:rPr>
          <w:rFonts w:ascii="宋体" w:hAnsi="宋体" w:hint="eastAsia"/>
          <w:b/>
          <w:sz w:val="24"/>
          <w:szCs w:val="28"/>
        </w:rPr>
      </w:pPr>
    </w:p>
    <w:p w:rsidR="00EC410D" w:rsidRPr="00AE7AC3" w:rsidRDefault="00EC410D" w:rsidP="00AE7AC3"/>
    <w:sectPr w:rsidR="00EC410D" w:rsidRPr="00AE7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36"/>
    <w:rsid w:val="005B4313"/>
    <w:rsid w:val="006D13FA"/>
    <w:rsid w:val="00AE7AC3"/>
    <w:rsid w:val="00C409CC"/>
    <w:rsid w:val="00C52736"/>
    <w:rsid w:val="00EC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3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09CC"/>
    <w:pPr>
      <w:ind w:firstLineChars="200" w:firstLine="420"/>
    </w:pPr>
    <w:rPr>
      <w:rFonts w:ascii="Times New Roman" w:hAnsi="Times New Roman"/>
      <w:szCs w:val="24"/>
    </w:rPr>
  </w:style>
  <w:style w:type="paragraph" w:styleId="a4">
    <w:name w:val="Normal (Web)"/>
    <w:basedOn w:val="a"/>
    <w:rsid w:val="00C52736"/>
    <w:pPr>
      <w:spacing w:before="100" w:beforeAutospacing="1" w:after="100" w:afterAutospacing="1"/>
      <w:jc w:val="left"/>
    </w:pPr>
    <w:rPr>
      <w:rFonts w:eastAsia="仿宋_GB2312"/>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3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09CC"/>
    <w:pPr>
      <w:ind w:firstLineChars="200" w:firstLine="420"/>
    </w:pPr>
    <w:rPr>
      <w:rFonts w:ascii="Times New Roman" w:hAnsi="Times New Roman"/>
      <w:szCs w:val="24"/>
    </w:rPr>
  </w:style>
  <w:style w:type="paragraph" w:styleId="a4">
    <w:name w:val="Normal (Web)"/>
    <w:basedOn w:val="a"/>
    <w:rsid w:val="00C52736"/>
    <w:pPr>
      <w:spacing w:before="100" w:beforeAutospacing="1" w:after="100" w:afterAutospacing="1"/>
      <w:jc w:val="left"/>
    </w:pPr>
    <w:rPr>
      <w:rFonts w:eastAsia="仿宋_GB231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2026</Characters>
  <Application>Microsoft Office Word</Application>
  <DocSecurity>0</DocSecurity>
  <Lines>16</Lines>
  <Paragraphs>4</Paragraphs>
  <ScaleCrop>false</ScaleCrop>
  <Company>微软中国</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2016-04-18T06:41:00Z</dcterms:created>
  <dcterms:modified xsi:type="dcterms:W3CDTF">2016-04-18T06:41:00Z</dcterms:modified>
</cp:coreProperties>
</file>