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关于进一步加强“前置管理”防控违法建设行为的工作指引</w:t>
      </w:r>
    </w:p>
    <w:p>
      <w:pPr>
        <w:pStyle w:val="3"/>
        <w:numPr>
          <w:ilvl w:val="0"/>
          <w:numId w:val="1"/>
        </w:numPr>
        <w:bidi w:val="0"/>
        <w:ind w:firstLine="643" w:firstLineChars="200"/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总则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第一条 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工作目标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】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通过“前置管理”实现违建防控重心前移，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预防新建项目利用预留空间实施集体违法建设行为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，实现新建项目违建“零增量”，降低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执法过程中的矛盾冲突，提高行政效率，节约行政成本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pStyle w:val="3"/>
        <w:bidi w:val="0"/>
        <w:ind w:firstLine="321" w:firstLineChars="1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第二章 防控范围</w:t>
      </w:r>
    </w:p>
    <w:p>
      <w:pPr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第二条 【防控范围】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本指引所称新建项目是指辖区内商业类、住宅类、办公类等非政府全额投资的新建设项目。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对辖区内新建项目开展规划验收前、中、后全过程防控，防止出现新建项目集体违建行为。</w:t>
      </w:r>
    </w:p>
    <w:p>
      <w:pPr>
        <w:pStyle w:val="3"/>
        <w:bidi w:val="0"/>
        <w:ind w:firstLine="321" w:firstLineChars="100"/>
        <w:jc w:val="center"/>
        <w:rPr>
          <w:rFonts w:hint="eastAsia" w:ascii="Arial" w:hAnsi="Arial" w:eastAsia="黑体" w:cs="Times New Roman"/>
          <w:b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b/>
          <w:kern w:val="2"/>
          <w:sz w:val="32"/>
          <w:szCs w:val="24"/>
          <w:lang w:val="en-US" w:eastAsia="zh-CN" w:bidi="ar-SA"/>
        </w:rPr>
        <w:t xml:space="preserve">第三章 </w:t>
      </w:r>
      <w:r>
        <w:rPr>
          <w:rFonts w:hint="eastAsia" w:ascii="Arial" w:hAnsi="Arial" w:eastAsia="黑体" w:cs="Times New Roman"/>
          <w:b/>
          <w:kern w:val="2"/>
          <w:sz w:val="32"/>
          <w:szCs w:val="24"/>
          <w:lang w:val="en-US" w:eastAsia="zh-CN" w:bidi="ar-SA"/>
        </w:rPr>
        <w:t>事前介入</w:t>
      </w:r>
    </w:p>
    <w:p>
      <w:pPr>
        <w:numPr>
          <w:ilvl w:val="0"/>
          <w:numId w:val="0"/>
        </w:numPr>
        <w:bidi w:val="0"/>
        <w:ind w:firstLine="643" w:firstLineChars="200"/>
        <w:rPr>
          <w:rFonts w:hint="default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第三条 【摸排辖区在建项目】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街道规划土地监察机构应对本辖区内新建项目进行摸排登记，将项目建设基本情况登记造册，内容包括项目的名称、位置、开发商名称、项目占地面积、批准的栋数、层数、建筑面积、当前建设情况、预期竣工时间等信息，根据“一个新建项目一本台账”的原则，制定对应项目台账，动态维护台账信息。</w:t>
      </w:r>
    </w:p>
    <w:p>
      <w:pPr>
        <w:pStyle w:val="4"/>
        <w:numPr>
          <w:ilvl w:val="0"/>
          <w:numId w:val="0"/>
        </w:numPr>
        <w:bidi w:val="0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第四条 【项目建设“双约谈”】 </w:t>
      </w: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区、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街规划土地监察机构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提前介入项目建设过程，主动对项目开发商开展“双约谈”。第一次约谈由辖区街道规划土地监察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机构负责人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和一名执法人员共至少两名人员实施，第二次约谈由区规划土地监察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机构负责人和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执法监督科工作人员共至少两名人员实施。</w:t>
      </w:r>
    </w:p>
    <w:p>
      <w:pPr>
        <w:pStyle w:val="4"/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约谈人应当在约谈现场向被约谈人出示执法证件或工作证件，向被约谈人了解核实新建项目基本情况，讲解违反规划土地法律法规的法律责任，做好风险预防。</w:t>
      </w:r>
    </w:p>
    <w:p>
      <w:pPr>
        <w:pStyle w:val="4"/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约谈情况应当书面记录。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第五条【法制宣传】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区、街规划土地监察机构应当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利用报刊、电子屏、宣传栏、广播、网络等新闻媒介，广泛宣传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规划土地法律法规知识和违法建筑的危害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；利用项目开盘销售之机及其他重要节点，在项目销售现场开展有针对性的设点宣传活动，宣传内容包括违法建设行为的危害、当事人需要承担的法律风险、经济风险、社会风险等。</w:t>
      </w: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第四章 事中参与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第六条 【参与项目规划验收】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市规划和自然资源局福田管理局、区城市更新和土地整备局组织对新建项目进行规划验收，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区、街规划土地监察机构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应当派员参与。验收前由辖区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街道规划土地监察机构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向审批部门提前调取对应项目的建设用地规划许可证、建设工程规划许可证、经批准的建设施工图纸，验收时区、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街规划土地监察工作人员依照图纸对建设现场进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行比对，预判违法建设风险点，并做好记录。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规划土地监察机构可聘请专业顾问公司参与验收。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第七条 【形成规划验收报告】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规划土地监察机构工作人员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应当于验收结束3日内完成规划验收情况报告报机构负责人审批，同时抄送辖区街道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规划土地监察机构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报告应当记录验收的时间、地点、验收人员及其他在场人员、验收经过、验收结果，详细记录违法建设风险点的方位、可能出现的违建形式、面积等情况并附照片。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报告可在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专业顾问公司的协助下完成。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规划验收情况报告将作为巡查防控和追究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规划土地监察人员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行政责任及法律责任的依据。</w:t>
      </w:r>
    </w:p>
    <w:p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第五章 事后监管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八条 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巡查防控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】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辖区街道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规划土地监察机构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应当对每一个新建项目配备巡查防控责任人，对辖区内新建项目开展日常巡查，及时发现违建苗头，其中，对参与规划验收的项目以看现场的当日起要做到每日巡查。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建立日常巡查记录表，内容包括巡查时间、巡查人员、巡查项目情况（包括项目名称、位置、建设情况、风险点现状）等。记录巡查情况应归入台账管理。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巡查实行定期报告制度和专项报告制度：定期报告是指街道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规划土地监察机构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对于辖区内新建项目的每月建设情况及巡查情况向区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规划土地监察机构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告，无论是否发现规划违法行为和土地违法行为，均应当向区规划土地监察机构报告巡查结果；专项报告是指巡查人员在巡查中发现重大、突发性规划违法行为和土地违法行为时，及时向区规划土地监察机构报告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第九条 【监督指导】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规划土地监察机构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应当对每一个新建楼盘配备一名督导责任人,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每月对辖区新建项目开展一次全面巡查，具体由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规划土地监察局事务中心负责实施。每月向机构负责人报告巡查情况，重大、突发问题及时报告。巡查情况应当记录在案。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第十条 【利用科技】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规划土地监察机构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可以借助科技手段，利用天眼、卫星遥感等先进技术，对新建项目情况进行实时监控、实时把握，防范违法建设行为的发生。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第十一条 【立案查处】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区、街规划土地监察人员应当将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巡查发现的规划、土地违法线索及时录入规划土地监察平台办理，符合立案条件的应当在十个工作日内立案，依照法定程序查清案件事实，不得在平台外仅以纸质立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案的形式办理。</w:t>
      </w:r>
    </w:p>
    <w:p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第六章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责任追究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第十二条 【严格责任】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区规划土地监察机构有权对各街道规划土地监察人员违反“管理前置”违建防控工作指引的行为进行纠正、责令改正，发现规划土地监察人员有违反本指引的重大违规行为的，由区规划土地监察机构转报上级行政机关、移交行政监察机关处理。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重大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违规行为包括：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（一）在辖区内不履行日常巡查职责，未能及时发现新建项目规划违法行为或者土地违法行为，情节严重的；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（二）发现新建项目规划违法行为或者土地违法行为不制止、不报告，情节严重的；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（三）对新建项目规划违法行为或者土地违法行为不依法处理，情节严重的；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（四）其他不履行法定职责的。</w:t>
      </w:r>
    </w:p>
    <w:p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第七章  附则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十三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【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发布实施】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指引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自发布之日起施行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8F56DCC2-9C68-4395-8CFB-52927521FFA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C7F3656-61FC-4CCA-ACAD-C4D7ACD3109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394DEAC-C271-4AA8-9D35-CF68B2D0270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D6C2381-C0D4-4007-9FE1-0D0E5F23A44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1C00F5"/>
    <w:multiLevelType w:val="singleLevel"/>
    <w:tmpl w:val="D71C00F5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E0D14"/>
    <w:rsid w:val="00105E6A"/>
    <w:rsid w:val="01F22F84"/>
    <w:rsid w:val="01F46AE0"/>
    <w:rsid w:val="01F94740"/>
    <w:rsid w:val="0235224D"/>
    <w:rsid w:val="02C92A73"/>
    <w:rsid w:val="02DF58B5"/>
    <w:rsid w:val="03207A69"/>
    <w:rsid w:val="037B622F"/>
    <w:rsid w:val="037D0EEE"/>
    <w:rsid w:val="03BA2B12"/>
    <w:rsid w:val="050A22A1"/>
    <w:rsid w:val="051B0DF6"/>
    <w:rsid w:val="051C4361"/>
    <w:rsid w:val="05A560ED"/>
    <w:rsid w:val="05AD5991"/>
    <w:rsid w:val="06565C93"/>
    <w:rsid w:val="065C6BAA"/>
    <w:rsid w:val="06657385"/>
    <w:rsid w:val="067D2CAB"/>
    <w:rsid w:val="06913CD7"/>
    <w:rsid w:val="06B81514"/>
    <w:rsid w:val="06BF49D6"/>
    <w:rsid w:val="070C3517"/>
    <w:rsid w:val="07E81D29"/>
    <w:rsid w:val="081F64FB"/>
    <w:rsid w:val="08DA751A"/>
    <w:rsid w:val="09670863"/>
    <w:rsid w:val="0A1B067E"/>
    <w:rsid w:val="0A4E6C06"/>
    <w:rsid w:val="0A5B71DE"/>
    <w:rsid w:val="0AF44E5A"/>
    <w:rsid w:val="0B84023D"/>
    <w:rsid w:val="0BEB5A5C"/>
    <w:rsid w:val="0C242737"/>
    <w:rsid w:val="0C705297"/>
    <w:rsid w:val="0CCA5B24"/>
    <w:rsid w:val="0CCD42B8"/>
    <w:rsid w:val="0CE31C03"/>
    <w:rsid w:val="0CEB38EE"/>
    <w:rsid w:val="0DE606EB"/>
    <w:rsid w:val="0E596D77"/>
    <w:rsid w:val="0E83773E"/>
    <w:rsid w:val="0F101CE1"/>
    <w:rsid w:val="0FB101D4"/>
    <w:rsid w:val="10CD45C9"/>
    <w:rsid w:val="11E17C0D"/>
    <w:rsid w:val="11E4356F"/>
    <w:rsid w:val="11F95536"/>
    <w:rsid w:val="12274C04"/>
    <w:rsid w:val="12293F5B"/>
    <w:rsid w:val="122967DC"/>
    <w:rsid w:val="12484AB8"/>
    <w:rsid w:val="12877095"/>
    <w:rsid w:val="12A33A48"/>
    <w:rsid w:val="13366079"/>
    <w:rsid w:val="145E0D14"/>
    <w:rsid w:val="1500280D"/>
    <w:rsid w:val="15145607"/>
    <w:rsid w:val="15371C7A"/>
    <w:rsid w:val="15C74A70"/>
    <w:rsid w:val="15EF2B9A"/>
    <w:rsid w:val="160F0C78"/>
    <w:rsid w:val="16200FB0"/>
    <w:rsid w:val="16451579"/>
    <w:rsid w:val="16D47E41"/>
    <w:rsid w:val="16E611E2"/>
    <w:rsid w:val="16F4598B"/>
    <w:rsid w:val="170F39FF"/>
    <w:rsid w:val="17BC66A8"/>
    <w:rsid w:val="17C177EA"/>
    <w:rsid w:val="183A1DFF"/>
    <w:rsid w:val="18DB100B"/>
    <w:rsid w:val="18E965FD"/>
    <w:rsid w:val="191C40BF"/>
    <w:rsid w:val="19391841"/>
    <w:rsid w:val="19841575"/>
    <w:rsid w:val="19B7078C"/>
    <w:rsid w:val="19EC7DA0"/>
    <w:rsid w:val="1A253E09"/>
    <w:rsid w:val="1A2C56BF"/>
    <w:rsid w:val="1A552DCB"/>
    <w:rsid w:val="1A852BF5"/>
    <w:rsid w:val="1AFB1B84"/>
    <w:rsid w:val="1B751CE9"/>
    <w:rsid w:val="1C087B82"/>
    <w:rsid w:val="1CE63451"/>
    <w:rsid w:val="1D050C62"/>
    <w:rsid w:val="1D367061"/>
    <w:rsid w:val="1D406988"/>
    <w:rsid w:val="1D491D9D"/>
    <w:rsid w:val="1DD21372"/>
    <w:rsid w:val="1E147976"/>
    <w:rsid w:val="1E2F798F"/>
    <w:rsid w:val="1E585660"/>
    <w:rsid w:val="1F017C91"/>
    <w:rsid w:val="1F3D7605"/>
    <w:rsid w:val="21526C03"/>
    <w:rsid w:val="21B23190"/>
    <w:rsid w:val="21BD3160"/>
    <w:rsid w:val="21E3088C"/>
    <w:rsid w:val="21ED4111"/>
    <w:rsid w:val="21F64267"/>
    <w:rsid w:val="22CB31B4"/>
    <w:rsid w:val="23F10915"/>
    <w:rsid w:val="2518380E"/>
    <w:rsid w:val="256234FA"/>
    <w:rsid w:val="25A63A2D"/>
    <w:rsid w:val="25AD0EDB"/>
    <w:rsid w:val="264E208A"/>
    <w:rsid w:val="26D217B9"/>
    <w:rsid w:val="2702238D"/>
    <w:rsid w:val="27357420"/>
    <w:rsid w:val="28413CA2"/>
    <w:rsid w:val="28547E6C"/>
    <w:rsid w:val="285D0A5D"/>
    <w:rsid w:val="286B77AA"/>
    <w:rsid w:val="288B6077"/>
    <w:rsid w:val="28910E62"/>
    <w:rsid w:val="28957624"/>
    <w:rsid w:val="28AA2762"/>
    <w:rsid w:val="29243A91"/>
    <w:rsid w:val="29D65E52"/>
    <w:rsid w:val="29F50BB2"/>
    <w:rsid w:val="2A72673C"/>
    <w:rsid w:val="2A8F4242"/>
    <w:rsid w:val="2A975752"/>
    <w:rsid w:val="2A9B6013"/>
    <w:rsid w:val="2AA64F49"/>
    <w:rsid w:val="2AAC715A"/>
    <w:rsid w:val="2AEE0FFE"/>
    <w:rsid w:val="2B264C5F"/>
    <w:rsid w:val="2B2A0428"/>
    <w:rsid w:val="2BD516DA"/>
    <w:rsid w:val="2C2742E2"/>
    <w:rsid w:val="2C453865"/>
    <w:rsid w:val="2D3D769A"/>
    <w:rsid w:val="2DFE6155"/>
    <w:rsid w:val="2E1767C7"/>
    <w:rsid w:val="2E280757"/>
    <w:rsid w:val="2E65780D"/>
    <w:rsid w:val="2EA77081"/>
    <w:rsid w:val="2F0724AA"/>
    <w:rsid w:val="2FB62B8A"/>
    <w:rsid w:val="30351A72"/>
    <w:rsid w:val="30670946"/>
    <w:rsid w:val="3075397B"/>
    <w:rsid w:val="30A0714B"/>
    <w:rsid w:val="30D53580"/>
    <w:rsid w:val="312930FF"/>
    <w:rsid w:val="316E694B"/>
    <w:rsid w:val="31AD1D8D"/>
    <w:rsid w:val="31DD61B7"/>
    <w:rsid w:val="3270499B"/>
    <w:rsid w:val="32A33DC4"/>
    <w:rsid w:val="32C00F33"/>
    <w:rsid w:val="3327657F"/>
    <w:rsid w:val="33545A53"/>
    <w:rsid w:val="33A10BAD"/>
    <w:rsid w:val="33C602A7"/>
    <w:rsid w:val="33D87EA4"/>
    <w:rsid w:val="34785B4A"/>
    <w:rsid w:val="347E1796"/>
    <w:rsid w:val="34B222F3"/>
    <w:rsid w:val="35322377"/>
    <w:rsid w:val="355F5DDB"/>
    <w:rsid w:val="357C0AC8"/>
    <w:rsid w:val="35AE4906"/>
    <w:rsid w:val="35C22B5C"/>
    <w:rsid w:val="36034D27"/>
    <w:rsid w:val="36396C6A"/>
    <w:rsid w:val="3652300B"/>
    <w:rsid w:val="371343FB"/>
    <w:rsid w:val="3732589B"/>
    <w:rsid w:val="379A74B9"/>
    <w:rsid w:val="37A734E4"/>
    <w:rsid w:val="37C2399F"/>
    <w:rsid w:val="38214A71"/>
    <w:rsid w:val="38BA123C"/>
    <w:rsid w:val="3A06752F"/>
    <w:rsid w:val="3A1513AB"/>
    <w:rsid w:val="3A1F28CA"/>
    <w:rsid w:val="3A314CE8"/>
    <w:rsid w:val="3A4D57E8"/>
    <w:rsid w:val="3B0D1FA7"/>
    <w:rsid w:val="3C631339"/>
    <w:rsid w:val="3C804B18"/>
    <w:rsid w:val="3C8A7544"/>
    <w:rsid w:val="3CE5450D"/>
    <w:rsid w:val="3CF16C13"/>
    <w:rsid w:val="3D1D1124"/>
    <w:rsid w:val="3D3856B4"/>
    <w:rsid w:val="3D3A3F45"/>
    <w:rsid w:val="3D5E2223"/>
    <w:rsid w:val="3E2B7897"/>
    <w:rsid w:val="3E715A81"/>
    <w:rsid w:val="3E894649"/>
    <w:rsid w:val="3E930CEC"/>
    <w:rsid w:val="3ECB2F6A"/>
    <w:rsid w:val="3EE26560"/>
    <w:rsid w:val="3EEE1E12"/>
    <w:rsid w:val="3F1D71CD"/>
    <w:rsid w:val="3F5572EC"/>
    <w:rsid w:val="3F711C62"/>
    <w:rsid w:val="3F97114B"/>
    <w:rsid w:val="3FB407A4"/>
    <w:rsid w:val="3FBE7F1C"/>
    <w:rsid w:val="3FF36832"/>
    <w:rsid w:val="4012246E"/>
    <w:rsid w:val="40263306"/>
    <w:rsid w:val="405A19B8"/>
    <w:rsid w:val="40B92A3D"/>
    <w:rsid w:val="40BD13AC"/>
    <w:rsid w:val="40C71187"/>
    <w:rsid w:val="41572DE6"/>
    <w:rsid w:val="41DB10D3"/>
    <w:rsid w:val="41DE4692"/>
    <w:rsid w:val="41DE6FB9"/>
    <w:rsid w:val="420443B6"/>
    <w:rsid w:val="42135106"/>
    <w:rsid w:val="42AD6209"/>
    <w:rsid w:val="42DC1419"/>
    <w:rsid w:val="43111634"/>
    <w:rsid w:val="43373410"/>
    <w:rsid w:val="434E15D8"/>
    <w:rsid w:val="43682B94"/>
    <w:rsid w:val="43CA4A14"/>
    <w:rsid w:val="440D060C"/>
    <w:rsid w:val="441B13D4"/>
    <w:rsid w:val="44640A21"/>
    <w:rsid w:val="446E131A"/>
    <w:rsid w:val="44AE2269"/>
    <w:rsid w:val="44C15864"/>
    <w:rsid w:val="454543D5"/>
    <w:rsid w:val="45647D1A"/>
    <w:rsid w:val="458D1474"/>
    <w:rsid w:val="458D6B53"/>
    <w:rsid w:val="45CF00B8"/>
    <w:rsid w:val="46702B0C"/>
    <w:rsid w:val="46777E2D"/>
    <w:rsid w:val="46F63CF6"/>
    <w:rsid w:val="47257E4E"/>
    <w:rsid w:val="475C45A4"/>
    <w:rsid w:val="476F5091"/>
    <w:rsid w:val="477C610E"/>
    <w:rsid w:val="478403A6"/>
    <w:rsid w:val="47C6180E"/>
    <w:rsid w:val="47E16BB0"/>
    <w:rsid w:val="481C370A"/>
    <w:rsid w:val="48F9525B"/>
    <w:rsid w:val="48FC2BC3"/>
    <w:rsid w:val="492E6656"/>
    <w:rsid w:val="49732550"/>
    <w:rsid w:val="4A600412"/>
    <w:rsid w:val="4B4965E0"/>
    <w:rsid w:val="4BB812CC"/>
    <w:rsid w:val="4C3740B3"/>
    <w:rsid w:val="4C5D0488"/>
    <w:rsid w:val="4C7E7D48"/>
    <w:rsid w:val="4C922067"/>
    <w:rsid w:val="4D041502"/>
    <w:rsid w:val="4D344E2D"/>
    <w:rsid w:val="4D504728"/>
    <w:rsid w:val="4D5B61D4"/>
    <w:rsid w:val="4D7F1E0B"/>
    <w:rsid w:val="4D94693C"/>
    <w:rsid w:val="4DAA040D"/>
    <w:rsid w:val="4DF84670"/>
    <w:rsid w:val="4E1412B8"/>
    <w:rsid w:val="4E4F7B3D"/>
    <w:rsid w:val="4E626F93"/>
    <w:rsid w:val="4E984E65"/>
    <w:rsid w:val="4EE04D84"/>
    <w:rsid w:val="4F30273B"/>
    <w:rsid w:val="504C3A0B"/>
    <w:rsid w:val="509B34E4"/>
    <w:rsid w:val="511C4F68"/>
    <w:rsid w:val="51212E74"/>
    <w:rsid w:val="51346E17"/>
    <w:rsid w:val="51861A1F"/>
    <w:rsid w:val="51D35DEF"/>
    <w:rsid w:val="52067393"/>
    <w:rsid w:val="52AF3433"/>
    <w:rsid w:val="539B2C41"/>
    <w:rsid w:val="53B607B7"/>
    <w:rsid w:val="53C9030A"/>
    <w:rsid w:val="53FF14E3"/>
    <w:rsid w:val="54252071"/>
    <w:rsid w:val="5431510A"/>
    <w:rsid w:val="548D238B"/>
    <w:rsid w:val="54C80615"/>
    <w:rsid w:val="54C84BD3"/>
    <w:rsid w:val="54CA2D56"/>
    <w:rsid w:val="55026C5B"/>
    <w:rsid w:val="55134D92"/>
    <w:rsid w:val="55380100"/>
    <w:rsid w:val="55D1756A"/>
    <w:rsid w:val="560824BA"/>
    <w:rsid w:val="562F5F26"/>
    <w:rsid w:val="566E21E5"/>
    <w:rsid w:val="568C4250"/>
    <w:rsid w:val="569E6BD1"/>
    <w:rsid w:val="56CD0378"/>
    <w:rsid w:val="570F208A"/>
    <w:rsid w:val="571F5660"/>
    <w:rsid w:val="57A85539"/>
    <w:rsid w:val="57B80B72"/>
    <w:rsid w:val="58032656"/>
    <w:rsid w:val="585E2200"/>
    <w:rsid w:val="58B4247B"/>
    <w:rsid w:val="58D724FA"/>
    <w:rsid w:val="58F20968"/>
    <w:rsid w:val="5A1F2DF6"/>
    <w:rsid w:val="5A290C38"/>
    <w:rsid w:val="5B0B280B"/>
    <w:rsid w:val="5B3C0640"/>
    <w:rsid w:val="5B7F31DE"/>
    <w:rsid w:val="5B857D81"/>
    <w:rsid w:val="5BD4184C"/>
    <w:rsid w:val="5C35360F"/>
    <w:rsid w:val="5CCC307B"/>
    <w:rsid w:val="5CF737E0"/>
    <w:rsid w:val="5D394322"/>
    <w:rsid w:val="5D401987"/>
    <w:rsid w:val="5D830148"/>
    <w:rsid w:val="5E080A9D"/>
    <w:rsid w:val="5EBA1E41"/>
    <w:rsid w:val="5ED273E1"/>
    <w:rsid w:val="5EF27C19"/>
    <w:rsid w:val="5EF83220"/>
    <w:rsid w:val="5F640C28"/>
    <w:rsid w:val="5F696DCF"/>
    <w:rsid w:val="5F7B5443"/>
    <w:rsid w:val="5FC82C64"/>
    <w:rsid w:val="5FFE0D46"/>
    <w:rsid w:val="60624B35"/>
    <w:rsid w:val="609C68BC"/>
    <w:rsid w:val="60C22B15"/>
    <w:rsid w:val="60C27B53"/>
    <w:rsid w:val="610809FE"/>
    <w:rsid w:val="610A77FB"/>
    <w:rsid w:val="61CE2FA8"/>
    <w:rsid w:val="622F04F5"/>
    <w:rsid w:val="629A15F3"/>
    <w:rsid w:val="62C777D4"/>
    <w:rsid w:val="63091A53"/>
    <w:rsid w:val="631E1520"/>
    <w:rsid w:val="6338624B"/>
    <w:rsid w:val="63772415"/>
    <w:rsid w:val="63A720E9"/>
    <w:rsid w:val="63DA47D6"/>
    <w:rsid w:val="63E9442F"/>
    <w:rsid w:val="644C0CE3"/>
    <w:rsid w:val="64AC355A"/>
    <w:rsid w:val="64BC2F13"/>
    <w:rsid w:val="64FA4BC8"/>
    <w:rsid w:val="656A0A86"/>
    <w:rsid w:val="658F775F"/>
    <w:rsid w:val="65A23175"/>
    <w:rsid w:val="65A44592"/>
    <w:rsid w:val="65B73DBE"/>
    <w:rsid w:val="65F808F0"/>
    <w:rsid w:val="662E5E8B"/>
    <w:rsid w:val="66326400"/>
    <w:rsid w:val="66407C76"/>
    <w:rsid w:val="667E7D54"/>
    <w:rsid w:val="66EC5180"/>
    <w:rsid w:val="66F02053"/>
    <w:rsid w:val="67D76605"/>
    <w:rsid w:val="687D42DC"/>
    <w:rsid w:val="68A30E25"/>
    <w:rsid w:val="68C80237"/>
    <w:rsid w:val="68D02508"/>
    <w:rsid w:val="69651917"/>
    <w:rsid w:val="69701258"/>
    <w:rsid w:val="697768C0"/>
    <w:rsid w:val="69A3311D"/>
    <w:rsid w:val="6A0D13C6"/>
    <w:rsid w:val="6A0F675D"/>
    <w:rsid w:val="6A513AAD"/>
    <w:rsid w:val="6A5E3E45"/>
    <w:rsid w:val="6A71382D"/>
    <w:rsid w:val="6B1D19AB"/>
    <w:rsid w:val="6B561E03"/>
    <w:rsid w:val="6B652773"/>
    <w:rsid w:val="6BA44B49"/>
    <w:rsid w:val="6BB67D7A"/>
    <w:rsid w:val="6C650394"/>
    <w:rsid w:val="6C717DA5"/>
    <w:rsid w:val="6C730695"/>
    <w:rsid w:val="6C73323B"/>
    <w:rsid w:val="6CA20BAD"/>
    <w:rsid w:val="6CFD1EE4"/>
    <w:rsid w:val="6D3D5C1C"/>
    <w:rsid w:val="6D424200"/>
    <w:rsid w:val="6DB35899"/>
    <w:rsid w:val="6DD70E8F"/>
    <w:rsid w:val="6DDB4B09"/>
    <w:rsid w:val="6E074380"/>
    <w:rsid w:val="6E7659F8"/>
    <w:rsid w:val="6EB579DD"/>
    <w:rsid w:val="6EC05804"/>
    <w:rsid w:val="6F5959C5"/>
    <w:rsid w:val="6FB348F7"/>
    <w:rsid w:val="6FC6778F"/>
    <w:rsid w:val="6FCD4FE6"/>
    <w:rsid w:val="70082453"/>
    <w:rsid w:val="701002C4"/>
    <w:rsid w:val="70154701"/>
    <w:rsid w:val="70203D04"/>
    <w:rsid w:val="70613DA6"/>
    <w:rsid w:val="706D1228"/>
    <w:rsid w:val="70833A3D"/>
    <w:rsid w:val="70845EC7"/>
    <w:rsid w:val="70B84398"/>
    <w:rsid w:val="70E5727A"/>
    <w:rsid w:val="715B6329"/>
    <w:rsid w:val="72286A20"/>
    <w:rsid w:val="72903606"/>
    <w:rsid w:val="72B80470"/>
    <w:rsid w:val="72E036C5"/>
    <w:rsid w:val="72E62674"/>
    <w:rsid w:val="732A5474"/>
    <w:rsid w:val="733E1499"/>
    <w:rsid w:val="735E44ED"/>
    <w:rsid w:val="738E62D7"/>
    <w:rsid w:val="73A16D22"/>
    <w:rsid w:val="73A1709A"/>
    <w:rsid w:val="73C565C2"/>
    <w:rsid w:val="73F9757C"/>
    <w:rsid w:val="74075869"/>
    <w:rsid w:val="74115D35"/>
    <w:rsid w:val="74D017B1"/>
    <w:rsid w:val="75230594"/>
    <w:rsid w:val="7550294F"/>
    <w:rsid w:val="756C5313"/>
    <w:rsid w:val="759914E6"/>
    <w:rsid w:val="7619611F"/>
    <w:rsid w:val="76277248"/>
    <w:rsid w:val="76806A9B"/>
    <w:rsid w:val="770038B9"/>
    <w:rsid w:val="770C6341"/>
    <w:rsid w:val="7733398B"/>
    <w:rsid w:val="77584E31"/>
    <w:rsid w:val="7779210E"/>
    <w:rsid w:val="77A367DB"/>
    <w:rsid w:val="78CE0C6A"/>
    <w:rsid w:val="790D6B19"/>
    <w:rsid w:val="79AC2AF5"/>
    <w:rsid w:val="79CE083D"/>
    <w:rsid w:val="79F43D17"/>
    <w:rsid w:val="7A264386"/>
    <w:rsid w:val="7A9E71AB"/>
    <w:rsid w:val="7AA70842"/>
    <w:rsid w:val="7AB321D0"/>
    <w:rsid w:val="7B0D595A"/>
    <w:rsid w:val="7B305422"/>
    <w:rsid w:val="7B3A792B"/>
    <w:rsid w:val="7BD1676B"/>
    <w:rsid w:val="7C18534B"/>
    <w:rsid w:val="7C431A44"/>
    <w:rsid w:val="7C4A4AB2"/>
    <w:rsid w:val="7C6B3766"/>
    <w:rsid w:val="7C890A61"/>
    <w:rsid w:val="7C9C64B0"/>
    <w:rsid w:val="7CB357FB"/>
    <w:rsid w:val="7CBD55CD"/>
    <w:rsid w:val="7CFF74CE"/>
    <w:rsid w:val="7DA2586D"/>
    <w:rsid w:val="7E663866"/>
    <w:rsid w:val="7E772321"/>
    <w:rsid w:val="7EAA2128"/>
    <w:rsid w:val="7EAA3DA0"/>
    <w:rsid w:val="7EF70F8D"/>
    <w:rsid w:val="7EF91C9B"/>
    <w:rsid w:val="7F5A71E1"/>
    <w:rsid w:val="7F8C6CD8"/>
    <w:rsid w:val="7F9F308F"/>
    <w:rsid w:val="7FBC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2019-07-22T08:55:00Z</dcterms:created>
  <dc:creator>谢花婷</dc:creator>
  <cp:lastModifiedBy>蔡楚伟</cp:lastModifiedBy>
  <dcterms:modified xsi:type="dcterms:W3CDTF">2020-01-02T08:50:51Z</dcterms:modified>
  <dc:title>关于进一步加强“前置管理”防控违法建设行为的工作指引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