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tblpXSpec="left" w:tblpY="1"/>
        <w:tblOverlap w:val="never"/>
        <w:tblW w:w="14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40"/>
        <w:gridCol w:w="5955"/>
        <w:gridCol w:w="1350"/>
        <w:gridCol w:w="1215"/>
        <w:gridCol w:w="5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1" w:hRule="atLeast"/>
        </w:trPr>
        <w:tc>
          <w:tcPr>
            <w:tcW w:w="14580" w:type="dxa"/>
            <w:gridSpan w:val="5"/>
            <w:tcBorders>
              <w:top w:val="nil"/>
              <w:left w:val="nil"/>
              <w:bottom w:val="single" w:color="auto" w:sz="4" w:space="0"/>
              <w:right w:val="nil"/>
            </w:tcBorders>
            <w:shd w:val="clear" w:color="auto" w:fill="auto"/>
            <w:vAlign w:val="center"/>
          </w:tcPr>
          <w:p>
            <w:pPr>
              <w:pStyle w:val="4"/>
              <w:keepNext w:val="0"/>
              <w:keepLines w:val="0"/>
              <w:widowControl/>
              <w:suppressLineNumbers w:val="0"/>
              <w:pBdr>
                <w:top w:val="none" w:color="auto" w:sz="0" w:space="0"/>
                <w:bottom w:val="none" w:color="auto" w:sz="0" w:space="0"/>
                <w:right w:val="none" w:color="auto" w:sz="0" w:space="0"/>
              </w:pBdr>
              <w:spacing w:before="76" w:beforeAutospacing="0" w:after="376" w:afterAutospacing="0"/>
              <w:ind w:left="0" w:right="0"/>
              <w:jc w:val="both"/>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color w:val="333333"/>
                <w:sz w:val="32"/>
                <w:szCs w:val="32"/>
                <w:lang w:eastAsia="zh-CN"/>
              </w:rPr>
              <w:t>附件：</w:t>
            </w:r>
            <w:r>
              <w:rPr>
                <w:rFonts w:hint="eastAsia" w:ascii="宋体" w:hAnsi="宋体" w:eastAsia="宋体" w:cs="宋体"/>
                <w:color w:val="333333"/>
                <w:sz w:val="32"/>
                <w:szCs w:val="32"/>
              </w:rPr>
              <w:t>《</w:t>
            </w:r>
            <w:r>
              <w:rPr>
                <w:rFonts w:hint="eastAsia" w:ascii="宋体" w:hAnsi="宋体" w:eastAsia="宋体" w:cs="宋体"/>
                <w:color w:val="333333"/>
                <w:sz w:val="32"/>
                <w:szCs w:val="32"/>
                <w:lang w:val="en-US" w:eastAsia="zh-CN"/>
              </w:rPr>
              <w:t>2018年</w:t>
            </w:r>
            <w:r>
              <w:rPr>
                <w:rFonts w:hint="eastAsia" w:ascii="宋体" w:hAnsi="宋体" w:eastAsia="宋体" w:cs="宋体"/>
                <w:color w:val="333333"/>
                <w:sz w:val="32"/>
                <w:szCs w:val="32"/>
              </w:rPr>
              <w:t>福田区</w:t>
            </w:r>
            <w:r>
              <w:rPr>
                <w:rFonts w:hint="eastAsia" w:ascii="宋体" w:hAnsi="宋体" w:eastAsia="宋体" w:cs="宋体"/>
                <w:color w:val="333333"/>
                <w:sz w:val="32"/>
                <w:szCs w:val="32"/>
                <w:lang w:eastAsia="zh-CN"/>
              </w:rPr>
              <w:t>产业资金政策(征求意见稿)</w:t>
            </w:r>
            <w:r>
              <w:rPr>
                <w:rFonts w:hint="eastAsia" w:ascii="宋体" w:hAnsi="宋体" w:eastAsia="宋体" w:cs="宋体"/>
                <w:color w:val="333333"/>
                <w:sz w:val="32"/>
                <w:szCs w:val="32"/>
              </w:rPr>
              <w:t>》</w:t>
            </w:r>
            <w:r>
              <w:rPr>
                <w:rFonts w:hint="eastAsia" w:ascii="宋体" w:hAnsi="宋体" w:eastAsia="宋体" w:cs="宋体"/>
                <w:color w:val="333333"/>
                <w:sz w:val="32"/>
                <w:szCs w:val="32"/>
                <w:lang w:eastAsia="zh-CN"/>
              </w:rPr>
              <w:t>反馈意见表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65" w:hRule="atLeast"/>
        </w:trPr>
        <w:tc>
          <w:tcPr>
            <w:tcW w:w="5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595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反馈意见</w:t>
            </w:r>
          </w:p>
        </w:tc>
        <w:tc>
          <w:tcPr>
            <w:tcW w:w="13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责任部门</w:t>
            </w:r>
          </w:p>
        </w:tc>
        <w:tc>
          <w:tcPr>
            <w:tcW w:w="12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是否采纳</w:t>
            </w:r>
          </w:p>
        </w:tc>
        <w:tc>
          <w:tcPr>
            <w:tcW w:w="55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6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田区支持先进制造业发展若干政策》第四条【军民融合支持】（一）军民融合认定支持。对取得军工项目资质的辖区企业，给予最高100万元的一次性支持。建议：希望申报指南中对于可申报的军工项目资质增加上军工涉密业务咨询服务安全保密</w:t>
            </w:r>
            <w:bookmarkStart w:id="0" w:name="_GoBack"/>
            <w:bookmarkEnd w:id="0"/>
            <w:r>
              <w:rPr>
                <w:rFonts w:hint="eastAsia" w:ascii="宋体" w:hAnsi="宋体" w:eastAsia="宋体" w:cs="宋体"/>
                <w:i w:val="0"/>
                <w:color w:val="000000"/>
                <w:kern w:val="0"/>
                <w:sz w:val="24"/>
                <w:szCs w:val="24"/>
                <w:u w:val="none"/>
                <w:lang w:val="en-US" w:eastAsia="zh-CN" w:bidi="ar"/>
              </w:rPr>
              <w:t>条件认证（该证书全称为“军工涉密业务咨询服务安全保密条件备案证书”），该资质是由国防科工局直接审核、颁发证书的，也属于军工五证中的一证。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区经促局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不采纳</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军工涉密业务咨询服务安全保密条件备案证书属于军工服务企业证书，属于专业服务业类别，不属于军工企业认证证书，将进一步研究行业发展情况。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5"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《福田区支持专业服务业发展若干措施》第四条　综合贡献奖。（二）经营增长奖。根据专业服务业企业上一年度的综合贡献的增长率，分档给予支持，每年最高200万元。建议：对于综合贡献的增长率，希望区委重点参考企业纳税额的缴纳。</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区经促局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采纳</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在操作指引中有具体支持标准。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70" w:hRule="atLeast"/>
        </w:trPr>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5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《福田区支持科技创新发展若干政策》第四条 【研发与创新（人才）支持】（十）R&amp;D投入支持。辖区企业经核定的年度R&amp;D经费投入超过50万元的，按10%的比例给予支持，最高300万元。建议：建议该政策与深圳市科创委的研究开发资助配套支持，可对辖区重点扶持企业的研究开发予以支持。</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区科创局</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不采纳</w:t>
            </w:r>
          </w:p>
        </w:tc>
        <w:tc>
          <w:tcPr>
            <w:tcW w:w="5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区产业资金R&amp;D投入支持项目与市科创委的研发资助是两个完全不同的项目，R&amp;D投入支持项目是针对企业在统计部门最终核算的研发投入金额，非企业自报数据，不能给予配套。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0" w:hRule="atLeast"/>
        </w:trPr>
        <w:tc>
          <w:tcPr>
            <w:tcW w:w="54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595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福田区产业资金管理办法》第九条第一款规定：同一企业、母子公司原则上不得就同一事项重复申请支持。但我司在申请总部经营支持时，与下属绝对控股（我司占97.5%股权）子公司就同一事项同时获得受理，也就是说这项条款并没有实际约束力。建议将该项条款改为：“同一企业、母子公司原则上不得就同一事项重复申请支持，如母公司就某一事项提交资金申请，相关部门不再受理其子公司的该项申请。”</w:t>
            </w:r>
          </w:p>
        </w:tc>
        <w:tc>
          <w:tcPr>
            <w:tcW w:w="135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区财政局</w:t>
            </w:r>
          </w:p>
        </w:tc>
        <w:tc>
          <w:tcPr>
            <w:tcW w:w="1215"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不采纳</w:t>
            </w:r>
          </w:p>
        </w:tc>
        <w:tc>
          <w:tcPr>
            <w:tcW w:w="5520" w:type="dxa"/>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同一企业、母子公司原则上不得就同一事项重复申请支持，涉及母子公司关系审核等，各部门将加强后续监管，避免重复申请问题。</w:t>
            </w:r>
          </w:p>
        </w:tc>
      </w:tr>
    </w:tbl>
    <w:p/>
    <w:p/>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A13AE4"/>
    <w:rsid w:val="0CD03616"/>
    <w:rsid w:val="111821CA"/>
    <w:rsid w:val="32D06D76"/>
    <w:rsid w:val="52A13AE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updatembcss"/>
    <w:basedOn w:val="1"/>
    <w:uiPriority w:val="0"/>
    <w:pPr>
      <w:pBdr>
        <w:left w:val="none" w:color="auto" w:sz="0" w:space="0"/>
      </w:pBdr>
      <w:spacing w:after="375" w:afterAutospacing="0" w:line="360" w:lineRule="atLeast"/>
      <w:jc w:val="left"/>
    </w:pPr>
    <w:rPr>
      <w:rFonts w:hint="eastAsia" w:ascii="宋体" w:hAnsi="宋体"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2018-04-19T08:53:00Z</dcterms:created>
  <dc:creator>李大仁1384742664</dc:creator>
  <cp:lastModifiedBy>李大仁1384742664</cp:lastModifiedBy>
  <dcterms:modified xsi:type="dcterms:W3CDTF">2018-04-19T09:35:33Z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