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heme="majorEastAsia" w:hAnsiTheme="majorEastAsia" w:eastAsiaTheme="majorEastAsia" w:cstheme="majorEastAsia"/>
          <w:b/>
          <w:bCs/>
          <w:sz w:val="32"/>
          <w:szCs w:val="32"/>
          <w:lang w:eastAsia="zh-CN"/>
        </w:rPr>
      </w:pPr>
      <w:r>
        <w:rPr>
          <w:rFonts w:hint="eastAsia" w:asciiTheme="majorEastAsia" w:hAnsiTheme="majorEastAsia" w:eastAsiaTheme="majorEastAsia" w:cstheme="majorEastAsia"/>
          <w:b/>
          <w:bCs/>
          <w:sz w:val="32"/>
          <w:szCs w:val="32"/>
          <w:lang w:eastAsia="zh-CN"/>
        </w:rPr>
        <w:t>附件：</w:t>
      </w:r>
    </w:p>
    <w:p>
      <w:pPr>
        <w:jc w:val="center"/>
        <w:rPr>
          <w:rFonts w:hint="eastAsia" w:asciiTheme="majorEastAsia" w:hAnsiTheme="majorEastAsia" w:eastAsiaTheme="majorEastAsia" w:cstheme="majorEastAsia"/>
          <w:b/>
          <w:bCs/>
          <w:sz w:val="44"/>
          <w:szCs w:val="44"/>
          <w:lang w:eastAsia="zh-CN"/>
        </w:rPr>
      </w:pPr>
      <w:bookmarkStart w:id="0" w:name="_GoBack"/>
      <w:bookmarkEnd w:id="0"/>
      <w:r>
        <w:rPr>
          <w:rFonts w:hint="eastAsia" w:asciiTheme="majorEastAsia" w:hAnsiTheme="majorEastAsia" w:eastAsiaTheme="majorEastAsia" w:cstheme="majorEastAsia"/>
          <w:b/>
          <w:bCs/>
          <w:sz w:val="44"/>
          <w:szCs w:val="44"/>
          <w:lang w:eastAsia="zh-CN"/>
        </w:rPr>
        <w:t>公众意见及采纳情况一览表</w:t>
      </w:r>
    </w:p>
    <w:p>
      <w:pPr>
        <w:rPr>
          <w:rFonts w:hint="eastAsia"/>
          <w:lang w:eastAsia="zh-CN"/>
        </w:rPr>
      </w:pPr>
    </w:p>
    <w:tbl>
      <w:tblPr>
        <w:tblStyle w:val="5"/>
        <w:tblW w:w="148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995"/>
        <w:gridCol w:w="7846"/>
        <w:gridCol w:w="1213"/>
        <w:gridCol w:w="4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733" w:type="dxa"/>
          </w:tcPr>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lang w:eastAsia="zh-CN"/>
              </w:rPr>
              <w:t>序号</w:t>
            </w:r>
          </w:p>
        </w:tc>
        <w:tc>
          <w:tcPr>
            <w:tcW w:w="995" w:type="dxa"/>
          </w:tcPr>
          <w:p>
            <w:pPr>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意见人</w:t>
            </w:r>
          </w:p>
        </w:tc>
        <w:tc>
          <w:tcPr>
            <w:tcW w:w="7846" w:type="dxa"/>
          </w:tcPr>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具体意见</w:t>
            </w:r>
          </w:p>
        </w:tc>
        <w:tc>
          <w:tcPr>
            <w:tcW w:w="1213" w:type="dxa"/>
          </w:tcPr>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是否采纳</w:t>
            </w:r>
          </w:p>
        </w:tc>
        <w:tc>
          <w:tcPr>
            <w:tcW w:w="4060" w:type="dxa"/>
          </w:tcPr>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Align w:val="center"/>
          </w:tcPr>
          <w:p>
            <w:pPr>
              <w:jc w:val="center"/>
              <w:rPr>
                <w:rFonts w:hint="eastAsia"/>
                <w:vertAlign w:val="baseline"/>
                <w:lang w:val="en-US" w:eastAsia="zh-CN"/>
              </w:rPr>
            </w:pPr>
            <w:r>
              <w:rPr>
                <w:rFonts w:hint="eastAsia"/>
                <w:vertAlign w:val="baseline"/>
                <w:lang w:val="en-US" w:eastAsia="zh-CN"/>
              </w:rPr>
              <w:t>1</w:t>
            </w:r>
          </w:p>
        </w:tc>
        <w:tc>
          <w:tcPr>
            <w:tcW w:w="995" w:type="dxa"/>
            <w:vAlign w:val="center"/>
          </w:tcPr>
          <w:p>
            <w:pPr>
              <w:jc w:val="center"/>
              <w:rPr>
                <w:rFonts w:hint="eastAsia"/>
                <w:vertAlign w:val="baseline"/>
                <w:lang w:val="en-US" w:eastAsia="zh-CN"/>
              </w:rPr>
            </w:pPr>
            <w:r>
              <w:rPr>
                <w:rFonts w:hint="eastAsia"/>
                <w:vertAlign w:val="baseline"/>
                <w:lang w:val="en-US" w:eastAsia="zh-CN"/>
              </w:rPr>
              <w:t>福田保税区某企业</w:t>
            </w:r>
          </w:p>
        </w:tc>
        <w:tc>
          <w:tcPr>
            <w:tcW w:w="7846" w:type="dxa"/>
          </w:tcPr>
          <w:p>
            <w:pPr>
              <w:ind w:firstLine="420" w:firstLineChars="20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国务院称：民众，法无禁止即可为；政府，法无授权不可为，现在合法存在的企业包括以后能合法进驻的企业，应当受到法律的保护才是，而不是说依据部门意见说清理就清理，甚至政府要完全清晰解析入园证是否有法律依据而且应该建立的是负面清单，完全不考虑社会发展经历和存在的事实并且强制执行造成社会、经济等不稳定。</w:t>
            </w:r>
          </w:p>
          <w:p>
            <w:pPr>
              <w:ind w:firstLine="420" w:firstLineChars="20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凤栖梧桐，特斯拉工厂选址上海也是因为有实实在在的金融优惠政策，相信这些都是特斯拉在中国投资之前就能够清楚知道的才能进来设厂，近的就如前海的企业回归政策，能让企业明明白白知道回归前海有什么好处，然而本办法完全没有这方面得到内容，通篇看起来都是自己关着门琢磨出来的，不够联系实际。</w:t>
            </w:r>
          </w:p>
          <w:p>
            <w:pPr>
              <w:ind w:firstLine="420" w:firstLineChars="20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3、正确的方法事半功倍，不正确的方法一事难成，2017年深圳市能够修改深圳市消防条例以适应深圳自身的发展特点和解决实际问题，令人佩服，然而本办法就是一纸驱逐令，良莠不分不说甚至不是奔着解决问题出发的。</w:t>
            </w:r>
          </w:p>
        </w:tc>
        <w:tc>
          <w:tcPr>
            <w:tcW w:w="1213" w:type="dxa"/>
            <w:vAlign w:val="center"/>
          </w:tcPr>
          <w:p>
            <w:pPr>
              <w:jc w:val="center"/>
              <w:rPr>
                <w:rFonts w:hint="eastAsia"/>
                <w:vertAlign w:val="baseline"/>
                <w:lang w:eastAsia="zh-CN"/>
              </w:rPr>
            </w:pPr>
            <w:r>
              <w:rPr>
                <w:rFonts w:hint="eastAsia"/>
                <w:vertAlign w:val="baseline"/>
                <w:lang w:eastAsia="zh-CN"/>
              </w:rPr>
              <w:t>解释说明</w:t>
            </w:r>
          </w:p>
        </w:tc>
        <w:tc>
          <w:tcPr>
            <w:tcW w:w="4060" w:type="dxa"/>
          </w:tcPr>
          <w:p>
            <w:pPr>
              <w:rPr>
                <w:rFonts w:hint="eastAsia"/>
                <w:vertAlign w:val="baseline"/>
                <w:lang w:eastAsia="zh-CN"/>
              </w:rPr>
            </w:pPr>
            <w:r>
              <w:rPr>
                <w:rFonts w:hint="eastAsia"/>
                <w:vertAlign w:val="baseline"/>
                <w:lang w:val="en-US" w:eastAsia="zh-CN"/>
              </w:rPr>
              <w:t>福田保税区是海关特殊监管区域，《国务院关于促进</w:t>
            </w:r>
            <w:r>
              <w:rPr>
                <w:rFonts w:hint="eastAsia" w:asciiTheme="minorEastAsia" w:hAnsiTheme="minorEastAsia" w:eastAsiaTheme="minorEastAsia" w:cstheme="minorEastAsia"/>
                <w:sz w:val="21"/>
                <w:szCs w:val="21"/>
                <w:vertAlign w:val="baseline"/>
                <w:lang w:val="en-US" w:eastAsia="zh-CN"/>
              </w:rPr>
              <w:t>海关特殊监管区域科学发展的指导意见》（国发〔2012〕58号）明确要求，“严格入区项目审核。制定特殊监管区域入区项目指引，引导符合海关特殊监管区域发展目标和政策功能定位的企业入区发展，避免盲目招商。”目前福田保税区已明确作为深港科技创新合作区的先行启动区，从保障科研空间及保税产业空间角度出发，应当对入区产业导向进行明确规定，在此背景</w:t>
            </w:r>
            <w:r>
              <w:rPr>
                <w:rFonts w:hint="eastAsia" w:asciiTheme="minorEastAsia" w:hAnsiTheme="minorEastAsia" w:cstheme="minorEastAsia"/>
                <w:sz w:val="21"/>
                <w:szCs w:val="21"/>
                <w:vertAlign w:val="baseline"/>
                <w:lang w:val="en-US" w:eastAsia="zh-CN"/>
              </w:rPr>
              <w:t>下，</w:t>
            </w:r>
            <w:r>
              <w:rPr>
                <w:rFonts w:hint="eastAsia" w:asciiTheme="minorEastAsia" w:hAnsiTheme="minorEastAsia" w:eastAsiaTheme="minorEastAsia" w:cstheme="minorEastAsia"/>
                <w:sz w:val="21"/>
                <w:szCs w:val="21"/>
                <w:vertAlign w:val="baseline"/>
                <w:lang w:val="en-US" w:eastAsia="zh-CN"/>
              </w:rPr>
              <w:t>《管理暂行办法》</w:t>
            </w:r>
            <w:r>
              <w:rPr>
                <w:rFonts w:hint="eastAsia" w:asciiTheme="minorEastAsia" w:hAnsiTheme="minorEastAsia" w:cstheme="minorEastAsia"/>
                <w:sz w:val="21"/>
                <w:szCs w:val="21"/>
                <w:vertAlign w:val="baseline"/>
                <w:lang w:val="en-US" w:eastAsia="zh-CN"/>
              </w:rPr>
              <w:t>参照《海关特殊监管区域适合入区项目指引》并结合深港科技创新合作区战略定位，确立了科技+保税的产业导向。关于入区企业享受哪些优惠政策，并不是《管理暂行办法》解决的问题，在这方面，政府将加强政策宣讲，</w:t>
            </w:r>
            <w:r>
              <w:rPr>
                <w:rFonts w:hint="eastAsia"/>
                <w:vertAlign w:val="baseline"/>
                <w:lang w:val="en-US" w:eastAsia="zh-CN"/>
              </w:rPr>
              <w:t>强化服务，引导符合福田保税区产业定位的企业入区。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Align w:val="center"/>
          </w:tcPr>
          <w:p>
            <w:pPr>
              <w:jc w:val="center"/>
              <w:rPr>
                <w:rFonts w:hint="eastAsia"/>
                <w:vertAlign w:val="baseline"/>
                <w:lang w:val="en-US" w:eastAsia="zh-CN"/>
              </w:rPr>
            </w:pPr>
            <w:r>
              <w:rPr>
                <w:rFonts w:hint="eastAsia"/>
                <w:vertAlign w:val="baseline"/>
                <w:lang w:val="en-US" w:eastAsia="zh-CN"/>
              </w:rPr>
              <w:t>2</w:t>
            </w:r>
          </w:p>
        </w:tc>
        <w:tc>
          <w:tcPr>
            <w:tcW w:w="995" w:type="dxa"/>
            <w:vAlign w:val="center"/>
          </w:tcPr>
          <w:p>
            <w:pPr>
              <w:jc w:val="center"/>
              <w:rPr>
                <w:rFonts w:hint="eastAsia"/>
                <w:vertAlign w:val="baseline"/>
                <w:lang w:val="en-US" w:eastAsia="zh-CN"/>
              </w:rPr>
            </w:pPr>
            <w:r>
              <w:rPr>
                <w:rFonts w:hint="eastAsia"/>
                <w:vertAlign w:val="baseline"/>
                <w:lang w:val="en-US" w:eastAsia="zh-CN"/>
              </w:rPr>
              <w:t>田先生</w:t>
            </w:r>
          </w:p>
        </w:tc>
        <w:tc>
          <w:tcPr>
            <w:tcW w:w="7846" w:type="dxa"/>
          </w:tcPr>
          <w:p>
            <w:pPr>
              <w:ind w:firstLine="420" w:firstLineChars="200"/>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val="en-US" w:eastAsia="zh-CN"/>
              </w:rPr>
              <w:t>《福田保税区企业及项目入区管理暂行办法》第七条第（七）项中，将“文化创意”列入“不予入区”范围，我们认为略显简单粗暴，十分不妥。</w:t>
            </w:r>
          </w:p>
          <w:p>
            <w:pP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val="en-US" w:eastAsia="zh-CN"/>
              </w:rPr>
              <w:t>   1、几年前，在福田保税区转型升级中，一些闲置厂房、旧楼房在区政府引导下被盘活，引入了大量文化创意企业进驻。文创企业十分注重形象和环境，普遍进行了精美装修，耗资巨大。这些文创企业中，有的是福田区文创产业的龙头企业，有的是文博会分会场，得到区政府资金扶持和房租补贴，成为福田区的文化名片。</w:t>
            </w:r>
          </w:p>
          <w:p>
            <w:pP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val="en-US" w:eastAsia="zh-CN"/>
              </w:rPr>
              <w:t>  2、文化创意是无污染智慧型产业，也是深圳重点发展的支柱产业，况且深港文创产业合作前景广阔，在福田保税区已有一批文创企业的既成事实下，可以将其划入研发大类或必要配套服务类，有序发展，只出不进，不再引入新的文创企业，将其比例控制在一定范围内即可。</w:t>
            </w:r>
          </w:p>
        </w:tc>
        <w:tc>
          <w:tcPr>
            <w:tcW w:w="1213" w:type="dxa"/>
            <w:vAlign w:val="center"/>
          </w:tcPr>
          <w:p>
            <w:pPr>
              <w:jc w:val="center"/>
              <w:rPr>
                <w:rFonts w:hint="eastAsia"/>
                <w:vertAlign w:val="baseline"/>
                <w:lang w:eastAsia="zh-CN"/>
              </w:rPr>
            </w:pPr>
            <w:r>
              <w:rPr>
                <w:rFonts w:hint="eastAsia"/>
                <w:vertAlign w:val="baseline"/>
                <w:lang w:eastAsia="zh-CN"/>
              </w:rPr>
              <w:t>解释说明</w:t>
            </w:r>
          </w:p>
        </w:tc>
        <w:tc>
          <w:tcPr>
            <w:tcW w:w="4060" w:type="dxa"/>
          </w:tcPr>
          <w:p>
            <w:pPr>
              <w:rPr>
                <w:rFonts w:hint="eastAsia"/>
                <w:vertAlign w:val="baseline"/>
                <w:lang w:eastAsia="zh-CN"/>
              </w:rPr>
            </w:pPr>
            <w:r>
              <w:rPr>
                <w:rFonts w:hint="eastAsia"/>
                <w:vertAlign w:val="baseline"/>
                <w:lang w:eastAsia="zh-CN"/>
              </w:rPr>
              <w:t>对于已入区的文创等产业，管理暂行办法并未采取“一刀切”的方式进行清理，而是将依法有序引导企业及项目向区外合理转移，同时也鼓励企业在匹配保税区分区功能定位基础上进行转型升级。下一步政府将就此项开展详细调研，制定具体工作方案，采取有序引导、合理转移措施，积极稳妥做好非保企业转移工作。</w:t>
            </w:r>
          </w:p>
        </w:tc>
      </w:tr>
    </w:tbl>
    <w:p>
      <w:pPr>
        <w:rPr>
          <w:rFonts w:hint="eastAsia"/>
          <w:lang w:eastAsia="zh-CN"/>
        </w:rPr>
      </w:pPr>
    </w:p>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仿宋简体">
    <w:panose1 w:val="03000509000000000000"/>
    <w:charset w:val="86"/>
    <w:family w:val="auto"/>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 w:name="Arial Unicode MS">
    <w:altName w:val="宋体"/>
    <w:panose1 w:val="020B0604020202020204"/>
    <w:charset w:val="86"/>
    <w:family w:val="auto"/>
    <w:pitch w:val="default"/>
    <w:sig w:usb0="00000000" w:usb1="00000000" w:usb2="0000003F" w:usb3="00000000" w:csb0="603F01FF" w:csb1="FFFF0000"/>
  </w:font>
  <w:font w:name="PMingLiU">
    <w:panose1 w:val="02020500000000000000"/>
    <w:charset w:val="88"/>
    <w:family w:val="auto"/>
    <w:pitch w:val="default"/>
    <w:sig w:usb0="A00002FF" w:usb1="28CFFCFA" w:usb2="00000016" w:usb3="00000000" w:csb0="00100001" w:csb1="00000000"/>
  </w:font>
  <w:font w:name="Helvetica">
    <w:altName w:val="Arial"/>
    <w:panose1 w:val="00000000000000000000"/>
    <w:charset w:val="00"/>
    <w:family w:val="auto"/>
    <w:pitch w:val="default"/>
    <w:sig w:usb0="00000000" w:usb1="00000000" w:usb2="00000000" w:usb3="00000000" w:csb0="00000000"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隶书">
    <w:altName w:val="微软雅黑"/>
    <w:panose1 w:val="02010800040101010101"/>
    <w:charset w:val="86"/>
    <w:family w:val="auto"/>
    <w:pitch w:val="default"/>
    <w:sig w:usb0="00000000" w:usb1="00000000" w:usb2="00000000" w:usb3="00000000" w:csb0="00040000" w:csb1="00000000"/>
  </w:font>
  <w:font w:name="叶根友毛笔行书2.0版">
    <w:altName w:val="宋体"/>
    <w:panose1 w:val="02010601030101010101"/>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方正姚体">
    <w:altName w:val="宋体"/>
    <w:panose1 w:val="0201060103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auto"/>
    <w:pitch w:val="default"/>
    <w:sig w:usb0="00000000" w:usb1="00000000" w:usb2="00000000" w:usb3="00000000" w:csb0="00040000"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华文中宋">
    <w:altName w:val="宋体"/>
    <w:panose1 w:val="02010600040101010101"/>
    <w:charset w:val="86"/>
    <w:family w:val="auto"/>
    <w:pitch w:val="default"/>
    <w:sig w:usb0="00000000" w:usb1="00000000" w:usb2="00000000" w:usb3="00000000" w:csb0="0004009F" w:csb1="DFD70000"/>
  </w:font>
  <w:font w:name="iknow-qb_home_icons">
    <w:altName w:val="Segoe Print"/>
    <w:panose1 w:val="00000000000000000000"/>
    <w:charset w:val="00"/>
    <w:family w:val="auto"/>
    <w:pitch w:val="default"/>
    <w:sig w:usb0="00000000" w:usb1="00000000" w:usb2="00000000" w:usb3="00000000" w:csb0="00000000" w:csb1="00000000"/>
  </w:font>
  <w:font w:name="iknow-icons">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iknow-qb_share_icons">
    <w:altName w:val="Segoe Print"/>
    <w:panose1 w:val="00000000000000000000"/>
    <w:charset w:val="00"/>
    <w:family w:val="auto"/>
    <w:pitch w:val="default"/>
    <w:sig w:usb0="00000000" w:usb1="00000000" w:usb2="00000000" w:usb3="00000000" w:csb0="00000000" w:csb1="00000000"/>
  </w:font>
  <w:font w:name="iknow-qb_replyer_icons">
    <w:altName w:val="Segoe Print"/>
    <w:panose1 w:val="00000000000000000000"/>
    <w:charset w:val="00"/>
    <w:family w:val="auto"/>
    <w:pitch w:val="default"/>
    <w:sig w:usb0="00000000" w:usb1="00000000" w:usb2="00000000" w:usb3="00000000" w:csb0="00000000" w:csb1="00000000"/>
  </w:font>
  <w:font w:name="iknow-qb_grade_icons">
    <w:altName w:val="Segoe Print"/>
    <w:panose1 w:val="00000000000000000000"/>
    <w:charset w:val="00"/>
    <w:family w:val="auto"/>
    <w:pitch w:val="default"/>
    <w:sig w:usb0="00000000" w:usb1="00000000" w:usb2="00000000" w:usb3="00000000" w:csb0="00000000" w:csb1="00000000"/>
  </w:font>
  <w:font w:name="ikonw_qb_new">
    <w:altName w:val="Segoe Print"/>
    <w:panose1 w:val="00000000000000000000"/>
    <w:charset w:val="00"/>
    <w:family w:val="auto"/>
    <w:pitch w:val="default"/>
    <w:sig w:usb0="00000000" w:usb1="00000000" w:usb2="00000000" w:usb3="00000000" w:csb0="00000000" w:csb1="0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entury">
    <w:altName w:val="Nyala"/>
    <w:panose1 w:val="02040604050505020304"/>
    <w:charset w:val="00"/>
    <w:family w:val="roman"/>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Bookman Old Style">
    <w:altName w:val="Segoe Print"/>
    <w:panose1 w:val="02050604050505020204"/>
    <w:charset w:val="00"/>
    <w:family w:val="auto"/>
    <w:pitch w:val="default"/>
    <w:sig w:usb0="00000000" w:usb1="00000000" w:usb2="00000000" w:usb3="00000000" w:csb0="2000009F" w:csb1="DFD70000"/>
  </w:font>
  <w:font w:name="方正大黑简体">
    <w:panose1 w:val="03000509000000000000"/>
    <w:charset w:val="86"/>
    <w:family w:val="auto"/>
    <w:pitch w:val="default"/>
    <w:sig w:usb0="00000001" w:usb1="080E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Wingdings 2">
    <w:altName w:val="Wingdings"/>
    <w:panose1 w:val="05020102010507070707"/>
    <w:charset w:val="00"/>
    <w:family w:val="auto"/>
    <w:pitch w:val="default"/>
    <w:sig w:usb0="00000000" w:usb1="00000000" w:usb2="00000000" w:usb3="00000000" w:csb0="80000000" w:csb1="00000000"/>
  </w:font>
  <w:font w:name="Nyala">
    <w:panose1 w:val="02000504070300020003"/>
    <w:charset w:val="00"/>
    <w:family w:val="auto"/>
    <w:pitch w:val="default"/>
    <w:sig w:usb0="A000006F" w:usb1="00000000" w:usb2="00000800" w:usb3="00000000" w:csb0="00000093"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8E3338"/>
    <w:rsid w:val="2E8E3338"/>
    <w:rsid w:val="34E20DEA"/>
    <w:rsid w:val="6D512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2019-08-20T06:58:00Z</dcterms:created>
  <dc:creator>姚立科</dc:creator>
  <cp:lastModifiedBy>姚立科</cp:lastModifiedBy>
  <dcterms:modified xsi:type="dcterms:W3CDTF">2019-08-21T02:39:01Z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