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仿宋_GB2312" w:hAnsi="宋体" w:eastAsia="仿宋_GB2312" w:cs="宋体"/>
          <w:kern w:val="0"/>
          <w:sz w:val="32"/>
          <w:szCs w:val="32"/>
          <w:lang w:val="zh-CN" w:eastAsia="zh-CN" w:bidi="ar"/>
        </w:rPr>
      </w:pPr>
      <w:r>
        <w:rPr>
          <w:rFonts w:hint="eastAsia" w:ascii="仿宋_GB2312" w:hAnsi="宋体" w:eastAsia="仿宋_GB2312" w:cs="宋体"/>
          <w:kern w:val="0"/>
          <w:sz w:val="32"/>
          <w:szCs w:val="32"/>
          <w:lang w:val="zh-CN" w:eastAsia="zh-CN" w:bidi="ar"/>
        </w:rPr>
        <w:t>附件：</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福田区公</w:t>
      </w:r>
      <w:bookmarkStart w:id="0" w:name="_GoBack"/>
      <w:bookmarkEnd w:id="0"/>
      <w:r>
        <w:rPr>
          <w:rFonts w:hint="eastAsia" w:ascii="方正小标宋简体" w:hAnsi="方正小标宋简体" w:eastAsia="方正小标宋简体" w:cs="方正小标宋简体"/>
          <w:sz w:val="44"/>
          <w:szCs w:val="44"/>
          <w:lang w:val="zh-CN"/>
        </w:rPr>
        <w:t>共安全事故隐患举报奖励实施细则</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仿宋_GB2312" w:hAnsi="宋体" w:eastAsia="仿宋_GB2312" w:cs="宋体"/>
          <w:kern w:val="0"/>
          <w:sz w:val="32"/>
          <w:szCs w:val="32"/>
          <w:lang w:val="zh-CN" w:eastAsia="zh-CN" w:bidi="ar"/>
        </w:rPr>
      </w:pPr>
      <w:r>
        <w:rPr>
          <w:rFonts w:hint="eastAsia" w:ascii="仿宋_GB2312" w:hAnsi="宋体" w:eastAsia="仿宋_GB2312" w:cs="宋体"/>
          <w:kern w:val="0"/>
          <w:sz w:val="32"/>
          <w:szCs w:val="32"/>
          <w:lang w:val="zh-CN" w:eastAsia="zh-CN" w:bidi="ar"/>
        </w:rPr>
        <w:t>（修订）</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zh-CN"/>
        </w:rPr>
      </w:pP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lang w:val="zh-CN" w:eastAsia="zh-CN"/>
        </w:rPr>
      </w:pPr>
      <w:r>
        <w:rPr>
          <w:rFonts w:hint="eastAsia" w:ascii="黑体" w:hAnsi="黑体" w:eastAsia="黑体" w:cs="仿宋_GB2312"/>
          <w:kern w:val="0"/>
          <w:sz w:val="32"/>
          <w:szCs w:val="32"/>
          <w:lang w:val="zh-CN"/>
        </w:rPr>
        <w:t>总则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仿宋_GB2312"/>
          <w:kern w:val="0"/>
          <w:sz w:val="32"/>
          <w:szCs w:val="32"/>
          <w:lang w:val="zh-CN" w:eastAsia="zh-CN"/>
        </w:rPr>
      </w:pPr>
    </w:p>
    <w:p>
      <w:pPr>
        <w:pStyle w:val="4"/>
        <w:keepNext w:val="0"/>
        <w:keepLines w:val="0"/>
        <w:widowControl/>
        <w:suppressLineNumbers w:val="0"/>
        <w:spacing w:before="150" w:beforeAutospacing="0" w:after="0" w:afterAutospacing="0" w:line="360" w:lineRule="auto"/>
        <w:ind w:left="0" w:right="0" w:firstLine="640" w:firstLineChars="200"/>
        <w:jc w:val="both"/>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第一条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val="zh-CN"/>
        </w:rPr>
        <w:t>为提高广大人民群众参与公共安全监督管理的积极性，强化公共安全生产的社会监督，及时发现和排除重大事故隐患，制止和惩处安全生产非法违法行为，有效遏制</w:t>
      </w:r>
      <w:r>
        <w:rPr>
          <w:rFonts w:hint="eastAsia" w:ascii="仿宋_GB2312" w:hAnsi="微软雅黑" w:eastAsia="仿宋_GB2312" w:cs="仿宋_GB2312"/>
          <w:color w:val="333333"/>
          <w:kern w:val="0"/>
          <w:sz w:val="32"/>
          <w:szCs w:val="32"/>
          <w:shd w:val="clear" w:fill="FFFFFF"/>
        </w:rPr>
        <w:t>各类</w:t>
      </w:r>
      <w:r>
        <w:rPr>
          <w:rFonts w:hint="eastAsia" w:ascii="仿宋_GB2312" w:hAnsi="宋体" w:eastAsia="仿宋_GB2312" w:cs="宋体"/>
          <w:kern w:val="0"/>
          <w:sz w:val="32"/>
          <w:szCs w:val="32"/>
          <w:lang w:val="zh-CN"/>
        </w:rPr>
        <w:t>公共</w:t>
      </w:r>
      <w:r>
        <w:rPr>
          <w:rFonts w:hint="eastAsia" w:ascii="仿宋_GB2312" w:hAnsi="微软雅黑" w:eastAsia="仿宋_GB2312" w:cs="仿宋_GB2312"/>
          <w:color w:val="333333"/>
          <w:kern w:val="0"/>
          <w:sz w:val="32"/>
          <w:szCs w:val="32"/>
          <w:shd w:val="clear" w:fill="FFFFFF"/>
        </w:rPr>
        <w:t>安全事故发生</w:t>
      </w:r>
      <w:r>
        <w:rPr>
          <w:rFonts w:hint="eastAsia" w:ascii="仿宋_GB2312" w:hAnsi="宋体" w:eastAsia="仿宋_GB2312" w:cs="宋体"/>
          <w:kern w:val="0"/>
          <w:sz w:val="32"/>
          <w:szCs w:val="32"/>
          <w:lang w:val="zh-CN" w:eastAsia="zh-CN"/>
        </w:rPr>
        <w:t>，</w:t>
      </w:r>
      <w:r>
        <w:rPr>
          <w:rFonts w:hint="eastAsia" w:ascii="仿宋_GB2312" w:hAnsi="宋体" w:eastAsia="仿宋_GB2312" w:cs="宋体"/>
          <w:kern w:val="0"/>
          <w:sz w:val="32"/>
          <w:szCs w:val="32"/>
          <w:lang w:val="zh-CN"/>
        </w:rPr>
        <w:t>依据《中华人民共和国安全生产法》《广东省安全生产条例》《安全生产领域举报奖励办法》《广东省安全生产领域举报处理办法》《深圳市安全生产领域举报处理办法》等有关法律法规的规定，结合我区实际，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第二条 </w:t>
      </w:r>
      <w:r>
        <w:rPr>
          <w:rFonts w:hint="eastAsia" w:ascii="仿宋_GB2312" w:hAnsi="宋体" w:eastAsia="仿宋_GB2312" w:cs="宋体"/>
          <w:kern w:val="0"/>
          <w:sz w:val="32"/>
          <w:szCs w:val="32"/>
          <w:lang w:val="zh-CN"/>
        </w:rPr>
        <w:t>区人民政府应急管理部门、负有安全生产监督管理职责的有关部门、负有行业领域管理职责的有关部门及其他有关部门处理公共安全事故隐患的举报奖励事项，适用本实施细则。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第三条 </w:t>
      </w:r>
      <w:r>
        <w:rPr>
          <w:rFonts w:hint="eastAsia" w:ascii="仿宋_GB2312" w:hAnsi="宋体" w:eastAsia="仿宋_GB2312" w:cs="宋体"/>
          <w:kern w:val="0"/>
          <w:sz w:val="32"/>
          <w:szCs w:val="32"/>
          <w:lang w:val="zh-CN"/>
        </w:rPr>
        <w:t>本实施细则所称的举报，是指公民、法人或者其他组织向区人民政府负有安全生产监督管理职责的部门及其他有关部门，反映本行政区域内各行业领域违反有关安全生产的法律、法规的违法行为和违反国家标准、行业标准的隐患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黑体" w:hAnsi="黑体" w:eastAsia="黑体" w:cs="黑体"/>
          <w:kern w:val="0"/>
          <w:sz w:val="32"/>
          <w:szCs w:val="32"/>
          <w:lang w:val="zh-CN"/>
        </w:rPr>
        <w:t>第四条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en-US" w:eastAsia="zh-CN"/>
        </w:rPr>
        <w:t>福田区安全管理委员会办公室应向社会公布公共安全事故隐患举报电话，建立健全举报投诉网络渠道。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第五条</w:t>
      </w:r>
      <w:r>
        <w:rPr>
          <w:rFonts w:hint="eastAsia" w:ascii="黑体" w:hAnsi="黑体" w:eastAsia="黑体" w:cs="黑体"/>
          <w:kern w:val="0"/>
          <w:sz w:val="32"/>
          <w:szCs w:val="32"/>
          <w:lang w:val="en-US" w:eastAsia="zh-CN"/>
        </w:rPr>
        <w:t xml:space="preserve"> </w:t>
      </w:r>
      <w:r>
        <w:rPr>
          <w:rFonts w:hint="eastAsia" w:ascii="仿宋_GB2312" w:hAnsi="仿宋_GB2312" w:eastAsia="仿宋_GB2312" w:cs="仿宋_GB2312"/>
          <w:kern w:val="0"/>
          <w:sz w:val="32"/>
          <w:szCs w:val="32"/>
        </w:rPr>
        <w:t>公共安全事故隐患</w:t>
      </w:r>
      <w:r>
        <w:rPr>
          <w:rFonts w:hint="eastAsia" w:ascii="仿宋_GB2312" w:hAnsi="仿宋_GB2312" w:eastAsia="仿宋_GB2312" w:cs="仿宋_GB2312"/>
          <w:kern w:val="0"/>
          <w:sz w:val="32"/>
          <w:szCs w:val="32"/>
          <w:lang w:val="zh-CN"/>
        </w:rPr>
        <w:t>举报奖励</w:t>
      </w:r>
      <w:r>
        <w:rPr>
          <w:rFonts w:hint="eastAsia" w:ascii="仿宋_GB2312" w:hAnsi="宋体" w:eastAsia="仿宋_GB2312" w:cs="宋体"/>
          <w:kern w:val="0"/>
          <w:sz w:val="32"/>
          <w:szCs w:val="32"/>
          <w:lang w:val="zh-CN"/>
        </w:rPr>
        <w:t>处理工作，遵循“分级负责、行业负责”、“谁主管、谁负责，谁审批、谁负责”的原则。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宋体" w:eastAsia="仿宋_GB2312" w:cs="宋体"/>
          <w:kern w:val="0"/>
          <w:sz w:val="32"/>
          <w:szCs w:val="32"/>
          <w:lang w:val="zh-CN"/>
        </w:rPr>
      </w:pP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lang w:val="zh-CN"/>
        </w:rPr>
      </w:pPr>
      <w:r>
        <w:rPr>
          <w:rFonts w:hint="eastAsia" w:ascii="黑体" w:hAnsi="黑体" w:eastAsia="黑体" w:cs="仿宋_GB2312"/>
          <w:kern w:val="0"/>
          <w:sz w:val="32"/>
          <w:szCs w:val="32"/>
          <w:lang w:val="zh-CN"/>
        </w:rPr>
        <w:t>举报受理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第六条</w:t>
      </w:r>
      <w:r>
        <w:rPr>
          <w:rFonts w:hint="eastAsia" w:ascii="仿宋_GB2312" w:hAnsi="宋体" w:eastAsia="仿宋_GB2312" w:cs="宋体"/>
          <w:kern w:val="0"/>
          <w:sz w:val="32"/>
          <w:szCs w:val="32"/>
          <w:lang w:val="zh-CN"/>
        </w:rPr>
        <w:t xml:space="preserve"> 公共安全事故隐患举报采用举报电话（12350、82917555）、“深圳市12350安全生产举报平台”微信小程序等方式进行。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第七条 </w:t>
      </w:r>
      <w:r>
        <w:rPr>
          <w:rFonts w:hint="eastAsia" w:ascii="仿宋_GB2312" w:hAnsi="宋体" w:eastAsia="仿宋_GB2312" w:cs="宋体"/>
          <w:kern w:val="0"/>
          <w:sz w:val="32"/>
          <w:szCs w:val="32"/>
          <w:lang w:val="zh-CN"/>
        </w:rPr>
        <w:t>公共安全事故隐患举报人的举报应当包括以下内容：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（一）具有真实的安全隐患或重伤、死亡事故事实及与之有关的证据材料；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（二）被举报单位（人）的名称（姓名）、地址、电话等可供核实的有效查找方式；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（三）举报人的姓名、工作单位（或家庭住址）、通讯联系方式，以便查证情况、反馈意见及奖励领取。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第八条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在福田辖区范围内，任何单位或个人发现下列安全生产事故隐患，均有权举报：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（一）可能引起人员伤亡或财产损失的安全生产事故隐患；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（二）生产经营活动中存在的安全隐患及非法违法行为；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（三）危险边坡、地质灾害、地面坍塌、危险化学品、道路交通、消防安全、施工安全、燃气使用、电气线路等领域可能导致事故发生的安全隐患；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（四）小散工程作业过程中可能导致事故发生的安全隐患，包括建设单位或业主、生产经营单位未按照有关规定和技术指引开展作业活动、作业人员未佩戴符合规范标准的安全防护用具等。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（五）其他安全生产违法行为或可能导致事故发生的隐患问题。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val="zh-CN"/>
        </w:rPr>
        <w:t xml:space="preserve">第九条 </w:t>
      </w:r>
      <w:r>
        <w:rPr>
          <w:rFonts w:hint="eastAsia" w:ascii="仿宋_GB2312" w:hAnsi="宋体" w:eastAsia="仿宋_GB2312" w:cs="宋体"/>
          <w:kern w:val="0"/>
          <w:sz w:val="32"/>
          <w:szCs w:val="32"/>
          <w:lang w:val="zh-CN"/>
        </w:rPr>
        <w:t>举报事项有下列情形之一，不予受理：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（一）不属于安全生产领域问题或不属于本部门职责范围；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（二）无明确的举报对象或者具体的举报事项；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（三）已经受理的举报，同一举报人在规定期限内重复举报的；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en-US" w:eastAsia="zh-CN"/>
        </w:rPr>
      </w:pPr>
      <w:r>
        <w:rPr>
          <w:rFonts w:hint="eastAsia" w:ascii="仿宋_GB2312" w:hAnsi="宋体" w:eastAsia="仿宋_GB2312" w:cs="宋体"/>
          <w:kern w:val="0"/>
          <w:sz w:val="32"/>
          <w:szCs w:val="32"/>
          <w:lang w:val="zh-CN"/>
        </w:rPr>
        <w:t>（四）其他不属于本办法所指受理范围的举报事项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第十条 </w:t>
      </w:r>
      <w:r>
        <w:rPr>
          <w:rFonts w:hint="eastAsia" w:ascii="仿宋_GB2312" w:hAnsi="宋体" w:eastAsia="仿宋_GB2312" w:cs="宋体"/>
          <w:kern w:val="0"/>
          <w:sz w:val="32"/>
          <w:szCs w:val="32"/>
          <w:lang w:val="zh-CN"/>
        </w:rPr>
        <w:t>举报事项的受理部门应当依法保护举报人的合法权益并为其保密，不得有下列行为：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（一）向无关人员泄露举报人的姓名、工作单位、家庭住址、联系方式等情况；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（二）将举报材料和举报人有关情况透露或者转给被举报单位和被举报人；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（三）私自摘抄、复制、扫描、扣押或者销毁举报材料，私自对匿名举报材料进行笔迹鉴定；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（四）调查核实有关情况时，向被举报单位和人员出示有可能泄露举报人有效信息的举报材料原件或者复制件；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（五）对举报人进行奖励或者宣传时，未经举报人书面同意公开其个人信息。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宋体" w:eastAsia="仿宋_GB2312" w:cs="宋体"/>
          <w:kern w:val="0"/>
          <w:sz w:val="32"/>
          <w:szCs w:val="32"/>
          <w:lang w:val="zh-CN"/>
        </w:rPr>
      </w:pP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560" w:lineRule="exact"/>
        <w:jc w:val="center"/>
        <w:textAlignment w:val="auto"/>
        <w:rPr>
          <w:rFonts w:hint="eastAsia" w:ascii="黑体" w:hAnsi="黑体" w:eastAsia="黑体" w:cs="仿宋_GB2312"/>
          <w:kern w:val="0"/>
          <w:sz w:val="32"/>
          <w:szCs w:val="32"/>
          <w:lang w:val="zh-CN"/>
        </w:rPr>
      </w:pPr>
      <w:r>
        <w:rPr>
          <w:rFonts w:ascii="黑体" w:hAnsi="黑体" w:eastAsia="黑体" w:cs="仿宋_GB2312"/>
          <w:kern w:val="0"/>
          <w:sz w:val="32"/>
          <w:szCs w:val="32"/>
        </w:rPr>
        <w:t xml:space="preserve"> </w:t>
      </w:r>
      <w:r>
        <w:rPr>
          <w:rFonts w:hint="eastAsia" w:ascii="黑体" w:hAnsi="黑体" w:eastAsia="黑体" w:cs="仿宋_GB2312"/>
          <w:kern w:val="0"/>
          <w:sz w:val="32"/>
          <w:szCs w:val="32"/>
          <w:lang w:val="zh-CN"/>
        </w:rPr>
        <w:t>举报核查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both"/>
        <w:textAlignment w:val="auto"/>
        <w:rPr>
          <w:rFonts w:hint="eastAsia" w:ascii="黑体" w:hAnsi="黑体" w:eastAsia="黑体" w:cs="仿宋_GB2312"/>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第十一条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对实</w:t>
      </w:r>
      <w:r>
        <w:rPr>
          <w:rFonts w:hint="eastAsia" w:ascii="仿宋_GB2312" w:eastAsia="仿宋_GB2312" w:cs="仿宋_GB2312"/>
          <w:color w:val="000000"/>
          <w:kern w:val="0"/>
          <w:sz w:val="32"/>
          <w:szCs w:val="32"/>
          <w:lang w:val="zh-CN"/>
        </w:rPr>
        <w:t>名举报且有联系方式的举报事项，</w:t>
      </w:r>
      <w:r>
        <w:rPr>
          <w:rFonts w:hint="eastAsia" w:ascii="仿宋_GB2312" w:hAnsi="宋体" w:eastAsia="仿宋_GB2312" w:cs="宋体"/>
          <w:kern w:val="0"/>
          <w:sz w:val="32"/>
          <w:szCs w:val="32"/>
          <w:lang w:val="zh-CN"/>
        </w:rPr>
        <w:t>区安全管理委员会办公室</w:t>
      </w:r>
      <w:r>
        <w:rPr>
          <w:rFonts w:hint="eastAsia" w:ascii="仿宋_GB2312" w:eastAsia="仿宋_GB2312" w:cs="仿宋_GB2312"/>
          <w:color w:val="000000"/>
          <w:kern w:val="0"/>
          <w:sz w:val="32"/>
          <w:szCs w:val="32"/>
          <w:lang w:val="zh-CN"/>
        </w:rPr>
        <w:t>接到举报后，能够当场答复是否受理的，应当当</w:t>
      </w:r>
      <w:r>
        <w:rPr>
          <w:rFonts w:hint="eastAsia" w:ascii="仿宋_GB2312" w:eastAsia="仿宋_GB2312" w:cs="仿宋_GB2312"/>
          <w:bCs/>
          <w:color w:val="000000"/>
          <w:kern w:val="0"/>
          <w:sz w:val="32"/>
          <w:szCs w:val="32"/>
          <w:lang w:val="zh-CN"/>
        </w:rPr>
        <w:t>场答复；不能当场答复的，应自举报之日起15个工作日书面告知举报人是否受理。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第十二条</w:t>
      </w:r>
      <w:r>
        <w:rPr>
          <w:rFonts w:hint="eastAsia" w:ascii="仿宋_GB2312" w:hAnsi="宋体" w:eastAsia="仿宋_GB2312" w:cs="宋体"/>
          <w:kern w:val="0"/>
          <w:sz w:val="32"/>
          <w:szCs w:val="32"/>
          <w:lang w:val="zh-CN"/>
        </w:rPr>
        <w:t xml:space="preserve"> 举报的受理和办理工作应当遵守下列程序：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由区安全管理委员会办公室登记举报材料（附件1），并根据隐患所属的管辖区域或者根据隐患的性质进行信息分类，转送至相关街道办或负有安全生产监督管理职责的部门、相关的职能局；分类转送时限为隐患受理后3个工作日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由相关街道办或负有安全生产监督管理职责的部门、相关的职能局，对受理举报事项的隐患信息进行核实和反馈，经核实不属实或不属于本部门职责范围内或在查处过程中涉及隐患线索移交的，应在5个工作日内书面反馈区安全管理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相关街道办或负有安全生产监督管理职责的部门、相关的职能局核实受理举报事项的隐患信息属实并属于本部门职责范围内的举报事项，应当在接到举报事项的20个工作日内落实督促整改，并结合举报内容的详实性、现场查证隐患严重程度（可能造成的人员伤亡和直接经济损失）及整改难度，对举报事项进行“一般”、“较大”、“重大”“特大”的等级初步认定，及时将调查核实结果、查处结果、隐患等级初步认定等情况书面反馈区安全管理委员会办公室（附件2）；对于重大安全隐患，情况紧急的，应当立即协调有关部门依法采取有效措施，消除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（四）区安全管理委员会办公室对在规定时间内未落实隐患整改的举报事项进行督办；</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0" w:firstLineChars="0"/>
        <w:textAlignment w:val="auto"/>
        <w:rPr>
          <w:rFonts w:hint="eastAsia" w:ascii="仿宋_GB2312" w:eastAsia="仿宋_GB2312" w:cs="仿宋_GB2312"/>
          <w:color w:val="000000"/>
          <w:kern w:val="0"/>
          <w:sz w:val="32"/>
          <w:szCs w:val="32"/>
          <w:lang w:val="zh-CN"/>
        </w:rPr>
      </w:pPr>
      <w:r>
        <w:rPr>
          <w:rFonts w:hint="eastAsia" w:ascii="仿宋_GB2312" w:hAnsi="宋体" w:eastAsia="仿宋_GB2312" w:cs="宋体"/>
          <w:kern w:val="0"/>
          <w:sz w:val="32"/>
          <w:szCs w:val="32"/>
          <w:lang w:val="zh-CN"/>
        </w:rPr>
        <w:t xml:space="preserve">    （五）区安全管理委员会办公室应及时将相关街道办、职能部门的反馈处理结果归档，举报人要求答复的，应在受理举报办结后10个工作日内予以答复，并做好统计工作，避免重复核查和重复奖励；对各街道办、部门核查隐患情况属实并初步认定为较大及以上级别事故隐患的，由区安全管理委员会办公室组织相关领域专家进行认定，并报区政府审核（附件3）。</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eastAsia="仿宋_GB2312" w:cs="仿宋_GB2312"/>
          <w:bCs/>
          <w:color w:val="000000"/>
          <w:kern w:val="0"/>
          <w:sz w:val="32"/>
          <w:szCs w:val="32"/>
          <w:lang w:val="zh-CN"/>
        </w:rPr>
      </w:pPr>
      <w:r>
        <w:rPr>
          <w:rFonts w:hint="eastAsia" w:ascii="黑体" w:hAnsi="黑体" w:eastAsia="黑体" w:cs="黑体"/>
          <w:kern w:val="0"/>
          <w:sz w:val="32"/>
          <w:szCs w:val="32"/>
          <w:lang w:val="zh-CN"/>
        </w:rPr>
        <w:t xml:space="preserve"> 第十三条</w:t>
      </w:r>
      <w:r>
        <w:rPr>
          <w:rFonts w:hint="eastAsia" w:ascii="仿宋_GB2312" w:hAnsi="宋体" w:eastAsia="仿宋_GB2312" w:cs="宋体"/>
          <w:kern w:val="0"/>
          <w:sz w:val="32"/>
          <w:szCs w:val="32"/>
          <w:lang w:val="zh-CN"/>
        </w:rPr>
        <w:t xml:space="preserve"> 举</w:t>
      </w:r>
      <w:r>
        <w:rPr>
          <w:rFonts w:hint="eastAsia" w:ascii="仿宋_GB2312" w:eastAsia="仿宋_GB2312" w:cs="仿宋_GB2312"/>
          <w:kern w:val="0"/>
          <w:sz w:val="32"/>
          <w:szCs w:val="32"/>
          <w:lang w:val="zh-CN"/>
        </w:rPr>
        <w:t>报事项涉及两个或者两个以上负有安全生产监督管理职责的部门及其他有关部门的，</w:t>
      </w:r>
      <w:r>
        <w:rPr>
          <w:rFonts w:hint="eastAsia" w:ascii="仿宋_GB2312" w:eastAsia="仿宋_GB2312" w:cs="仿宋_GB2312"/>
          <w:color w:val="000000"/>
          <w:kern w:val="0"/>
          <w:sz w:val="32"/>
          <w:szCs w:val="32"/>
          <w:lang w:val="zh-CN"/>
        </w:rPr>
        <w:t>由</w:t>
      </w:r>
      <w:r>
        <w:rPr>
          <w:rFonts w:hint="eastAsia" w:ascii="仿宋_GB2312" w:hAnsi="宋体" w:eastAsia="仿宋_GB2312" w:cs="宋体"/>
          <w:kern w:val="0"/>
          <w:sz w:val="32"/>
          <w:szCs w:val="32"/>
          <w:lang w:val="zh-CN"/>
        </w:rPr>
        <w:t>区安全管理委员会办公室</w:t>
      </w:r>
      <w:r>
        <w:rPr>
          <w:rFonts w:hint="eastAsia" w:ascii="仿宋_GB2312" w:eastAsia="仿宋_GB2312" w:cs="仿宋_GB2312"/>
          <w:color w:val="000000"/>
          <w:kern w:val="0"/>
          <w:sz w:val="32"/>
          <w:szCs w:val="32"/>
          <w:lang w:val="zh-CN"/>
        </w:rPr>
        <w:t>依据各部门职责确定牵头部门，牵头部门会同相关部门依据法定职责对举报事项进行核查，并由牵头部门汇总反馈举报人。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p>
    <w:p>
      <w:pPr>
        <w:autoSpaceDE w:val="0"/>
        <w:autoSpaceDN w:val="0"/>
        <w:adjustRightInd w:val="0"/>
        <w:spacing w:line="540" w:lineRule="exact"/>
        <w:jc w:val="center"/>
        <w:rPr>
          <w:rFonts w:hint="eastAsia" w:ascii="黑体" w:hAnsi="黑体" w:eastAsia="黑体" w:cs="仿宋_GB2312"/>
          <w:kern w:val="0"/>
          <w:sz w:val="32"/>
          <w:szCs w:val="32"/>
          <w:lang w:val="zh-CN"/>
        </w:rPr>
      </w:pPr>
      <w:r>
        <w:rPr>
          <w:rFonts w:hint="eastAsia" w:ascii="黑体" w:hAnsi="黑体" w:eastAsia="黑体" w:cs="仿宋_GB2312"/>
          <w:kern w:val="0"/>
          <w:sz w:val="32"/>
          <w:szCs w:val="32"/>
          <w:lang w:val="zh-CN"/>
        </w:rPr>
        <w:t>第四章</w:t>
      </w:r>
      <w:r>
        <w:rPr>
          <w:rFonts w:ascii="黑体" w:hAnsi="黑体" w:eastAsia="黑体" w:cs="仿宋_GB2312"/>
          <w:kern w:val="0"/>
          <w:sz w:val="32"/>
          <w:szCs w:val="32"/>
        </w:rPr>
        <w:t xml:space="preserve"> </w:t>
      </w:r>
      <w:r>
        <w:rPr>
          <w:rFonts w:hint="eastAsia" w:ascii="黑体" w:hAnsi="黑体" w:eastAsia="黑体" w:cs="仿宋_GB2312"/>
          <w:kern w:val="0"/>
          <w:sz w:val="32"/>
          <w:szCs w:val="32"/>
          <w:lang w:val="zh-CN"/>
        </w:rPr>
        <w:t>举报奖励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200" w:right="0" w:rightChars="0"/>
        <w:jc w:val="both"/>
        <w:textAlignment w:val="auto"/>
        <w:outlineLvl w:val="9"/>
        <w:rPr>
          <w:rFonts w:hint="eastAsia" w:ascii="仿宋_GB2312" w:eastAsia="仿宋_GB2312" w:cs="仿宋_GB2312"/>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第十四条</w:t>
      </w:r>
      <w:r>
        <w:rPr>
          <w:rFonts w:hint="eastAsia" w:ascii="仿宋_GB2312" w:hAnsi="宋体" w:eastAsia="仿宋_GB2312" w:cs="宋体"/>
          <w:kern w:val="0"/>
          <w:sz w:val="32"/>
          <w:szCs w:val="32"/>
          <w:lang w:val="en-US" w:eastAsia="zh-CN"/>
        </w:rPr>
        <w:t xml:space="preserve"> 开展</w:t>
      </w:r>
      <w:r>
        <w:rPr>
          <w:rFonts w:hint="eastAsia" w:ascii="仿宋_GB2312" w:hAnsi="宋体" w:eastAsia="仿宋_GB2312" w:cs="宋体"/>
          <w:kern w:val="0"/>
          <w:sz w:val="32"/>
          <w:szCs w:val="32"/>
          <w:lang w:val="zh-CN"/>
        </w:rPr>
        <w:t>公共安全事故隐患奖励领域奖励工作，遵循“合法举报、适当奖励、属地管理、分级负责”和“谁受理、谁奖励”的原则。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第十五条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举报经核查属实的，在举报核实后期限内通知举报人领奖。举报人接到领奖通知后，应当在</w:t>
      </w:r>
      <w:r>
        <w:rPr>
          <w:rFonts w:hint="eastAsia" w:ascii="仿宋_GB2312" w:hAnsi="宋体" w:eastAsia="仿宋_GB2312" w:cs="宋体"/>
          <w:kern w:val="0"/>
          <w:sz w:val="32"/>
          <w:szCs w:val="32"/>
          <w:lang w:val="en-US" w:eastAsia="zh-CN"/>
        </w:rPr>
        <w:t>60个工作</w:t>
      </w:r>
      <w:r>
        <w:rPr>
          <w:rFonts w:hint="eastAsia" w:ascii="仿宋_GB2312" w:hAnsi="宋体" w:eastAsia="仿宋_GB2312" w:cs="宋体"/>
          <w:kern w:val="0"/>
          <w:sz w:val="32"/>
          <w:szCs w:val="32"/>
          <w:lang w:val="zh-CN"/>
        </w:rPr>
        <w:t>日内凭举报人有效证件到指定地点领取奖金；或提供有效身份信息及银行账号以便转账领取。无法通知举报人的，受理举报部门可以在一定范围内进行公告。逾期未领取奖金者或未提供有效收款账号，视为放弃领奖权利，该款项返回奖励金专款，不予保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第十六条 </w:t>
      </w:r>
      <w:r>
        <w:rPr>
          <w:rFonts w:hint="eastAsia" w:ascii="仿宋_GB2312" w:hAnsi="宋体" w:eastAsia="仿宋_GB2312" w:cs="宋体"/>
          <w:kern w:val="0"/>
          <w:sz w:val="32"/>
          <w:szCs w:val="32"/>
          <w:lang w:val="zh-CN"/>
        </w:rPr>
        <w:t xml:space="preserve"> 经查证属实且举报人提供真实姓名和联系方式的，区安全管理委员会办公室按照隐患等级的最终认定，应当对首次举报人予以相应的物质奖励，物质奖励标准分为四类八级：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（一）一般事故隐患，是指容易引发一般事故的隐患，或者隐患的整改难度较小，能够在发现后十天内完成整改的隐患；经查实，每宗给予500元奖励，同一人每月奖励金额不超过2500元；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较大事故隐患，是指容易引发较大事故，并且隐患的整改难度较大，不能够在发现后十天内完成整改的隐患，或者容易引发重大以上的事故，且整改所需时间超过十天，但少于三十天的隐患；经查实，每宗给予10000元奖励，同一人每月奖励金额不超过30000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（三）重大事故隐患，是指容易引发重大以上事故，并且隐患较为复杂、整改难度大，需要全部或者局部停产停业，或者跨区域，自身难以排除，经查实</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lang w:val="zh-CN"/>
        </w:rPr>
        <w:t>每宗给予20000元的奖励，同一人每月奖励金额不超过40000元。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特别重大事故隐患，是指容易引发特别重大以上事故，并且隐患较为复杂、整改难度大，需要全部停产停业、及时疏散人员，或者跨区域，自身难以排除，经查实，每宗给予50000元奖励，同一人每月奖励金额不超过100000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w:t>
      </w:r>
      <w:r>
        <w:rPr>
          <w:rFonts w:hint="eastAsia" w:ascii="黑体" w:hAnsi="黑体" w:eastAsia="黑体" w:cs="黑体"/>
          <w:kern w:val="0"/>
          <w:sz w:val="32"/>
          <w:szCs w:val="32"/>
          <w:lang w:val="en-US" w:eastAsia="zh-CN"/>
        </w:rPr>
        <w:t>七</w:t>
      </w:r>
      <w:r>
        <w:rPr>
          <w:rFonts w:hint="eastAsia" w:ascii="黑体" w:hAnsi="黑体" w:eastAsia="黑体" w:cs="黑体"/>
          <w:kern w:val="0"/>
          <w:sz w:val="32"/>
          <w:szCs w:val="32"/>
          <w:lang w:val="zh-CN"/>
        </w:rPr>
        <w:t>条</w:t>
      </w:r>
      <w:r>
        <w:rPr>
          <w:rFonts w:hint="eastAsia" w:ascii="仿宋_GB2312" w:hAnsi="宋体" w:eastAsia="仿宋_GB2312" w:cs="宋体"/>
          <w:kern w:val="0"/>
          <w:sz w:val="32"/>
          <w:szCs w:val="32"/>
          <w:lang w:val="zh-CN"/>
        </w:rPr>
        <w:t xml:space="preserve"> 多人多报同一事项的，只给与最先实名举报的举报人一次性奖励。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多人联名举报同一事项的，奖金可以平均分配，由第一署名人或者第一署名人书面委托的其他署名人领取。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第十八条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举报奖金的审批程序：区安全管理委员会办公室决定受理举报的，在受理后3个工作日内转交相关单位对举报内容核查处理。经调查核实后7日内，填写《福田区12350隐患投诉事项一览表》，报区安全管理委员会办公室分管领导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第十</w:t>
      </w: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lang w:val="zh-CN"/>
        </w:rPr>
        <w:t>条</w:t>
      </w:r>
      <w:r>
        <w:rPr>
          <w:rFonts w:hint="eastAsia" w:ascii="仿宋_GB2312" w:hAnsi="宋体" w:eastAsia="仿宋_GB2312" w:cs="宋体"/>
          <w:kern w:val="0"/>
          <w:sz w:val="32"/>
          <w:szCs w:val="32"/>
          <w:lang w:val="zh-CN"/>
        </w:rPr>
        <w:t xml:space="preserve"> 一般事故举报奖励实行每季度核发一次的方式（附件4），由区安全管理委员会办公室在每季度最后一个月月底前开展举报奖励核发工作，通知受奖励的举报人领取奖励金，下一季度第一个月中下旬完成奖励金的发放工作；较大及以上级别事故隐患的奖励，采用单次结算的方式，经核实确认后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第二十条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en-US" w:eastAsia="zh-CN"/>
        </w:rPr>
        <w:t>受到奖励的举报人应当自接到奖励通知之日起7日内，向</w:t>
      </w:r>
      <w:r>
        <w:rPr>
          <w:rFonts w:hint="eastAsia" w:ascii="仿宋_GB2312" w:hAnsi="宋体" w:eastAsia="仿宋_GB2312" w:cs="宋体"/>
          <w:kern w:val="0"/>
          <w:sz w:val="32"/>
          <w:szCs w:val="32"/>
          <w:lang w:val="zh-CN"/>
        </w:rPr>
        <w:t>区安全管理委员会办公室提供个人银行账户，逾期未提供账户信息的，视为放弃领奖权利，该款项返回奖励金专款，不予保留。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第二十一条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有下列情形之一的，不予发放举报奖：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（一）相关监管部门先期已经发现举报事项并做出处理的；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（二）匿名举报或不提供有效联系方式的；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（三）国家机关、社区工作人员不得为本人或他人获取举报奖励</w:t>
      </w:r>
      <w:r>
        <w:rPr>
          <w:rFonts w:hint="eastAsia" w:ascii="仿宋_GB2312" w:hAnsi="宋体" w:eastAsia="仿宋_GB2312" w:cs="宋体"/>
          <w:kern w:val="0"/>
          <w:sz w:val="32"/>
          <w:szCs w:val="32"/>
          <w:lang w:val="en-US" w:eastAsia="zh-CN"/>
        </w:rPr>
        <w:t>,不得</w:t>
      </w:r>
      <w:r>
        <w:rPr>
          <w:rFonts w:hint="eastAsia" w:ascii="仿宋_GB2312" w:hAnsi="宋体" w:eastAsia="仿宋_GB2312" w:cs="宋体"/>
          <w:kern w:val="0"/>
          <w:sz w:val="32"/>
          <w:szCs w:val="32"/>
          <w:lang w:val="zh-CN"/>
        </w:rPr>
        <w:t>故意将本人职责范围内发现的事故隐患和安全生产非法违法行为或线索透露给他人。经查实有上述情形的，不予发放举报奖励，并移交有关部门依法依规追究相关责任人员的法律责任或行政责任；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（四）以牟利为目的、对同一类型的一般事故隐患和一般安全生产违法行为反复举报的。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（五）受理单位认为不应当奖励的其他情形。</w:t>
      </w:r>
    </w:p>
    <w:p>
      <w:pPr>
        <w:autoSpaceDE w:val="0"/>
        <w:autoSpaceDN w:val="0"/>
        <w:adjustRightInd w:val="0"/>
        <w:spacing w:line="540" w:lineRule="exact"/>
        <w:ind w:firstLine="707"/>
        <w:rPr>
          <w:rFonts w:hint="eastAsia" w:ascii="仿宋_GB2312" w:hAnsi="楷体" w:eastAsia="仿宋_GB2312" w:cs="楷体"/>
          <w:color w:val="000000"/>
          <w:sz w:val="32"/>
          <w:szCs w:val="32"/>
        </w:rPr>
      </w:pPr>
      <w:r>
        <w:rPr>
          <w:rFonts w:hint="eastAsia" w:ascii="仿宋_GB2312" w:hAnsi="楷体" w:eastAsia="仿宋_GB2312" w:cs="楷体"/>
          <w:color w:val="000000"/>
          <w:sz w:val="32"/>
          <w:szCs w:val="32"/>
        </w:rPr>
        <w:t>生产经营单位负责人和安全生产管理人员因履行安全生产管理职责发现事故隐患，应当依法立即处理；不能处理的，应当及时报告本单位有关负责人及时处理。不得以举报代替依法应履行的安全生产管理职责。坚持举报的，不纳入本</w:t>
      </w:r>
      <w:r>
        <w:rPr>
          <w:rFonts w:hint="eastAsia" w:ascii="仿宋_GB2312" w:hAnsi="楷体" w:eastAsia="仿宋_GB2312" w:cs="楷体"/>
          <w:color w:val="000000"/>
          <w:sz w:val="32"/>
          <w:szCs w:val="32"/>
          <w:lang w:eastAsia="zh-CN"/>
        </w:rPr>
        <w:t>实施细则</w:t>
      </w:r>
      <w:r>
        <w:rPr>
          <w:rFonts w:hint="eastAsia" w:ascii="仿宋_GB2312" w:hAnsi="楷体" w:eastAsia="仿宋_GB2312" w:cs="楷体"/>
          <w:color w:val="000000"/>
          <w:sz w:val="32"/>
          <w:szCs w:val="32"/>
        </w:rPr>
        <w:t>规定的举报奖励范围。</w:t>
      </w:r>
    </w:p>
    <w:p>
      <w:pPr>
        <w:autoSpaceDE w:val="0"/>
        <w:autoSpaceDN w:val="0"/>
        <w:adjustRightInd w:val="0"/>
        <w:spacing w:line="540" w:lineRule="exact"/>
        <w:ind w:firstLine="707"/>
        <w:rPr>
          <w:rFonts w:hint="eastAsia" w:ascii="仿宋_GB2312" w:eastAsia="仿宋_GB2312" w:cs="仿宋_GB2312"/>
          <w:kern w:val="0"/>
          <w:sz w:val="32"/>
          <w:szCs w:val="32"/>
          <w:lang w:val="zh-CN"/>
        </w:rPr>
      </w:pPr>
      <w:r>
        <w:rPr>
          <w:rFonts w:hint="eastAsia" w:ascii="仿宋_GB2312" w:eastAsia="仿宋_GB2312" w:cs="仿宋_GB2312"/>
          <w:kern w:val="0"/>
          <w:sz w:val="32"/>
          <w:szCs w:val="32"/>
          <w:lang w:val="zh-CN"/>
        </w:rPr>
        <w:t>生产经营单位从业人员在从业过程中发现事故隐患，应当依法立即向本单位有关负责人或安全生产管理人员报告。有关负责人或安全生产管理人员未在接报当日内启动整改工作的，生产经营单位从业人员可以按本实施细则的规定进行举报，经核查属实的，按规定给予奖励。</w:t>
      </w:r>
    </w:p>
    <w:p>
      <w:pPr>
        <w:autoSpaceDE w:val="0"/>
        <w:autoSpaceDN w:val="0"/>
        <w:adjustRightInd w:val="0"/>
        <w:spacing w:line="540" w:lineRule="exact"/>
        <w:ind w:firstLine="707"/>
        <w:rPr>
          <w:rFonts w:hint="eastAsia" w:ascii="仿宋_GB2312" w:eastAsia="仿宋_GB2312" w:cs="仿宋_GB2312"/>
          <w:kern w:val="0"/>
          <w:sz w:val="32"/>
          <w:szCs w:val="32"/>
          <w:lang w:val="zh-CN"/>
        </w:rPr>
      </w:pPr>
    </w:p>
    <w:p>
      <w:pPr>
        <w:autoSpaceDE w:val="0"/>
        <w:autoSpaceDN w:val="0"/>
        <w:adjustRightInd w:val="0"/>
        <w:spacing w:line="540" w:lineRule="exact"/>
        <w:jc w:val="center"/>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第五章</w:t>
      </w:r>
      <w:r>
        <w:rPr>
          <w:rFonts w:ascii="黑体" w:hAnsi="黑体" w:eastAsia="黑体" w:cs="仿宋_GB2312"/>
          <w:kern w:val="0"/>
          <w:sz w:val="32"/>
          <w:szCs w:val="32"/>
        </w:rPr>
        <w:t xml:space="preserve"> </w:t>
      </w:r>
      <w:r>
        <w:rPr>
          <w:rFonts w:hint="eastAsia" w:ascii="黑体" w:hAnsi="黑体" w:eastAsia="黑体" w:cs="仿宋_GB2312"/>
          <w:kern w:val="0"/>
          <w:sz w:val="32"/>
          <w:szCs w:val="32"/>
          <w:lang w:val="zh-CN"/>
        </w:rPr>
        <w:t>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p>
    <w:p>
      <w:pPr>
        <w:autoSpaceDE w:val="0"/>
        <w:autoSpaceDN w:val="0"/>
        <w:adjustRightInd w:val="0"/>
        <w:spacing w:line="540" w:lineRule="exact"/>
        <w:ind w:firstLine="707"/>
        <w:rPr>
          <w:rFonts w:hint="eastAsia" w:ascii="仿宋_GB2312" w:hAnsi="宋体" w:eastAsia="仿宋_GB2312" w:cs="仿宋_GB2312"/>
          <w:kern w:val="0"/>
          <w:sz w:val="32"/>
          <w:szCs w:val="32"/>
          <w:lang w:val="zh-CN"/>
        </w:rPr>
      </w:pPr>
      <w:r>
        <w:rPr>
          <w:rFonts w:hint="eastAsia" w:ascii="黑体" w:hAnsi="黑体" w:eastAsia="黑体" w:cs="黑体"/>
          <w:kern w:val="0"/>
          <w:sz w:val="32"/>
          <w:szCs w:val="32"/>
          <w:lang w:val="zh-CN"/>
        </w:rPr>
        <w:t xml:space="preserve">第二十二条 </w:t>
      </w:r>
      <w:r>
        <w:rPr>
          <w:rFonts w:hint="eastAsia" w:ascii="仿宋_GB2312" w:hAnsi="宋体" w:eastAsia="仿宋_GB2312" w:cs="仿宋_GB2312"/>
          <w:kern w:val="0"/>
          <w:sz w:val="32"/>
          <w:szCs w:val="32"/>
          <w:lang w:val="zh-CN"/>
        </w:rPr>
        <w:t>国家机关、社区工作人员不得为本人或他人获取举报奖励故意将本人职责范围内发现的事故隐患和安全生产违法行为或线索透露给他人。经查实有上述情形的，不予发放举报奖励，并移交有关部门依法依规追究相关责任人员的法律责任或行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 第二十三条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举报受理或办理人员有下列情形之一的，根据相关规定视情节轻重给予行政处分；构成犯罪的，依法移送司法机关处理。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（一）伪造举报材料骗取举报奖金或冒领举报奖金的；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（二）对举报人或举报查处工作推诿、敷衍、拖延的；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（三）因工作失职造成举报人身份或举报材料泄漏，给举报人造成不良影响的；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（四）故意向被举报人（或单位）泄漏举报人身份或举报材料的；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仿宋_GB2312" w:hAnsi="宋体" w:eastAsia="仿宋_GB2312" w:cs="宋体"/>
          <w:kern w:val="0"/>
          <w:sz w:val="32"/>
          <w:szCs w:val="32"/>
          <w:lang w:val="zh-CN"/>
        </w:rPr>
        <w:t>（五）对举报人进行打击报复的。</w:t>
      </w:r>
    </w:p>
    <w:p>
      <w:pPr>
        <w:autoSpaceDE w:val="0"/>
        <w:autoSpaceDN w:val="0"/>
        <w:adjustRightInd w:val="0"/>
        <w:spacing w:line="540" w:lineRule="exact"/>
        <w:ind w:firstLine="707"/>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 xml:space="preserve"> 第二十四条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val="zh-CN"/>
        </w:rPr>
        <w:t>有关单位或个人对公共安全事故隐患举报的举报人进行打击报复的，由安全生产监督管理、公安、纪检、监察等有关主管部门根据有关规定严肃查处；构成犯罪的，依法移送司法机关追究刑事责任。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kern w:val="0"/>
          <w:sz w:val="32"/>
          <w:szCs w:val="32"/>
          <w:lang w:val="zh-CN"/>
        </w:rPr>
      </w:pPr>
      <w:r>
        <w:rPr>
          <w:rFonts w:hint="eastAsia" w:ascii="仿宋_GB2312" w:hAnsi="宋体" w:eastAsia="仿宋_GB2312" w:cs="宋体"/>
          <w:kern w:val="0"/>
          <w:sz w:val="32"/>
          <w:szCs w:val="32"/>
          <w:lang w:val="zh-CN"/>
        </w:rPr>
        <w:t xml:space="preserve"> </w:t>
      </w:r>
      <w:r>
        <w:rPr>
          <w:rFonts w:hint="eastAsia" w:ascii="黑体" w:hAnsi="黑体" w:eastAsia="黑体" w:cs="黑体"/>
          <w:kern w:val="0"/>
          <w:sz w:val="32"/>
          <w:szCs w:val="32"/>
          <w:lang w:val="zh-CN"/>
        </w:rPr>
        <w:t xml:space="preserve">第二十五条 </w:t>
      </w:r>
      <w:r>
        <w:rPr>
          <w:rFonts w:hint="eastAsia" w:ascii="仿宋_GB2312" w:hAnsi="宋体" w:eastAsia="仿宋_GB2312" w:cs="宋体"/>
          <w:kern w:val="0"/>
          <w:sz w:val="32"/>
          <w:szCs w:val="32"/>
          <w:lang w:val="zh-CN"/>
        </w:rPr>
        <w:t>给予举报人的奖金纳入同级财政预算，通过现有资金渠道安排，专款专用。奖金的使用管理要按照财政部门的规定执行，专款专用，接受财政、审计等部门的监督检查，发现问题，依法追究责任。</w:t>
      </w:r>
    </w:p>
    <w:p>
      <w:pPr>
        <w:autoSpaceDE w:val="0"/>
        <w:autoSpaceDN w:val="0"/>
        <w:adjustRightInd w:val="0"/>
        <w:spacing w:line="540" w:lineRule="exact"/>
        <w:ind w:firstLine="707"/>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第二十六条</w:t>
      </w:r>
      <w:r>
        <w:rPr>
          <w:rFonts w:hint="eastAsia" w:ascii="仿宋_GB2312" w:hAnsi="宋体" w:eastAsia="仿宋_GB2312" w:cs="宋体"/>
          <w:kern w:val="0"/>
          <w:sz w:val="32"/>
          <w:szCs w:val="32"/>
          <w:lang w:val="zh-CN"/>
        </w:rPr>
        <w:t xml:space="preserve"> 区安全管理委员会办公室应</w:t>
      </w:r>
      <w:r>
        <w:rPr>
          <w:rFonts w:hint="eastAsia" w:ascii="仿宋_GB2312" w:eastAsia="仿宋_GB2312" w:cs="仿宋_GB2312"/>
          <w:kern w:val="0"/>
          <w:sz w:val="32"/>
          <w:szCs w:val="32"/>
          <w:lang w:val="zh-CN"/>
        </w:rPr>
        <w:t>按照“一事一档”的原则，结合档案管理的相关法律法规等相关规定，建立完善安全生产举报档案管理制度，将举报处理的相关材料及时归档，留存备查。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r>
        <w:rPr>
          <w:rFonts w:hint="eastAsia" w:ascii="黑体" w:hAnsi="黑体" w:eastAsia="黑体" w:cs="黑体"/>
          <w:kern w:val="0"/>
          <w:sz w:val="32"/>
          <w:szCs w:val="32"/>
          <w:lang w:val="zh-CN"/>
        </w:rPr>
        <w:t>第二十七条</w:t>
      </w:r>
      <w:r>
        <w:rPr>
          <w:rFonts w:hint="eastAsia" w:ascii="黑体" w:hAnsi="黑体" w:eastAsia="黑体" w:cs="黑体"/>
          <w:kern w:val="0"/>
          <w:sz w:val="32"/>
          <w:szCs w:val="32"/>
          <w:lang w:val="en-US" w:eastAsia="zh-CN"/>
        </w:rPr>
        <w:t xml:space="preserve"> </w:t>
      </w:r>
      <w:r>
        <w:rPr>
          <w:rFonts w:hint="eastAsia" w:ascii="仿宋_GB2312" w:hAnsi="宋体" w:eastAsia="仿宋_GB2312" w:cs="宋体"/>
          <w:kern w:val="0"/>
          <w:sz w:val="32"/>
          <w:szCs w:val="32"/>
          <w:lang w:val="zh-CN"/>
        </w:rPr>
        <w:t>区安全管理委员会办公室应</w:t>
      </w:r>
      <w:r>
        <w:rPr>
          <w:rFonts w:hint="eastAsia" w:ascii="仿宋_GB2312" w:eastAsia="仿宋_GB2312" w:cs="仿宋_GB2312"/>
          <w:bCs/>
          <w:kern w:val="0"/>
          <w:sz w:val="32"/>
          <w:szCs w:val="32"/>
          <w:lang w:val="zh-CN"/>
        </w:rPr>
        <w:t>建立举报信息统计报表制度，实行分级管理，逐级报送，报市安全管理委员会备案。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zh-CN"/>
        </w:rPr>
      </w:pPr>
    </w:p>
    <w:p>
      <w:pPr>
        <w:numPr>
          <w:ilvl w:val="0"/>
          <w:numId w:val="7"/>
        </w:numPr>
        <w:autoSpaceDE w:val="0"/>
        <w:autoSpaceDN w:val="0"/>
        <w:adjustRightInd w:val="0"/>
        <w:spacing w:line="540" w:lineRule="exact"/>
        <w:jc w:val="center"/>
        <w:rPr>
          <w:rFonts w:hint="eastAsia" w:ascii="黑体" w:hAnsi="黑体" w:eastAsia="黑体" w:cs="仿宋_GB2312"/>
          <w:kern w:val="0"/>
          <w:sz w:val="32"/>
          <w:szCs w:val="32"/>
          <w:lang w:val="zh-CN"/>
        </w:rPr>
      </w:pPr>
      <w:r>
        <w:rPr>
          <w:rFonts w:hint="eastAsia" w:ascii="黑体" w:hAnsi="黑体" w:eastAsia="黑体" w:cs="仿宋_GB2312"/>
          <w:kern w:val="0"/>
          <w:sz w:val="32"/>
          <w:szCs w:val="32"/>
          <w:lang w:val="zh-CN"/>
        </w:rPr>
        <w:t>附则</w:t>
      </w:r>
    </w:p>
    <w:p>
      <w:pPr>
        <w:numPr>
          <w:ilvl w:val="0"/>
          <w:numId w:val="0"/>
        </w:numPr>
        <w:autoSpaceDE w:val="0"/>
        <w:autoSpaceDN w:val="0"/>
        <w:adjustRightInd w:val="0"/>
        <w:spacing w:line="540" w:lineRule="exact"/>
        <w:jc w:val="both"/>
        <w:rPr>
          <w:rFonts w:hint="eastAsia" w:ascii="黑体" w:hAnsi="黑体" w:eastAsia="黑体" w:cs="仿宋_GB2312"/>
          <w:kern w:val="0"/>
          <w:sz w:val="32"/>
          <w:szCs w:val="32"/>
          <w:lang w:val="zh-CN"/>
        </w:rPr>
      </w:pPr>
    </w:p>
    <w:p>
      <w:pPr>
        <w:autoSpaceDE w:val="0"/>
        <w:autoSpaceDN w:val="0"/>
        <w:adjustRightInd w:val="0"/>
        <w:spacing w:line="540" w:lineRule="exact"/>
        <w:ind w:firstLine="707"/>
        <w:rPr>
          <w:rFonts w:hint="eastAsia" w:ascii="仿宋_GB2312" w:hAnsi="宋体" w:eastAsia="仿宋_GB2312" w:cs="宋体"/>
          <w:kern w:val="0"/>
          <w:sz w:val="32"/>
          <w:szCs w:val="32"/>
          <w:lang w:val="zh-CN"/>
        </w:rPr>
      </w:pPr>
      <w:r>
        <w:rPr>
          <w:rFonts w:hint="eastAsia" w:ascii="黑体" w:hAnsi="黑体" w:eastAsia="黑体" w:cs="黑体"/>
          <w:bCs/>
          <w:kern w:val="0"/>
          <w:sz w:val="32"/>
          <w:szCs w:val="32"/>
          <w:lang w:val="zh-CN"/>
        </w:rPr>
        <w:t>第二十八条</w:t>
      </w:r>
      <w:r>
        <w:rPr>
          <w:rFonts w:ascii="仿宋_GB2312" w:eastAsia="黑体" w:cs="仿宋_GB2312"/>
          <w:kern w:val="0"/>
          <w:sz w:val="32"/>
          <w:szCs w:val="32"/>
        </w:rPr>
        <w:t xml:space="preserve"> </w:t>
      </w:r>
      <w:r>
        <w:rPr>
          <w:rFonts w:hint="eastAsia" w:ascii="仿宋_GB2312" w:hAnsi="宋体" w:eastAsia="仿宋_GB2312" w:cs="宋体"/>
          <w:kern w:val="0"/>
          <w:sz w:val="32"/>
          <w:szCs w:val="32"/>
          <w:lang w:val="zh-CN" w:eastAsia="zh-CN"/>
        </w:rPr>
        <w:t>本实施细则所称</w:t>
      </w:r>
      <w:r>
        <w:rPr>
          <w:rFonts w:hint="default" w:ascii="仿宋_GB2312" w:hAnsi="宋体" w:eastAsia="仿宋_GB2312" w:cs="宋体"/>
          <w:kern w:val="0"/>
          <w:sz w:val="32"/>
          <w:szCs w:val="32"/>
          <w:lang w:val="zh-CN"/>
        </w:rPr>
        <w:t>“</w:t>
      </w:r>
      <w:r>
        <w:rPr>
          <w:rFonts w:hint="eastAsia" w:ascii="仿宋_GB2312" w:hAnsi="宋体" w:eastAsia="仿宋_GB2312" w:cs="宋体"/>
          <w:kern w:val="0"/>
          <w:sz w:val="32"/>
          <w:szCs w:val="32"/>
          <w:lang w:val="zh-CN"/>
        </w:rPr>
        <w:t>公共安全事故隐患</w:t>
      </w:r>
      <w:r>
        <w:rPr>
          <w:rFonts w:hint="default" w:ascii="仿宋_GB2312" w:hAnsi="宋体" w:eastAsia="仿宋_GB2312" w:cs="宋体"/>
          <w:kern w:val="0"/>
          <w:sz w:val="32"/>
          <w:szCs w:val="32"/>
          <w:lang w:val="zh-CN"/>
        </w:rPr>
        <w:t>“</w:t>
      </w:r>
      <w:r>
        <w:rPr>
          <w:rFonts w:hint="eastAsia" w:ascii="仿宋_GB2312" w:hAnsi="宋体" w:eastAsia="仿宋_GB2312" w:cs="宋体"/>
          <w:kern w:val="0"/>
          <w:sz w:val="32"/>
          <w:szCs w:val="32"/>
          <w:lang w:val="zh-CN"/>
        </w:rPr>
        <w:t>是指违反安全生产法律、法规、规章、标准、规程和安全生产管理制度的规定，或者因其他因素在生产经营活动中存在可能导致的人身伤亡或经济损失的物的不安全状态。</w:t>
      </w:r>
    </w:p>
    <w:p>
      <w:pPr>
        <w:autoSpaceDE w:val="0"/>
        <w:autoSpaceDN w:val="0"/>
        <w:adjustRightInd w:val="0"/>
        <w:spacing w:line="540" w:lineRule="exact"/>
        <w:ind w:firstLine="707"/>
        <w:rPr>
          <w:rFonts w:ascii="仿宋_GB2312" w:eastAsia="仿宋_GB2312" w:cs="仿宋_GB2312"/>
          <w:bCs/>
          <w:kern w:val="0"/>
          <w:sz w:val="32"/>
          <w:szCs w:val="32"/>
          <w:lang w:val="zh-CN"/>
        </w:rPr>
      </w:pPr>
      <w:r>
        <w:rPr>
          <w:rFonts w:hint="eastAsia" w:ascii="黑体" w:hAnsi="黑体" w:eastAsia="黑体" w:cs="黑体"/>
          <w:kern w:val="0"/>
          <w:sz w:val="32"/>
          <w:szCs w:val="32"/>
          <w:lang w:val="zh-CN"/>
        </w:rPr>
        <w:t xml:space="preserve">第二十九条 </w:t>
      </w:r>
      <w:r>
        <w:rPr>
          <w:rFonts w:hint="eastAsia" w:ascii="仿宋_GB2312" w:eastAsia="仿宋_GB2312" w:cs="仿宋_GB2312"/>
          <w:bCs/>
          <w:kern w:val="0"/>
          <w:sz w:val="32"/>
          <w:szCs w:val="32"/>
          <w:lang w:val="zh-CN"/>
        </w:rPr>
        <w:t>本实施细则中所指“日”，除明确规定为“工作日”之外，其他均指“自然日”。</w:t>
      </w:r>
    </w:p>
    <w:p>
      <w:pPr>
        <w:autoSpaceDE w:val="0"/>
        <w:autoSpaceDN w:val="0"/>
        <w:adjustRightInd w:val="0"/>
        <w:spacing w:line="540" w:lineRule="exact"/>
        <w:ind w:firstLine="707"/>
        <w:rPr>
          <w:rFonts w:hint="eastAsia" w:ascii="仿宋_GB2312" w:eastAsia="仿宋_GB2312" w:cs="仿宋_GB2312"/>
          <w:bCs/>
          <w:kern w:val="0"/>
          <w:sz w:val="32"/>
          <w:szCs w:val="32"/>
          <w:lang w:val="zh-CN"/>
        </w:rPr>
      </w:pPr>
      <w:r>
        <w:rPr>
          <w:rFonts w:ascii="仿宋_GB2312" w:cs="仿宋_GB2312"/>
          <w:b/>
          <w:bCs/>
          <w:kern w:val="0"/>
          <w:sz w:val="32"/>
          <w:szCs w:val="32"/>
          <w:lang w:val="zh-CN"/>
        </w:rPr>
        <w:t xml:space="preserve"> </w:t>
      </w:r>
      <w:r>
        <w:rPr>
          <w:rFonts w:hint="eastAsia" w:ascii="黑体" w:hAnsi="黑体" w:eastAsia="黑体" w:cs="黑体"/>
          <w:kern w:val="0"/>
          <w:sz w:val="32"/>
          <w:szCs w:val="32"/>
          <w:lang w:val="zh-CN"/>
        </w:rPr>
        <w:t>第三十条</w:t>
      </w:r>
      <w:r>
        <w:rPr>
          <w:rFonts w:hint="eastAsia" w:ascii="黑体" w:hAnsi="黑体" w:eastAsia="黑体" w:cs="黑体"/>
          <w:kern w:val="0"/>
          <w:sz w:val="32"/>
          <w:szCs w:val="32"/>
          <w:lang w:val="en-US" w:eastAsia="zh-CN"/>
        </w:rPr>
        <w:t xml:space="preserve"> </w:t>
      </w:r>
      <w:r>
        <w:rPr>
          <w:rFonts w:hint="eastAsia" w:ascii="仿宋_GB2312" w:eastAsia="仿宋_GB2312" w:cs="仿宋_GB2312"/>
          <w:bCs/>
          <w:kern w:val="0"/>
          <w:sz w:val="32"/>
          <w:szCs w:val="32"/>
          <w:lang w:val="zh-CN"/>
        </w:rPr>
        <w:t>本实施细则由区深圳市福田区安全管理委员会办公室负责解释，</w:t>
      </w:r>
    </w:p>
    <w:p>
      <w:pPr>
        <w:autoSpaceDE w:val="0"/>
        <w:autoSpaceDN w:val="0"/>
        <w:adjustRightInd w:val="0"/>
        <w:spacing w:line="540" w:lineRule="exact"/>
        <w:ind w:firstLine="707"/>
        <w:rPr>
          <w:rFonts w:hint="eastAsia" w:ascii="仿宋_GB2312" w:eastAsia="仿宋_GB2312" w:cs="仿宋_GB2312"/>
          <w:bCs/>
          <w:kern w:val="0"/>
          <w:sz w:val="32"/>
          <w:szCs w:val="32"/>
          <w:lang w:val="zh-CN"/>
        </w:rPr>
      </w:pPr>
      <w:r>
        <w:rPr>
          <w:rFonts w:hint="eastAsia" w:ascii="黑体" w:hAnsi="黑体" w:eastAsia="黑体" w:cs="黑体"/>
          <w:kern w:val="0"/>
          <w:sz w:val="32"/>
          <w:szCs w:val="32"/>
          <w:lang w:val="zh-CN"/>
        </w:rPr>
        <w:t>第三十一条</w:t>
      </w:r>
      <w:r>
        <w:rPr>
          <w:rFonts w:hint="eastAsia" w:ascii="黑体" w:hAnsi="黑体" w:eastAsia="黑体" w:cs="黑体"/>
          <w:kern w:val="0"/>
          <w:sz w:val="32"/>
          <w:szCs w:val="32"/>
          <w:lang w:val="en-US" w:eastAsia="zh-CN"/>
        </w:rPr>
        <w:t xml:space="preserve"> </w:t>
      </w:r>
      <w:r>
        <w:rPr>
          <w:rFonts w:hint="eastAsia" w:ascii="仿宋_GB2312" w:eastAsia="仿宋_GB2312" w:cs="仿宋_GB2312"/>
          <w:bCs/>
          <w:kern w:val="0"/>
          <w:sz w:val="32"/>
          <w:szCs w:val="32"/>
          <w:lang w:val="zh-CN"/>
        </w:rPr>
        <w:t>本实施细则自</w:t>
      </w:r>
      <w:r>
        <w:rPr>
          <w:rFonts w:ascii="仿宋_GB2312" w:eastAsia="仿宋_GB2312" w:cs="仿宋_GB2312"/>
          <w:bCs/>
          <w:kern w:val="0"/>
          <w:sz w:val="32"/>
          <w:szCs w:val="32"/>
          <w:lang w:val="zh-CN"/>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lang w:val="zh-CN"/>
        </w:rPr>
        <w:t>年</w:t>
      </w:r>
      <w:r>
        <w:rPr>
          <w:rFonts w:ascii="仿宋_GB2312" w:eastAsia="仿宋_GB2312" w:cs="仿宋_GB2312"/>
          <w:bCs/>
          <w:kern w:val="0"/>
          <w:sz w:val="32"/>
          <w:szCs w:val="32"/>
          <w:lang w:val="zh-CN"/>
        </w:rPr>
        <w:t xml:space="preserve"> </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月</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日起施行，有效期</w:t>
      </w:r>
      <w:r>
        <w:rPr>
          <w:rFonts w:ascii="仿宋_GB2312" w:eastAsia="仿宋_GB2312" w:cs="仿宋_GB2312"/>
          <w:bCs/>
          <w:kern w:val="0"/>
          <w:sz w:val="32"/>
          <w:szCs w:val="32"/>
          <w:lang w:val="zh-CN"/>
        </w:rPr>
        <w:t>5</w:t>
      </w:r>
      <w:r>
        <w:rPr>
          <w:rFonts w:hint="eastAsia" w:ascii="仿宋_GB2312" w:eastAsia="仿宋_GB2312" w:cs="仿宋_GB2312"/>
          <w:bCs/>
          <w:kern w:val="0"/>
          <w:sz w:val="32"/>
          <w:szCs w:val="32"/>
          <w:lang w:val="zh-CN"/>
        </w:rPr>
        <w:t>年，区政府办公室</w:t>
      </w:r>
      <w:r>
        <w:rPr>
          <w:rFonts w:ascii="仿宋_GB2312" w:eastAsia="仿宋_GB2312" w:cs="仿宋_GB2312"/>
          <w:bCs/>
          <w:kern w:val="0"/>
          <w:sz w:val="32"/>
          <w:szCs w:val="32"/>
          <w:lang w:val="zh-CN"/>
        </w:rPr>
        <w:t>20</w:t>
      </w:r>
      <w:r>
        <w:rPr>
          <w:rFonts w:hint="eastAsia" w:ascii="仿宋_GB2312" w:eastAsia="仿宋_GB2312" w:cs="仿宋_GB2312"/>
          <w:bCs/>
          <w:kern w:val="0"/>
          <w:sz w:val="32"/>
          <w:szCs w:val="32"/>
          <w:lang w:val="en-US" w:eastAsia="zh-CN"/>
        </w:rPr>
        <w:t>17</w:t>
      </w:r>
      <w:r>
        <w:rPr>
          <w:rFonts w:hint="eastAsia" w:ascii="仿宋_GB2312" w:eastAsia="仿宋_GB2312" w:cs="仿宋_GB2312"/>
          <w:bCs/>
          <w:kern w:val="0"/>
          <w:sz w:val="32"/>
          <w:szCs w:val="32"/>
          <w:lang w:val="zh-CN"/>
        </w:rPr>
        <w:t>年</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lang w:val="zh-CN"/>
        </w:rPr>
        <w:t>月</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lang w:val="zh-CN"/>
        </w:rPr>
        <w:t>日印发的《福田区公共安全事故隐患举报奖励办法实施细则》（福府办规〔</w:t>
      </w:r>
      <w:r>
        <w:rPr>
          <w:rFonts w:ascii="仿宋_GB2312" w:eastAsia="仿宋_GB2312" w:cs="仿宋_GB2312"/>
          <w:bCs/>
          <w:kern w:val="0"/>
          <w:sz w:val="32"/>
          <w:szCs w:val="32"/>
          <w:lang w:val="zh-CN"/>
        </w:rPr>
        <w:t>201</w:t>
      </w:r>
      <w:r>
        <w:rPr>
          <w:rFonts w:hint="eastAsia" w:ascii="仿宋_GB2312" w:eastAsia="仿宋_GB2312" w:cs="仿宋_GB2312"/>
          <w:bCs/>
          <w:kern w:val="0"/>
          <w:sz w:val="32"/>
          <w:szCs w:val="32"/>
          <w:lang w:val="en-US" w:eastAsia="zh-CN"/>
        </w:rPr>
        <w:t>7</w:t>
      </w:r>
      <w:r>
        <w:rPr>
          <w:rFonts w:hint="eastAsia" w:ascii="仿宋_GB2312" w:eastAsia="仿宋_GB2312" w:cs="仿宋_GB2312"/>
          <w:bCs/>
          <w:kern w:val="0"/>
          <w:sz w:val="32"/>
          <w:szCs w:val="32"/>
          <w:lang w:val="zh-CN"/>
        </w:rPr>
        <w:t>〕</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lang w:val="zh-CN"/>
        </w:rPr>
        <w:t>号）同时废止。</w:t>
      </w:r>
    </w:p>
    <w:p>
      <w:pPr>
        <w:autoSpaceDE w:val="0"/>
        <w:autoSpaceDN w:val="0"/>
        <w:adjustRightInd w:val="0"/>
        <w:spacing w:line="540" w:lineRule="exact"/>
        <w:ind w:firstLine="707"/>
        <w:rPr>
          <w:rFonts w:hint="eastAsia" w:ascii="仿宋_GB2312" w:eastAsia="仿宋_GB2312" w:cs="仿宋_GB2312"/>
          <w:bCs/>
          <w:kern w:val="0"/>
          <w:sz w:val="32"/>
          <w:szCs w:val="32"/>
          <w:lang w:val="zh-CN"/>
        </w:rPr>
      </w:pPr>
    </w:p>
    <w:p>
      <w:pPr>
        <w:autoSpaceDE w:val="0"/>
        <w:autoSpaceDN w:val="0"/>
        <w:adjustRightInd w:val="0"/>
        <w:spacing w:line="540" w:lineRule="exact"/>
        <w:ind w:firstLine="707"/>
        <w:rPr>
          <w:rFonts w:hint="eastAsia" w:ascii="仿宋_GB2312" w:eastAsia="仿宋_GB2312" w:cs="仿宋_GB2312"/>
          <w:bCs/>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仿宋_GB2312" w:eastAsia="仿宋_GB2312" w:cs="仿宋_GB2312"/>
          <w:bCs/>
          <w:kern w:val="0"/>
          <w:sz w:val="32"/>
          <w:szCs w:val="32"/>
          <w:lang w:val="zh-CN"/>
        </w:rPr>
      </w:pPr>
      <w:r>
        <w:rPr>
          <w:rFonts w:hint="eastAsia" w:ascii="仿宋_GB2312" w:eastAsia="仿宋_GB2312" w:cs="仿宋_GB2312"/>
          <w:bCs/>
          <w:kern w:val="0"/>
          <w:sz w:val="32"/>
          <w:szCs w:val="32"/>
          <w:lang w:val="zh-CN"/>
        </w:rPr>
        <w:t>附件：1</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福田区公共安全隐患与事故举报受理登记表</w:t>
      </w:r>
    </w:p>
    <w:p>
      <w:pPr>
        <w:keepNext w:val="0"/>
        <w:keepLines w:val="0"/>
        <w:pageBreakBefore w:val="0"/>
        <w:widowControl w:val="0"/>
        <w:kinsoku/>
        <w:wordWrap/>
        <w:overflowPunct/>
        <w:topLinePunct w:val="0"/>
        <w:autoSpaceDE w:val="0"/>
        <w:autoSpaceDN w:val="0"/>
        <w:bidi w:val="0"/>
        <w:adjustRightInd w:val="0"/>
        <w:snapToGrid/>
        <w:spacing w:line="540" w:lineRule="exact"/>
        <w:ind w:left="1916" w:leftChars="760" w:right="0" w:rightChars="0" w:hanging="320" w:hangingChars="100"/>
        <w:jc w:val="both"/>
        <w:textAlignment w:val="auto"/>
        <w:outlineLvl w:val="9"/>
        <w:rPr>
          <w:rFonts w:hint="eastAsia" w:ascii="仿宋_GB2312" w:eastAsia="仿宋_GB2312" w:cs="仿宋_GB2312"/>
          <w:bCs/>
          <w:kern w:val="0"/>
          <w:sz w:val="32"/>
          <w:szCs w:val="32"/>
          <w:lang w:val="zh-CN"/>
        </w:rPr>
      </w:pPr>
      <w:r>
        <w:rPr>
          <w:rFonts w:hint="eastAsia" w:ascii="仿宋_GB2312" w:eastAsia="仿宋_GB2312" w:cs="仿宋_GB2312"/>
          <w:bCs/>
          <w:kern w:val="0"/>
          <w:sz w:val="32"/>
          <w:szCs w:val="32"/>
          <w:lang w:val="zh-CN"/>
        </w:rPr>
        <w:t>2</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***区（部门）安全生产领域举报事项办理情况的回复函</w:t>
      </w:r>
    </w:p>
    <w:p>
      <w:pPr>
        <w:keepNext w:val="0"/>
        <w:keepLines w:val="0"/>
        <w:pageBreakBefore w:val="0"/>
        <w:widowControl w:val="0"/>
        <w:kinsoku/>
        <w:wordWrap/>
        <w:overflowPunct/>
        <w:topLinePunct w:val="0"/>
        <w:autoSpaceDE w:val="0"/>
        <w:autoSpaceDN w:val="0"/>
        <w:bidi w:val="0"/>
        <w:adjustRightInd w:val="0"/>
        <w:snapToGrid/>
        <w:spacing w:line="540" w:lineRule="exact"/>
        <w:ind w:left="2236" w:leftChars="760" w:right="0" w:rightChars="0" w:hanging="640" w:hangingChars="200"/>
        <w:jc w:val="both"/>
        <w:textAlignment w:val="auto"/>
        <w:outlineLvl w:val="9"/>
        <w:rPr>
          <w:rFonts w:hint="eastAsia" w:ascii="仿宋_GB2312" w:eastAsia="仿宋_GB2312" w:cs="仿宋_GB2312"/>
          <w:bCs/>
          <w:kern w:val="0"/>
          <w:sz w:val="32"/>
          <w:szCs w:val="32"/>
          <w:lang w:val="zh-CN"/>
        </w:rPr>
      </w:pPr>
      <w:r>
        <w:rPr>
          <w:rFonts w:hint="eastAsia" w:ascii="仿宋_GB2312" w:eastAsia="仿宋_GB2312" w:cs="仿宋_GB2312"/>
          <w:bCs/>
          <w:kern w:val="0"/>
          <w:sz w:val="32"/>
          <w:szCs w:val="32"/>
          <w:lang w:val="zh-CN"/>
        </w:rPr>
        <w:t>3</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福田区举报事项</w:t>
      </w:r>
      <w:r>
        <w:rPr>
          <w:rFonts w:hint="default"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较大</w:t>
      </w:r>
      <w:r>
        <w:rPr>
          <w:rFonts w:hint="default"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重大</w:t>
      </w:r>
      <w:r>
        <w:rPr>
          <w:rFonts w:hint="default"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特大</w:t>
      </w:r>
      <w:r>
        <w:rPr>
          <w:rFonts w:hint="default" w:ascii="仿宋_GB2312" w:eastAsia="仿宋_GB2312" w:cs="仿宋_GB2312"/>
          <w:bCs/>
          <w:kern w:val="0"/>
          <w:sz w:val="32"/>
          <w:szCs w:val="32"/>
          <w:lang w:val="zh-CN"/>
        </w:rPr>
        <w:t>”</w:t>
      </w:r>
      <w:r>
        <w:rPr>
          <w:rFonts w:hint="eastAsia" w:ascii="仿宋_GB2312" w:eastAsia="仿宋_GB2312" w:cs="仿宋_GB2312"/>
          <w:bCs/>
          <w:kern w:val="0"/>
          <w:sz w:val="32"/>
          <w:szCs w:val="32"/>
          <w:lang w:val="zh-CN"/>
        </w:rPr>
        <w:t>隐患核定处理表</w:t>
      </w:r>
    </w:p>
    <w:p>
      <w:pPr>
        <w:keepNext w:val="0"/>
        <w:keepLines w:val="0"/>
        <w:pageBreakBefore w:val="0"/>
        <w:widowControl w:val="0"/>
        <w:kinsoku/>
        <w:wordWrap/>
        <w:overflowPunct/>
        <w:topLinePunct w:val="0"/>
        <w:autoSpaceDE w:val="0"/>
        <w:autoSpaceDN w:val="0"/>
        <w:bidi w:val="0"/>
        <w:adjustRightInd w:val="0"/>
        <w:snapToGrid/>
        <w:spacing w:line="540" w:lineRule="exact"/>
        <w:ind w:left="2236" w:leftChars="760" w:right="0" w:rightChars="0" w:hanging="640" w:hangingChars="200"/>
        <w:jc w:val="both"/>
        <w:textAlignment w:val="auto"/>
        <w:outlineLvl w:val="9"/>
        <w:rPr>
          <w:rFonts w:hint="eastAsia" w:ascii="仿宋_GB2312" w:eastAsia="仿宋_GB2312" w:cs="仿宋_GB2312"/>
          <w:bCs/>
          <w:kern w:val="0"/>
          <w:sz w:val="32"/>
          <w:szCs w:val="32"/>
          <w:lang w:val="zh-CN"/>
        </w:rPr>
      </w:pPr>
      <w:r>
        <w:rPr>
          <w:rFonts w:hint="eastAsia" w:ascii="仿宋_GB2312" w:eastAsia="仿宋_GB2312" w:cs="仿宋_GB2312"/>
          <w:bCs/>
          <w:kern w:val="0"/>
          <w:sz w:val="32"/>
          <w:szCs w:val="32"/>
          <w:lang w:val="zh-CN"/>
        </w:rPr>
        <w:t>4</w:t>
      </w:r>
      <w:r>
        <w:rPr>
          <w:rFonts w:hint="eastAsia" w:ascii="仿宋_GB2312" w:eastAsia="仿宋_GB2312" w:cs="仿宋_GB2312"/>
          <w:bCs/>
          <w:kern w:val="0"/>
          <w:sz w:val="32"/>
          <w:szCs w:val="32"/>
          <w:lang w:val="en-US" w:eastAsia="zh-CN"/>
        </w:rPr>
        <w:t>.</w:t>
      </w:r>
      <w:r>
        <w:rPr>
          <w:rFonts w:hint="eastAsia" w:ascii="仿宋_GB2312" w:eastAsia="仿宋_GB2312" w:cs="仿宋_GB2312"/>
          <w:bCs/>
          <w:kern w:val="0"/>
          <w:sz w:val="32"/>
          <w:szCs w:val="32"/>
          <w:lang w:val="zh-CN"/>
        </w:rPr>
        <w:t>福田区20**年第*季度公共安全隐患与事故举报奖励金核发清单</w:t>
      </w:r>
    </w:p>
    <w:p>
      <w:pPr>
        <w:keepNext w:val="0"/>
        <w:keepLines w:val="0"/>
        <w:pageBreakBefore w:val="0"/>
        <w:widowControl w:val="0"/>
        <w:kinsoku/>
        <w:wordWrap/>
        <w:overflowPunct/>
        <w:topLinePunct w:val="0"/>
        <w:autoSpaceDE w:val="0"/>
        <w:autoSpaceDN w:val="0"/>
        <w:bidi w:val="0"/>
        <w:adjustRightInd w:val="0"/>
        <w:snapToGrid/>
        <w:spacing w:line="540" w:lineRule="exact"/>
        <w:ind w:left="2236" w:leftChars="760" w:right="0" w:rightChars="0" w:hanging="640" w:hangingChars="200"/>
        <w:jc w:val="both"/>
        <w:textAlignment w:val="auto"/>
        <w:outlineLvl w:val="9"/>
        <w:rPr>
          <w:rFonts w:hint="eastAsia" w:ascii="仿宋_GB2312" w:eastAsia="仿宋_GB2312" w:cs="仿宋_GB2312"/>
          <w:bCs/>
          <w:kern w:val="0"/>
          <w:sz w:val="32"/>
          <w:szCs w:val="32"/>
          <w:lang w:val="zh-CN"/>
        </w:rPr>
      </w:pPr>
    </w:p>
    <w:p>
      <w:pPr>
        <w:autoSpaceDE w:val="0"/>
        <w:autoSpaceDN w:val="0"/>
        <w:adjustRightInd w:val="0"/>
        <w:spacing w:line="540" w:lineRule="exact"/>
        <w:ind w:firstLine="707"/>
        <w:rPr>
          <w:rFonts w:hint="eastAsia" w:ascii="仿宋_GB2312" w:eastAsia="仿宋_GB2312" w:cs="仿宋_GB2312"/>
          <w:bCs/>
          <w:kern w:val="0"/>
          <w:sz w:val="32"/>
          <w:szCs w:val="32"/>
          <w:lang w:val="zh-CN"/>
        </w:rPr>
        <w:sectPr>
          <w:footerReference r:id="rId3" w:type="default"/>
          <w:pgSz w:w="11906" w:h="16838"/>
          <w:pgMar w:top="1440" w:right="1440" w:bottom="1440" w:left="1440" w:header="851" w:footer="992" w:gutter="0"/>
          <w:pgNumType w:fmt="numberInDash" w:start="1"/>
          <w:cols w:space="720" w:num="1"/>
          <w:docGrid w:type="lines" w:linePitch="312" w:charSpace="577"/>
        </w:sectPr>
      </w:pPr>
      <w:r>
        <w:rPr>
          <w:rFonts w:hint="eastAsia" w:ascii="仿宋_GB2312" w:eastAsia="仿宋_GB2312" w:cs="仿宋_GB2312"/>
          <w:bCs/>
          <w:kern w:val="0"/>
          <w:sz w:val="32"/>
          <w:szCs w:val="32"/>
          <w:lang w:val="zh-CN"/>
        </w:rPr>
        <w:t xml:space="preserve">     </w:t>
      </w:r>
    </w:p>
    <w:p>
      <w:pPr>
        <w:spacing w:line="520" w:lineRule="exact"/>
        <w:jc w:val="center"/>
        <w:rPr>
          <w:rFonts w:hint="eastAsia" w:ascii="黑体" w:eastAsia="黑体"/>
          <w:sz w:val="32"/>
          <w:szCs w:val="32"/>
        </w:rPr>
      </w:pPr>
      <w:r>
        <w:rPr>
          <w:rFonts w:hint="eastAsia" w:ascii="黑体"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4400550</wp:posOffset>
                </wp:positionH>
                <wp:positionV relativeFrom="paragraph">
                  <wp:posOffset>-594360</wp:posOffset>
                </wp:positionV>
                <wp:extent cx="1600200" cy="297180"/>
                <wp:effectExtent l="4445" t="4445" r="14605" b="22225"/>
                <wp:wrapNone/>
                <wp:docPr id="8" name="文本框 8"/>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黑体" w:eastAsia="黑体"/>
                              </w:rPr>
                            </w:pPr>
                            <w:r>
                              <w:rPr>
                                <w:rFonts w:hint="eastAsia" w:ascii="黑体" w:eastAsia="黑体"/>
                              </w:rPr>
                              <w:t>登记号：FT-201</w:t>
                            </w:r>
                            <w:r>
                              <w:rPr>
                                <w:rFonts w:hint="eastAsia" w:ascii="黑体" w:eastAsia="黑体"/>
                                <w:lang w:val="en-US" w:eastAsia="zh-CN"/>
                              </w:rPr>
                              <w:t xml:space="preserve"> </w:t>
                            </w:r>
                            <w:r>
                              <w:rPr>
                                <w:rFonts w:hint="eastAsia" w:ascii="黑体" w:eastAsia="黑体"/>
                                <w:u w:val="single"/>
                              </w:rPr>
                              <w:t xml:space="preserve">     </w:t>
                            </w:r>
                          </w:p>
                        </w:txbxContent>
                      </wps:txbx>
                      <wps:bodyPr upright="1"/>
                    </wps:wsp>
                  </a:graphicData>
                </a:graphic>
              </wp:anchor>
            </w:drawing>
          </mc:Choice>
          <mc:Fallback>
            <w:pict>
              <v:shape id="_x0000_s1026" o:spid="_x0000_s1026" o:spt="202" type="#_x0000_t202" style="position:absolute;left:0pt;margin-left:346.5pt;margin-top:-46.8pt;height:23.4pt;width:126pt;z-index:251667456;mso-width-relative:page;mso-height-relative:page;" fillcolor="#FFFFFF" filled="t" stroked="t" coordsize="21600,21600" o:gfxdata="UEsDBAoAAAAAAIdO4kAAAAAAAAAAAAAAAAAEAAAAZHJzL1BLAwQUAAAACACHTuJAYiqOA9oAAAAL&#10;AQAADwAAAGRycy9kb3ducmV2LnhtbE2PwU7DMBBE70j8g7VIXFDrlASThDg9IIHgVgqCqxu7SYS9&#10;Drablr9nOcFxZ0czb5r1yVk2mxBHjxJWywyYwc7rEXsJb68PixJYTAq1sh6NhG8TYd2enzWq1v6I&#10;L2bepp5RCMZaSRhSmmrOYzcYp+LSTwbpt/fBqURn6LkO6kjhzvLrLBPcqRGpYVCTuR9M97k9OAll&#10;8TR/xOd8896Jva3S1e38+BWkvLxYZXfAkjmlPzP84hM6tMS08wfUkVkJosppS5KwqHIBjBxVcUPK&#10;jpRClMDbhv/f0P4AUEsDBBQAAAAIAIdO4kCacMMM8gEAAOgDAAAOAAAAZHJzL2Uyb0RvYy54bWyt&#10;U81uEzEQviPxDpbvZDeRWtJVNpUghAsCpJYHmNjeXUv+k8fNbl4A3oATF+48V5+DsdOmLXBAiD14&#10;x/bnzzPfN15dTtawvYqovWv5fFZzppzwUru+5Z+uty+WnGECJ8F4p1p+UMgv18+frcbQqIUfvJEq&#10;MiJx2Iyh5UNKoakqFIOygDMflKPNzkcLiaaxr2SEkditqRZ1fV6NPsoQvVCItLo5bvJ14e86JdKH&#10;rkOVmGk55ZbKGMu4y2O1XkHTRwiDFndpwD9kYUE7uvREtYEE7Cbq36isFtGj79JMeFv5rtNClRqo&#10;mnn9SzVXAwRVaiFxMJxkwv9HK97vP0amZcvJKAeWLLr9+uX224/b75/ZMsszBmwIdRUIl6ZXfiKb&#10;79eRFnPVUxdt/lM9jPZJ6MNJXDUlJvKh87omxzgTtLe4eDlfFvWrh9MhYnqrvGU5aHkk84qmsH+H&#10;iTIh6D0kX4beaLnVxpRJ7HevTWR7IKO35ctJ0pEnMOPY2PKLs8UZ5QHUb52BRKENpAC6vtz35AQ+&#10;Jq7L9yfinNgGcDgmUBgyDBqrk4olGhTIN06ydAiksqPnwHMyVknOjKLXk6OCTKDN3yCpOuOoyGzR&#10;0YocpWk3EU0Od14eyLabEHU/kKTFuAKndirq3LV+7tfH80L68ED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Ko4D2gAAAAsBAAAPAAAAAAAAAAEAIAAAACIAAABkcnMvZG93bnJldi54bWxQSwEC&#10;FAAUAAAACACHTuJAmnDDDPIBAADoAwAADgAAAAAAAAABACAAAAApAQAAZHJzL2Uyb0RvYy54bWxQ&#10;SwUGAAAAAAYABgBZAQAAjQUAAAAA&#10;">
                <v:fill on="t" focussize="0,0"/>
                <v:stroke color="#000000" joinstyle="miter"/>
                <v:imagedata o:title=""/>
                <o:lock v:ext="edit" aspectratio="f"/>
                <v:textbox>
                  <w:txbxContent>
                    <w:p>
                      <w:pPr>
                        <w:rPr>
                          <w:rFonts w:hint="eastAsia" w:ascii="黑体" w:eastAsia="黑体"/>
                        </w:rPr>
                      </w:pPr>
                      <w:r>
                        <w:rPr>
                          <w:rFonts w:hint="eastAsia" w:ascii="黑体" w:eastAsia="黑体"/>
                        </w:rPr>
                        <w:t>登记号：FT-201</w:t>
                      </w:r>
                      <w:r>
                        <w:rPr>
                          <w:rFonts w:hint="eastAsia" w:ascii="黑体" w:eastAsia="黑体"/>
                          <w:lang w:val="en-US" w:eastAsia="zh-CN"/>
                        </w:rPr>
                        <w:t xml:space="preserve"> </w:t>
                      </w:r>
                      <w:r>
                        <w:rPr>
                          <w:rFonts w:hint="eastAsia" w:ascii="黑体" w:eastAsia="黑体"/>
                          <w:u w:val="single"/>
                        </w:rPr>
                        <w:t xml:space="preserve">     </w:t>
                      </w:r>
                    </w:p>
                  </w:txbxContent>
                </v:textbox>
              </v:shape>
            </w:pict>
          </mc:Fallback>
        </mc:AlternateContent>
      </w:r>
      <w:r>
        <w:rPr>
          <w:rFonts w:hint="eastAsia" w:ascii="黑体"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-333375</wp:posOffset>
                </wp:positionH>
                <wp:positionV relativeFrom="paragraph">
                  <wp:posOffset>-594360</wp:posOffset>
                </wp:positionV>
                <wp:extent cx="600075" cy="316865"/>
                <wp:effectExtent l="0" t="0" r="9525" b="6985"/>
                <wp:wrapNone/>
                <wp:docPr id="9" name="文本框 9"/>
                <wp:cNvGraphicFramePr/>
                <a:graphic xmlns:a="http://schemas.openxmlformats.org/drawingml/2006/main">
                  <a:graphicData uri="http://schemas.microsoft.com/office/word/2010/wordprocessingShape">
                    <wps:wsp>
                      <wps:cNvSpPr txBox="1"/>
                      <wps:spPr>
                        <a:xfrm>
                          <a:off x="0" y="0"/>
                          <a:ext cx="600075" cy="316865"/>
                        </a:xfrm>
                        <a:prstGeom prst="rect">
                          <a:avLst/>
                        </a:prstGeom>
                        <a:solidFill>
                          <a:srgbClr val="FFFFFF"/>
                        </a:solidFill>
                        <a:ln w="9525">
                          <a:noFill/>
                        </a:ln>
                      </wps:spPr>
                      <wps:txbx>
                        <w:txbxContent>
                          <w:p>
                            <w:pPr>
                              <w:rPr>
                                <w:rFonts w:hint="eastAsia"/>
                              </w:rPr>
                            </w:pPr>
                            <w:r>
                              <w:rPr>
                                <w:rFonts w:hint="eastAsia"/>
                              </w:rPr>
                              <w:t>附件1</w:t>
                            </w:r>
                          </w:p>
                        </w:txbxContent>
                      </wps:txbx>
                      <wps:bodyPr upright="1"/>
                    </wps:wsp>
                  </a:graphicData>
                </a:graphic>
              </wp:anchor>
            </w:drawing>
          </mc:Choice>
          <mc:Fallback>
            <w:pict>
              <v:shape id="_x0000_s1026" o:spid="_x0000_s1026" o:spt="202" type="#_x0000_t202" style="position:absolute;left:0pt;margin-left:-26.25pt;margin-top:-46.8pt;height:24.95pt;width:47.25pt;z-index:251666432;mso-width-relative:page;mso-height-relative:page;" fillcolor="#FFFFFF" filled="t" stroked="f" coordsize="21600,21600" o:gfxdata="UEsDBAoAAAAAAIdO4kAAAAAAAAAAAAAAAAAEAAAAZHJzL1BLAwQUAAAACACHTuJAbin7eNkAAAAK&#10;AQAADwAAAGRycy9kb3ducmV2LnhtbE2PzW7CMBCE75X6DtZW6qUCh5CfEuIgtVKrXqE8gBMvSUS8&#10;jmJD4O27PbW33Z3R7Dfl7mYHccXJ944UrJYRCKTGmZ5aBcfvj8UrCB80GT04QgV39LCrHh9KXRg3&#10;0x6vh9AKDiFfaAVdCGMhpW86tNov3YjE2slNVgdep1aaSc8cbgcZR1Emre6JP3R6xPcOm/PhYhWc&#10;vuaXdDPXn+GY75PsTfd57e5KPT+toi2IgLfwZ4ZffEaHiplqdyHjxaBgkcYpW3nYrDMQ7EhiLlfz&#10;IVnnIKtS/q9Q/QBQSwMEFAAAAAgAh07iQLaNIGGrAQAAMQMAAA4AAABkcnMvZTJvRG9jLnhtbK1S&#10;S44TMRDdI3EHy3vSnaCEmVY6I8EobBAgzXAAx213W7JdVtmT7lwAbsCKDXvOlXNQdjIZPjtEL9yu&#10;j5/rvef1zeQs2yuMBnzL57OaM+UldMb3Lf90v31xxVlMwnfCglctP6jIbzbPn63H0KgFDGA7hYxA&#10;fGzG0PIhpdBUVZSDciLOIChPRQ3oRKIQ+6pDMRK6s9WirlfVCNgFBKlipOztqcg3BV9rJdMHraNK&#10;zLacZktlxbLu8lpt1qLpUYTByPMY4h+mcMJ4uvQCdSuSYA9o/oJyRiJE0GkmwVWgtZGqcCA28/oP&#10;NneDCKpwIXFiuMgU/x+sfL//iMx0Lb/mzAtHFh2/fjl++3H8/pldZ3nGEBvqugvUl6bXMJHNj/lI&#10;ycx60ujyn/gwqpPQh4u4akpMUnJV1/WrJWeSSi/nq6vVMqNUT4cDxvRWgWN503Ik74qkYv8uplPr&#10;Y0u+K4I13dZYWwLsd28ssr0gn7flO6P/1mY9G4npcrEsyB7y+RO09TRM5nrilHdp2k1nAXbQHYj/&#10;Q0DTDzRcUaC0ky+FxfkNZeN/jQvo00v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Kft42QAA&#10;AAoBAAAPAAAAAAAAAAEAIAAAACIAAABkcnMvZG93bnJldi54bWxQSwECFAAUAAAACACHTuJAto0g&#10;YasBAAAxAwAADgAAAAAAAAABACAAAAAoAQAAZHJzL2Uyb0RvYy54bWxQSwUGAAAAAAYABgBZAQAA&#10;RQUAAAAA&#10;">
                <v:fill on="t" focussize="0,0"/>
                <v:stroke on="f"/>
                <v:imagedata o:title=""/>
                <o:lock v:ext="edit" aspectratio="f"/>
                <v:textbox>
                  <w:txbxContent>
                    <w:p>
                      <w:pPr>
                        <w:rPr>
                          <w:rFonts w:hint="eastAsia"/>
                        </w:rPr>
                      </w:pPr>
                      <w:r>
                        <w:rPr>
                          <w:rFonts w:hint="eastAsia"/>
                        </w:rPr>
                        <w:t>附件1</w:t>
                      </w:r>
                    </w:p>
                  </w:txbxContent>
                </v:textbox>
              </v:shape>
            </w:pict>
          </mc:Fallback>
        </mc:AlternateContent>
      </w:r>
      <w:r>
        <w:rPr>
          <w:rFonts w:hint="eastAsia" w:ascii="黑体" w:eastAsia="黑体"/>
          <w:sz w:val="32"/>
          <w:szCs w:val="32"/>
        </w:rPr>
        <w:t>福田区公共安全隐患</w:t>
      </w:r>
      <w:r>
        <w:rPr>
          <w:rFonts w:hint="eastAsia" w:ascii="黑体" w:eastAsia="黑体"/>
          <w:sz w:val="32"/>
          <w:szCs w:val="32"/>
          <w:lang w:eastAsia="zh-CN"/>
        </w:rPr>
        <w:t>与</w:t>
      </w:r>
      <w:r>
        <w:rPr>
          <w:rFonts w:hint="eastAsia" w:ascii="黑体" w:eastAsia="黑体"/>
          <w:sz w:val="32"/>
          <w:szCs w:val="32"/>
        </w:rPr>
        <w:t>事故举报受理登记表</w:t>
      </w:r>
    </w:p>
    <w:p>
      <w:pPr>
        <w:spacing w:line="520" w:lineRule="exact"/>
        <w:ind w:firstLine="560" w:firstLineChars="200"/>
        <w:rPr>
          <w:rFonts w:ascii="仿宋_GB2312" w:eastAsia="仿宋_GB2312"/>
          <w:sz w:val="28"/>
          <w:szCs w:val="28"/>
        </w:rPr>
      </w:pPr>
    </w:p>
    <w:tbl>
      <w:tblPr>
        <w:tblStyle w:val="7"/>
        <w:tblW w:w="9450" w:type="dxa"/>
        <w:tblInd w:w="3" w:type="dxa"/>
        <w:tblLayout w:type="fixed"/>
        <w:tblCellMar>
          <w:top w:w="0" w:type="dxa"/>
          <w:left w:w="108" w:type="dxa"/>
          <w:bottom w:w="0" w:type="dxa"/>
          <w:right w:w="108" w:type="dxa"/>
        </w:tblCellMar>
      </w:tblPr>
      <w:tblGrid>
        <w:gridCol w:w="2000"/>
        <w:gridCol w:w="2620"/>
        <w:gridCol w:w="2020"/>
        <w:gridCol w:w="2810"/>
      </w:tblGrid>
      <w:tr>
        <w:tblPrEx>
          <w:tblLayout w:type="fixed"/>
          <w:tblCellMar>
            <w:top w:w="0" w:type="dxa"/>
            <w:left w:w="108" w:type="dxa"/>
            <w:bottom w:w="0" w:type="dxa"/>
            <w:right w:w="108" w:type="dxa"/>
          </w:tblCellMar>
        </w:tblPrEx>
        <w:trPr>
          <w:trHeight w:val="72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来 电 人</w:t>
            </w:r>
          </w:p>
        </w:tc>
        <w:tc>
          <w:tcPr>
            <w:tcW w:w="26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ascii="宋体" w:hAnsi="宋体" w:cs="宋体"/>
                <w:kern w:val="0"/>
                <w:sz w:val="24"/>
              </w:rPr>
              <w:t>　</w:t>
            </w:r>
          </w:p>
        </w:tc>
        <w:tc>
          <w:tcPr>
            <w:tcW w:w="202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来电时间</w:t>
            </w:r>
          </w:p>
        </w:tc>
        <w:tc>
          <w:tcPr>
            <w:tcW w:w="281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ascii="宋体" w:hAnsi="宋体" w:cs="宋体"/>
                <w:kern w:val="0"/>
                <w:sz w:val="24"/>
              </w:rPr>
              <w:t>20  年   月    日</w:t>
            </w:r>
          </w:p>
        </w:tc>
      </w:tr>
      <w:tr>
        <w:tblPrEx>
          <w:tblLayout w:type="fixed"/>
          <w:tblCellMar>
            <w:top w:w="0" w:type="dxa"/>
            <w:left w:w="108" w:type="dxa"/>
            <w:bottom w:w="0" w:type="dxa"/>
            <w:right w:w="108" w:type="dxa"/>
          </w:tblCellMar>
        </w:tblPrEx>
        <w:trPr>
          <w:trHeight w:val="750" w:hRule="atLeast"/>
        </w:trPr>
        <w:tc>
          <w:tcPr>
            <w:tcW w:w="2000"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联系电话</w:t>
            </w:r>
          </w:p>
        </w:tc>
        <w:tc>
          <w:tcPr>
            <w:tcW w:w="262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ascii="宋体" w:hAnsi="宋体" w:cs="宋体"/>
                <w:kern w:val="0"/>
                <w:sz w:val="24"/>
              </w:rPr>
              <w:t>　</w:t>
            </w:r>
          </w:p>
        </w:tc>
        <w:tc>
          <w:tcPr>
            <w:tcW w:w="2020" w:type="dxa"/>
            <w:tcBorders>
              <w:top w:val="nil"/>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记 录 人</w:t>
            </w:r>
          </w:p>
        </w:tc>
        <w:tc>
          <w:tcPr>
            <w:tcW w:w="2810"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4"/>
              </w:rPr>
            </w:pPr>
            <w:r>
              <w:rPr>
                <w:rFonts w:ascii="宋体" w:hAnsi="宋体" w:cs="宋体"/>
                <w:kern w:val="0"/>
                <w:sz w:val="24"/>
              </w:rPr>
              <w:t>　</w:t>
            </w:r>
          </w:p>
        </w:tc>
      </w:tr>
      <w:tr>
        <w:tblPrEx>
          <w:tblLayout w:type="fixed"/>
          <w:tblCellMar>
            <w:top w:w="0" w:type="dxa"/>
            <w:left w:w="108" w:type="dxa"/>
            <w:bottom w:w="0" w:type="dxa"/>
            <w:right w:w="108" w:type="dxa"/>
          </w:tblCellMar>
        </w:tblPrEx>
        <w:trPr>
          <w:trHeight w:val="2690" w:hRule="atLeast"/>
        </w:trPr>
        <w:tc>
          <w:tcPr>
            <w:tcW w:w="2000"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举报内容</w:t>
            </w:r>
          </w:p>
        </w:tc>
        <w:tc>
          <w:tcPr>
            <w:tcW w:w="7450" w:type="dxa"/>
            <w:gridSpan w:val="3"/>
            <w:tcBorders>
              <w:top w:val="single" w:color="auto" w:sz="4" w:space="0"/>
              <w:left w:val="nil"/>
              <w:bottom w:val="single" w:color="auto" w:sz="4" w:space="0"/>
              <w:right w:val="single" w:color="000000" w:sz="4" w:space="0"/>
            </w:tcBorders>
            <w:vAlign w:val="center"/>
          </w:tcPr>
          <w:p>
            <w:pPr>
              <w:widowControl/>
              <w:spacing w:line="520" w:lineRule="exact"/>
              <w:jc w:val="center"/>
              <w:rPr>
                <w:rFonts w:ascii="宋体" w:hAnsi="宋体" w:cs="宋体"/>
                <w:kern w:val="0"/>
                <w:sz w:val="24"/>
              </w:rPr>
            </w:pPr>
            <w:r>
              <w:rPr>
                <w:rFonts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2000"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接听方式</w:t>
            </w:r>
          </w:p>
        </w:tc>
        <w:tc>
          <w:tcPr>
            <w:tcW w:w="2620" w:type="dxa"/>
            <w:tcBorders>
              <w:top w:val="nil"/>
              <w:left w:val="nil"/>
              <w:bottom w:val="single" w:color="auto" w:sz="4" w:space="0"/>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□人工接听</w:t>
            </w:r>
          </w:p>
        </w:tc>
        <w:tc>
          <w:tcPr>
            <w:tcW w:w="2020" w:type="dxa"/>
            <w:tcBorders>
              <w:top w:val="nil"/>
              <w:left w:val="nil"/>
              <w:bottom w:val="single" w:color="auto" w:sz="4" w:space="0"/>
              <w:right w:val="nil"/>
            </w:tcBorders>
            <w:vAlign w:val="center"/>
          </w:tcPr>
          <w:p>
            <w:pPr>
              <w:widowControl/>
              <w:spacing w:line="520" w:lineRule="exact"/>
              <w:jc w:val="center"/>
              <w:rPr>
                <w:rFonts w:ascii="宋体" w:hAnsi="宋体" w:cs="宋体"/>
                <w:kern w:val="0"/>
                <w:sz w:val="24"/>
              </w:rPr>
            </w:pPr>
            <w:r>
              <w:rPr>
                <w:rFonts w:ascii="宋体" w:hAnsi="宋体" w:cs="宋体"/>
                <w:kern w:val="0"/>
                <w:sz w:val="24"/>
              </w:rPr>
              <w:t>　</w:t>
            </w:r>
          </w:p>
        </w:tc>
        <w:tc>
          <w:tcPr>
            <w:tcW w:w="2810"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□录音记录</w:t>
            </w:r>
          </w:p>
        </w:tc>
      </w:tr>
      <w:tr>
        <w:tblPrEx>
          <w:tblLayout w:type="fixed"/>
          <w:tblCellMar>
            <w:top w:w="0" w:type="dxa"/>
            <w:left w:w="108" w:type="dxa"/>
            <w:bottom w:w="0" w:type="dxa"/>
            <w:right w:w="108" w:type="dxa"/>
          </w:tblCellMar>
        </w:tblPrEx>
        <w:trPr>
          <w:trHeight w:val="499" w:hRule="atLeast"/>
        </w:trPr>
        <w:tc>
          <w:tcPr>
            <w:tcW w:w="2000" w:type="dxa"/>
            <w:vMerge w:val="restart"/>
            <w:tcBorders>
              <w:top w:val="nil"/>
              <w:left w:val="single" w:color="auto" w:sz="4" w:space="0"/>
              <w:bottom w:val="single" w:color="000000"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被举报隐患场所类别</w:t>
            </w: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□工业企业</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　</w:t>
            </w: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□学校、幼儿园、午托班</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□商贸企业</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□旅游、休闲服务场所</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□交通运输企业</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□公共服务场所</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□工程建筑施工场所</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□饮食服务场所</w:t>
            </w:r>
          </w:p>
        </w:tc>
      </w:tr>
      <w:tr>
        <w:tblPrEx>
          <w:tblLayout w:type="fixed"/>
          <w:tblCellMar>
            <w:top w:w="0" w:type="dxa"/>
            <w:left w:w="108" w:type="dxa"/>
            <w:bottom w:w="0" w:type="dxa"/>
            <w:right w:w="108" w:type="dxa"/>
          </w:tblCellMar>
        </w:tblPrEx>
        <w:trPr>
          <w:trHeight w:val="765"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7450" w:type="dxa"/>
            <w:gridSpan w:val="3"/>
            <w:tcBorders>
              <w:top w:val="nil"/>
              <w:left w:val="nil"/>
              <w:bottom w:val="single" w:color="auto" w:sz="4" w:space="0"/>
              <w:right w:val="single" w:color="000000"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□其他场所（请注明）：</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3"/>
                <w:szCs w:val="23"/>
              </w:rPr>
            </w:pPr>
            <w:r>
              <w:rPr>
                <w:rFonts w:ascii="宋体" w:hAnsi="宋体" w:cs="宋体"/>
                <w:kern w:val="0"/>
                <w:sz w:val="23"/>
                <w:szCs w:val="23"/>
              </w:rPr>
              <w:t>是否属于“三小”场所：</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□是</w:t>
            </w: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□否</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single" w:color="auto" w:sz="4" w:space="0"/>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属于：□小档口</w:t>
            </w:r>
          </w:p>
        </w:tc>
        <w:tc>
          <w:tcPr>
            <w:tcW w:w="2020" w:type="dxa"/>
            <w:tcBorders>
              <w:top w:val="nil"/>
              <w:left w:val="nil"/>
              <w:bottom w:val="single" w:color="auto" w:sz="4" w:space="0"/>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□小作坊</w:t>
            </w:r>
          </w:p>
        </w:tc>
        <w:tc>
          <w:tcPr>
            <w:tcW w:w="2810" w:type="dxa"/>
            <w:tcBorders>
              <w:top w:val="nil"/>
              <w:left w:val="nil"/>
              <w:bottom w:val="single" w:color="auto" w:sz="4" w:space="0"/>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□小娱乐场所</w:t>
            </w:r>
          </w:p>
        </w:tc>
      </w:tr>
      <w:tr>
        <w:tblPrEx>
          <w:tblLayout w:type="fixed"/>
          <w:tblCellMar>
            <w:top w:w="0" w:type="dxa"/>
            <w:left w:w="108" w:type="dxa"/>
            <w:bottom w:w="0" w:type="dxa"/>
            <w:right w:w="108" w:type="dxa"/>
          </w:tblCellMar>
        </w:tblPrEx>
        <w:trPr>
          <w:trHeight w:val="499" w:hRule="atLeast"/>
        </w:trPr>
        <w:tc>
          <w:tcPr>
            <w:tcW w:w="2000" w:type="dxa"/>
            <w:vMerge w:val="restart"/>
            <w:tcBorders>
              <w:top w:val="nil"/>
              <w:left w:val="single" w:color="auto" w:sz="4" w:space="0"/>
              <w:bottom w:val="single" w:color="000000"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举报隐患类别</w:t>
            </w: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□火灾或爆炸隐患</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□辐射伤害隐患</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□中毒和窒息隐患</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□触电隐患</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□地质灾害隐患</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□坠落隐患</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□坍塌隐患</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□机械伤害隐患</w:t>
            </w:r>
          </w:p>
        </w:tc>
      </w:tr>
      <w:tr>
        <w:tblPrEx>
          <w:tblLayout w:type="fixed"/>
          <w:tblCellMar>
            <w:top w:w="0" w:type="dxa"/>
            <w:left w:w="108" w:type="dxa"/>
            <w:bottom w:w="0" w:type="dxa"/>
            <w:right w:w="108" w:type="dxa"/>
          </w:tblCellMar>
        </w:tblPrEx>
        <w:trPr>
          <w:trHeight w:val="499"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2620" w:type="dxa"/>
            <w:tcBorders>
              <w:top w:val="nil"/>
              <w:left w:val="nil"/>
              <w:bottom w:val="nil"/>
              <w:right w:val="nil"/>
            </w:tcBorders>
            <w:vAlign w:val="center"/>
          </w:tcPr>
          <w:p>
            <w:pPr>
              <w:widowControl/>
              <w:spacing w:line="520" w:lineRule="exact"/>
              <w:jc w:val="left"/>
              <w:rPr>
                <w:rFonts w:ascii="宋体" w:hAnsi="宋体" w:cs="宋体"/>
                <w:kern w:val="0"/>
                <w:sz w:val="24"/>
              </w:rPr>
            </w:pPr>
            <w:r>
              <w:rPr>
                <w:rFonts w:ascii="宋体" w:hAnsi="宋体" w:cs="宋体"/>
                <w:kern w:val="0"/>
                <w:sz w:val="24"/>
              </w:rPr>
              <w:t>□化学伤害隐患</w:t>
            </w:r>
          </w:p>
        </w:tc>
        <w:tc>
          <w:tcPr>
            <w:tcW w:w="2020" w:type="dxa"/>
            <w:tcBorders>
              <w:top w:val="nil"/>
              <w:left w:val="nil"/>
              <w:bottom w:val="nil"/>
              <w:right w:val="nil"/>
            </w:tcBorders>
            <w:vAlign w:val="center"/>
          </w:tcPr>
          <w:p>
            <w:pPr>
              <w:widowControl/>
              <w:spacing w:line="520" w:lineRule="exact"/>
              <w:jc w:val="left"/>
              <w:rPr>
                <w:rFonts w:ascii="宋体" w:hAnsi="宋体" w:cs="宋体"/>
                <w:kern w:val="0"/>
                <w:sz w:val="24"/>
              </w:rPr>
            </w:pPr>
          </w:p>
        </w:tc>
        <w:tc>
          <w:tcPr>
            <w:tcW w:w="2810" w:type="dxa"/>
            <w:tcBorders>
              <w:top w:val="nil"/>
              <w:left w:val="nil"/>
              <w:bottom w:val="nil"/>
              <w:right w:val="single" w:color="auto"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□交通安全隐患</w:t>
            </w:r>
          </w:p>
        </w:tc>
      </w:tr>
      <w:tr>
        <w:tblPrEx>
          <w:tblLayout w:type="fixed"/>
          <w:tblCellMar>
            <w:top w:w="0" w:type="dxa"/>
            <w:left w:w="108" w:type="dxa"/>
            <w:bottom w:w="0" w:type="dxa"/>
            <w:right w:w="108" w:type="dxa"/>
          </w:tblCellMar>
        </w:tblPrEx>
        <w:trPr>
          <w:trHeight w:val="765" w:hRule="atLeast"/>
        </w:trPr>
        <w:tc>
          <w:tcPr>
            <w:tcW w:w="200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4"/>
              </w:rPr>
            </w:pPr>
          </w:p>
        </w:tc>
        <w:tc>
          <w:tcPr>
            <w:tcW w:w="7450" w:type="dxa"/>
            <w:gridSpan w:val="3"/>
            <w:tcBorders>
              <w:top w:val="nil"/>
              <w:left w:val="nil"/>
              <w:bottom w:val="single" w:color="auto" w:sz="4" w:space="0"/>
              <w:right w:val="single" w:color="000000" w:sz="4" w:space="0"/>
            </w:tcBorders>
            <w:vAlign w:val="center"/>
          </w:tcPr>
          <w:p>
            <w:pPr>
              <w:widowControl/>
              <w:spacing w:line="520" w:lineRule="exact"/>
              <w:jc w:val="left"/>
              <w:rPr>
                <w:rFonts w:ascii="宋体" w:hAnsi="宋体" w:cs="宋体"/>
                <w:kern w:val="0"/>
                <w:sz w:val="24"/>
              </w:rPr>
            </w:pPr>
            <w:r>
              <w:rPr>
                <w:rFonts w:ascii="宋体" w:hAnsi="宋体" w:cs="宋体"/>
                <w:kern w:val="0"/>
                <w:sz w:val="24"/>
              </w:rPr>
              <w:t>□其他隐患（请注明）：</w:t>
            </w:r>
            <w:r>
              <w:rPr>
                <w:rFonts w:ascii="宋体" w:hAnsi="宋体" w:cs="宋体"/>
                <w:kern w:val="0"/>
                <w:sz w:val="24"/>
                <w:u w:val="single"/>
                <w:vertAlign w:val="subscript"/>
              </w:rPr>
              <w:t xml:space="preserve">                                  </w:t>
            </w:r>
          </w:p>
        </w:tc>
      </w:tr>
    </w:tbl>
    <w:p>
      <w:r>
        <w:t>附件</w:t>
      </w:r>
      <w:r>
        <w:rPr>
          <w:rFonts w:hint="eastAsia"/>
          <w:lang w:val="en-US" w:eastAsia="zh-CN"/>
        </w:rPr>
        <w:t>2</w:t>
      </w:r>
    </w:p>
    <w:p>
      <w:pPr>
        <w:spacing w:line="240" w:lineRule="auto"/>
        <w:rPr>
          <w:rFonts w:ascii="仿宋_GB2312" w:eastAsia="仿宋_GB2312"/>
          <w:sz w:val="28"/>
          <w:szCs w:val="28"/>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***举报回复函〔20  〕   号</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***区（部门）安全生产领域举报事项办理情况的回复函</w:t>
      </w:r>
    </w:p>
    <w:p>
      <w:pPr>
        <w:jc w:val="center"/>
        <w:rPr>
          <w:rFonts w:ascii="仿宋_GB2312" w:hAnsi="宋体" w:eastAsia="仿宋_GB2312"/>
          <w:sz w:val="24"/>
        </w:rPr>
      </w:pPr>
    </w:p>
    <w:tbl>
      <w:tblPr>
        <w:tblStyle w:val="7"/>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shd w:val="clear" w:color="auto" w:fill="auto"/>
          </w:tcPr>
          <w:p>
            <w:pPr>
              <w:jc w:val="center"/>
              <w:rPr>
                <w:rFonts w:ascii="仿宋_GB2312" w:hAnsi="宋体" w:eastAsia="仿宋_GB2312"/>
                <w:sz w:val="24"/>
              </w:rPr>
            </w:pPr>
            <w:r>
              <w:rPr>
                <w:rFonts w:hint="eastAsia" w:ascii="仿宋_GB2312" w:hAnsi="宋体" w:eastAsia="仿宋_GB2312"/>
                <w:sz w:val="24"/>
              </w:rPr>
              <w:t>来件函号</w:t>
            </w:r>
          </w:p>
        </w:tc>
        <w:tc>
          <w:tcPr>
            <w:tcW w:w="7561" w:type="dxa"/>
            <w:shd w:val="clear" w:color="auto" w:fill="auto"/>
          </w:tcPr>
          <w:p>
            <w:pPr>
              <w:rPr>
                <w:rFonts w:ascii="仿宋_GB2312" w:hAnsi="宋体" w:eastAsia="仿宋_GB2312"/>
                <w:sz w:val="24"/>
              </w:rPr>
            </w:pPr>
            <w:r>
              <w:rPr>
                <w:rFonts w:hint="eastAsia" w:ascii="仿宋_GB2312" w:hAnsi="宋体" w:eastAsia="仿宋_GB2312"/>
                <w:sz w:val="24"/>
              </w:rPr>
              <w:t>深安办举报函</w:t>
            </w:r>
            <w:r>
              <w:rPr>
                <w:rFonts w:hint="eastAsia" w:ascii="仿宋_GB2312" w:eastAsia="仿宋_GB2312"/>
                <w:sz w:val="24"/>
              </w:rPr>
              <w:t>〔20  〕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26" w:type="dxa"/>
            <w:shd w:val="clear" w:color="auto" w:fill="auto"/>
          </w:tcPr>
          <w:p>
            <w:pPr>
              <w:jc w:val="center"/>
              <w:rPr>
                <w:rFonts w:ascii="仿宋_GB2312" w:hAnsi="宋体" w:eastAsia="仿宋_GB2312"/>
                <w:sz w:val="24"/>
              </w:rPr>
            </w:pPr>
            <w:r>
              <w:rPr>
                <w:rFonts w:hint="eastAsia" w:ascii="仿宋_GB2312" w:hAnsi="宋体" w:eastAsia="仿宋_GB2312"/>
                <w:sz w:val="24"/>
              </w:rPr>
              <w:t>事项登记号</w:t>
            </w:r>
          </w:p>
        </w:tc>
        <w:tc>
          <w:tcPr>
            <w:tcW w:w="7561" w:type="dxa"/>
            <w:shd w:val="clear" w:color="auto" w:fill="auto"/>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926" w:type="dxa"/>
            <w:vMerge w:val="restar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办理情况</w:t>
            </w:r>
          </w:p>
        </w:tc>
        <w:tc>
          <w:tcPr>
            <w:tcW w:w="7561" w:type="dxa"/>
            <w:shd w:val="clear" w:color="auto" w:fill="auto"/>
          </w:tcPr>
          <w:p>
            <w:pPr>
              <w:spacing w:line="500" w:lineRule="exact"/>
              <w:rPr>
                <w:rFonts w:ascii="仿宋_GB2312" w:hAnsi="宋体" w:eastAsia="仿宋_GB2312"/>
                <w:sz w:val="24"/>
              </w:rPr>
            </w:pPr>
            <w:r>
              <w:rPr>
                <w:rFonts w:hint="eastAsia" w:ascii="仿宋_GB2312" w:eastAsia="仿宋_GB2312"/>
                <w:sz w:val="24"/>
              </w:rPr>
              <w:t>1.□情况属实   □情况不属实    □不在本单位管辖范围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1926" w:type="dxa"/>
            <w:vMerge w:val="continue"/>
            <w:shd w:val="clear" w:color="auto" w:fill="auto"/>
            <w:vAlign w:val="center"/>
          </w:tcPr>
          <w:p>
            <w:pPr>
              <w:jc w:val="center"/>
              <w:rPr>
                <w:rFonts w:ascii="仿宋_GB2312" w:hAnsi="宋体" w:eastAsia="仿宋_GB2312"/>
                <w:sz w:val="24"/>
              </w:rPr>
            </w:pPr>
          </w:p>
        </w:tc>
        <w:tc>
          <w:tcPr>
            <w:tcW w:w="7561" w:type="dxa"/>
            <w:shd w:val="clear" w:color="auto" w:fill="auto"/>
          </w:tcPr>
          <w:p>
            <w:pPr>
              <w:spacing w:line="500" w:lineRule="exact"/>
              <w:rPr>
                <w:rFonts w:ascii="仿宋_GB2312" w:eastAsia="仿宋_GB2312"/>
                <w:sz w:val="24"/>
              </w:rPr>
            </w:pPr>
            <w:r>
              <w:rPr>
                <w:rFonts w:hint="eastAsia" w:ascii="仿宋_GB2312" w:eastAsia="仿宋_GB2312"/>
                <w:sz w:val="24"/>
              </w:rPr>
              <w:t>2.如系安全生产违法行为，是否属于违法生产经营建设行为（见《深圳市安全生产领域举报处理办法》第二十九条）</w:t>
            </w:r>
          </w:p>
          <w:p>
            <w:pPr>
              <w:spacing w:line="500" w:lineRule="exact"/>
              <w:rPr>
                <w:rFonts w:ascii="仿宋_GB2312" w:hAnsi="宋体" w:eastAsia="仿宋_GB2312"/>
                <w:sz w:val="24"/>
              </w:rPr>
            </w:pPr>
            <w:r>
              <w:rPr>
                <w:rFonts w:hint="eastAsia" w:ascii="仿宋_GB2312" w:hAnsi="宋体" w:eastAsia="仿宋_GB2312"/>
                <w:sz w:val="24"/>
              </w:rPr>
              <w:t>□属于   □不属于</w:t>
            </w:r>
          </w:p>
          <w:p>
            <w:pPr>
              <w:spacing w:line="500" w:lineRule="exact"/>
              <w:rPr>
                <w:rFonts w:ascii="仿宋_GB2312" w:eastAsia="仿宋_GB2312"/>
                <w:sz w:val="24"/>
              </w:rPr>
            </w:pPr>
            <w:r>
              <w:rPr>
                <w:rFonts w:hint="eastAsia" w:ascii="仿宋_GB2312" w:hAnsi="宋体" w:eastAsia="仿宋_GB2312"/>
                <w:sz w:val="24"/>
              </w:rPr>
              <w:t>是否立案处罚：□是   □否   拟处罚金额：</w:t>
            </w:r>
            <w:r>
              <w:rPr>
                <w:rFonts w:hint="eastAsia" w:ascii="仿宋_GB2312" w:hAnsi="宋体" w:eastAsia="仿宋_GB2312"/>
                <w:sz w:val="24"/>
                <w:u w:val="single"/>
              </w:rPr>
              <w:t xml:space="preserve">      </w:t>
            </w: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1926" w:type="dxa"/>
            <w:vMerge w:val="continue"/>
            <w:shd w:val="clear" w:color="auto" w:fill="auto"/>
            <w:vAlign w:val="center"/>
          </w:tcPr>
          <w:p>
            <w:pPr>
              <w:jc w:val="center"/>
              <w:rPr>
                <w:rFonts w:ascii="仿宋_GB2312" w:hAnsi="宋体" w:eastAsia="仿宋_GB2312"/>
                <w:sz w:val="24"/>
              </w:rPr>
            </w:pPr>
          </w:p>
        </w:tc>
        <w:tc>
          <w:tcPr>
            <w:tcW w:w="7561" w:type="dxa"/>
            <w:shd w:val="clear" w:color="auto" w:fill="auto"/>
          </w:tcPr>
          <w:p>
            <w:pPr>
              <w:spacing w:line="500" w:lineRule="exact"/>
              <w:rPr>
                <w:rFonts w:ascii="仿宋_GB2312" w:hAnsi="宋体" w:eastAsia="仿宋_GB2312"/>
                <w:sz w:val="24"/>
              </w:rPr>
            </w:pPr>
            <w:r>
              <w:rPr>
                <w:rFonts w:hint="eastAsia" w:ascii="仿宋_GB2312" w:hAnsi="宋体" w:eastAsia="仿宋_GB2312"/>
                <w:sz w:val="24"/>
              </w:rPr>
              <w:t>3.如属于尚不构成违法的事故隐患，是否属于重大事故隐患（（</w:t>
            </w:r>
            <w:r>
              <w:rPr>
                <w:rFonts w:hint="eastAsia" w:ascii="仿宋_GB2312" w:eastAsia="仿宋_GB2312"/>
                <w:sz w:val="24"/>
              </w:rPr>
              <w:t>《深圳市安全生产领域举报处理办法》第十九条第二项</w:t>
            </w:r>
            <w:r>
              <w:rPr>
                <w:rFonts w:hint="eastAsia" w:ascii="仿宋_GB2312" w:hAnsi="宋体" w:eastAsia="仿宋_GB2312"/>
                <w:sz w:val="24"/>
              </w:rPr>
              <w:t>规定</w:t>
            </w:r>
            <w:r>
              <w:rPr>
                <w:rFonts w:hint="eastAsia" w:ascii="仿宋_GB2312" w:hAnsi="宋体" w:eastAsia="仿宋_GB2312"/>
                <w:strike/>
                <w:sz w:val="24"/>
              </w:rPr>
              <w:t>，第七项除外</w:t>
            </w:r>
            <w:r>
              <w:rPr>
                <w:rFonts w:hint="eastAsia" w:ascii="仿宋_GB2312" w:hAnsi="宋体" w:eastAsia="仿宋_GB2312"/>
                <w:sz w:val="24"/>
              </w:rPr>
              <w:t>）</w:t>
            </w:r>
          </w:p>
          <w:p>
            <w:pPr>
              <w:spacing w:line="500" w:lineRule="exact"/>
              <w:rPr>
                <w:rFonts w:ascii="仿宋_GB2312" w:eastAsia="仿宋_GB2312"/>
                <w:sz w:val="24"/>
              </w:rPr>
            </w:pPr>
            <w:r>
              <w:rPr>
                <w:rFonts w:hint="eastAsia" w:ascii="仿宋_GB2312" w:hAnsi="宋体" w:eastAsia="仿宋_GB2312"/>
                <w:sz w:val="24"/>
              </w:rPr>
              <w:t>□属于   □不属于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9" w:hRule="atLeast"/>
          <w:jc w:val="center"/>
        </w:trPr>
        <w:tc>
          <w:tcPr>
            <w:tcW w:w="1926" w:type="dxa"/>
            <w:vMerge w:val="continue"/>
            <w:shd w:val="clear" w:color="auto" w:fill="auto"/>
          </w:tcPr>
          <w:p>
            <w:pPr>
              <w:jc w:val="center"/>
              <w:rPr>
                <w:rFonts w:ascii="仿宋_GB2312" w:hAnsi="宋体" w:eastAsia="仿宋_GB2312"/>
                <w:sz w:val="24"/>
              </w:rPr>
            </w:pPr>
          </w:p>
        </w:tc>
        <w:tc>
          <w:tcPr>
            <w:tcW w:w="7561" w:type="dxa"/>
            <w:shd w:val="clear" w:color="auto" w:fill="auto"/>
          </w:tcPr>
          <w:p>
            <w:pPr>
              <w:spacing w:line="560" w:lineRule="exact"/>
              <w:rPr>
                <w:rFonts w:ascii="仿宋_GB2312" w:hAnsi="宋体" w:eastAsia="仿宋_GB2312"/>
                <w:sz w:val="24"/>
              </w:rPr>
            </w:pPr>
            <w:r>
              <w:rPr>
                <w:rFonts w:hint="eastAsia" w:ascii="仿宋_GB2312" w:hAnsi="宋体" w:eastAsia="仿宋_GB2312"/>
                <w:sz w:val="24"/>
              </w:rPr>
              <w:t>4.情况说明：</w:t>
            </w:r>
          </w:p>
          <w:p>
            <w:pPr>
              <w:spacing w:line="560" w:lineRule="exact"/>
              <w:rPr>
                <w:rFonts w:ascii="仿宋_GB2312" w:hAnsi="宋体" w:eastAsia="仿宋_GB2312"/>
                <w:sz w:val="24"/>
              </w:rPr>
            </w:pPr>
          </w:p>
          <w:p>
            <w:pPr>
              <w:spacing w:line="56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26" w:type="dxa"/>
            <w:vMerge w:val="continue"/>
            <w:shd w:val="clear" w:color="auto" w:fill="auto"/>
          </w:tcPr>
          <w:p>
            <w:pPr>
              <w:jc w:val="center"/>
              <w:rPr>
                <w:rFonts w:ascii="仿宋_GB2312" w:hAnsi="宋体" w:eastAsia="仿宋_GB2312"/>
                <w:sz w:val="24"/>
              </w:rPr>
            </w:pPr>
          </w:p>
        </w:tc>
        <w:tc>
          <w:tcPr>
            <w:tcW w:w="7561" w:type="dxa"/>
            <w:shd w:val="clear" w:color="auto" w:fill="auto"/>
          </w:tcPr>
          <w:p>
            <w:pPr>
              <w:spacing w:line="560" w:lineRule="exact"/>
              <w:rPr>
                <w:rFonts w:ascii="仿宋_GB2312" w:hAnsi="宋体" w:eastAsia="仿宋_GB2312"/>
                <w:sz w:val="24"/>
              </w:rPr>
            </w:pPr>
            <w:r>
              <w:rPr>
                <w:rFonts w:hint="eastAsia" w:ascii="仿宋_GB2312" w:eastAsia="仿宋_GB2312"/>
                <w:sz w:val="24"/>
              </w:rPr>
              <w:t>5.整改情况：  □已整改     　   □整改中 （继续跟踪回复）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26" w:type="dxa"/>
            <w:vMerge w:val="continue"/>
            <w:shd w:val="clear" w:color="auto" w:fill="auto"/>
            <w:vAlign w:val="center"/>
          </w:tcPr>
          <w:p>
            <w:pPr>
              <w:jc w:val="center"/>
              <w:rPr>
                <w:rFonts w:ascii="仿宋_GB2312" w:hAnsi="宋体" w:eastAsia="仿宋_GB2312"/>
                <w:sz w:val="24"/>
              </w:rPr>
            </w:pPr>
          </w:p>
        </w:tc>
        <w:tc>
          <w:tcPr>
            <w:tcW w:w="7561" w:type="dxa"/>
            <w:shd w:val="clear" w:color="auto" w:fill="auto"/>
            <w:vAlign w:val="center"/>
          </w:tcPr>
          <w:p>
            <w:pPr>
              <w:spacing w:line="560" w:lineRule="exact"/>
              <w:rPr>
                <w:rFonts w:ascii="仿宋_GB2312" w:eastAsia="仿宋_GB2312"/>
                <w:sz w:val="24"/>
              </w:rPr>
            </w:pPr>
            <w:r>
              <w:rPr>
                <w:rFonts w:hint="eastAsia" w:ascii="仿宋_GB2312" w:eastAsia="仿宋_GB2312"/>
                <w:sz w:val="24"/>
              </w:rPr>
              <w:t>6.</w:t>
            </w:r>
            <w:r>
              <w:rPr>
                <w:rFonts w:hint="eastAsia" w:ascii="仿宋_GB2312" w:hAnsi="宋体" w:eastAsia="仿宋_GB2312"/>
                <w:sz w:val="24"/>
              </w:rPr>
              <w:t xml:space="preserve">是否回访：  </w:t>
            </w:r>
            <w:r>
              <w:rPr>
                <w:rFonts w:hint="eastAsia" w:ascii="仿宋_GB2312" w:eastAsia="仿宋_GB2312"/>
                <w:sz w:val="24"/>
              </w:rPr>
              <w:t xml:space="preserve">□已回访          □无法联系举报人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926" w:type="dxa"/>
            <w:vMerge w:val="continue"/>
            <w:shd w:val="clear" w:color="auto" w:fill="auto"/>
            <w:vAlign w:val="center"/>
          </w:tcPr>
          <w:p>
            <w:pPr>
              <w:jc w:val="center"/>
              <w:rPr>
                <w:rFonts w:ascii="仿宋_GB2312" w:hAnsi="宋体" w:eastAsia="仿宋_GB2312"/>
                <w:sz w:val="24"/>
              </w:rPr>
            </w:pPr>
          </w:p>
        </w:tc>
        <w:tc>
          <w:tcPr>
            <w:tcW w:w="7561" w:type="dxa"/>
            <w:shd w:val="clear" w:color="auto" w:fill="auto"/>
            <w:vAlign w:val="center"/>
          </w:tcPr>
          <w:p>
            <w:pPr>
              <w:spacing w:line="560" w:lineRule="exact"/>
              <w:rPr>
                <w:rFonts w:ascii="仿宋_GB2312" w:eastAsia="仿宋_GB2312"/>
                <w:sz w:val="24"/>
              </w:rPr>
            </w:pPr>
            <w:r>
              <w:rPr>
                <w:rFonts w:hint="eastAsia" w:ascii="仿宋_GB2312" w:eastAsia="仿宋_GB2312"/>
                <w:sz w:val="24"/>
              </w:rPr>
              <w:t>7.</w:t>
            </w:r>
            <w:r>
              <w:rPr>
                <w:rFonts w:hint="eastAsia" w:ascii="仿宋_GB2312" w:hAnsi="宋体" w:eastAsia="仿宋_GB2312"/>
                <w:sz w:val="24"/>
              </w:rPr>
              <w:t>回访满意度：</w:t>
            </w:r>
            <w:r>
              <w:rPr>
                <w:rFonts w:hint="eastAsia" w:ascii="仿宋_GB2312" w:eastAsia="仿宋_GB2312"/>
                <w:sz w:val="24"/>
              </w:rPr>
              <w:t xml:space="preserve">□非常满意  □较满意  □满意  □一般  </w:t>
            </w:r>
            <w:r>
              <w:rPr>
                <w:rFonts w:hint="eastAsia" w:ascii="仿宋_GB2312" w:eastAsia="仿宋_GB2312"/>
                <w:sz w:val="24"/>
              </w:rPr>
              <w:sym w:font="Wingdings 2" w:char="00A3"/>
            </w:r>
            <w:r>
              <w:rPr>
                <w:rFonts w:hint="eastAsia" w:ascii="仿宋_GB2312" w:eastAsia="仿宋_GB2312"/>
                <w:sz w:val="24"/>
              </w:rPr>
              <w:t>不满意</w:t>
            </w:r>
          </w:p>
        </w:tc>
      </w:tr>
    </w:tbl>
    <w:p>
      <w:pPr>
        <w:spacing w:line="500" w:lineRule="exact"/>
        <w:rPr>
          <w:rFonts w:hint="eastAsia" w:ascii="仿宋_GB2312" w:hAnsi="宋体" w:eastAsia="仿宋_GB2312"/>
          <w:sz w:val="24"/>
        </w:rPr>
      </w:pPr>
      <w:r>
        <w:rPr>
          <w:rFonts w:hint="eastAsia" w:ascii="仿宋_GB2312" w:hAnsi="宋体" w:eastAsia="仿宋_GB2312"/>
          <w:sz w:val="24"/>
        </w:rPr>
        <w:t>联系人：                      联系电话：</w:t>
      </w:r>
    </w:p>
    <w:p>
      <w:pPr>
        <w:jc w:val="center"/>
        <w:rPr>
          <w:rFonts w:ascii="方正小标宋简体" w:hAnsi="宋体" w:eastAsia="方正小标宋简体"/>
          <w:sz w:val="44"/>
          <w:szCs w:val="44"/>
        </w:rPr>
      </w:pPr>
      <w:r>
        <w:rPr>
          <w:rFonts w:hint="eastAsia" w:asciiTheme="minorEastAsia" w:hAnsiTheme="minorEastAsia" w:eastAsiaTheme="minorEastAsia" w:cstheme="minorEastAsia"/>
          <w:b/>
          <w:bCs/>
          <w:sz w:val="44"/>
          <w:szCs w:val="44"/>
        </w:rPr>
        <w:t>现场检查（整改前、后）照片</w:t>
      </w:r>
    </w:p>
    <w:tbl>
      <w:tblPr>
        <w:tblStyle w:val="8"/>
        <w:tblpPr w:leftFromText="180" w:rightFromText="180" w:vertAnchor="text" w:horzAnchor="page" w:tblpX="1731" w:tblpY="102"/>
        <w:tblOverlap w:val="never"/>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9"/>
        <w:gridCol w:w="372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2" w:hRule="atLeast"/>
        </w:trPr>
        <w:tc>
          <w:tcPr>
            <w:tcW w:w="3979"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例：隐患内容1部位整改前照片</w:t>
            </w:r>
          </w:p>
        </w:tc>
        <w:tc>
          <w:tcPr>
            <w:tcW w:w="3721"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例：隐患内容1部位整改后照片</w:t>
            </w:r>
          </w:p>
        </w:tc>
        <w:tc>
          <w:tcPr>
            <w:tcW w:w="1418" w:type="dxa"/>
            <w:vMerge w:val="restart"/>
            <w:vAlign w:val="center"/>
          </w:tcPr>
          <w:p>
            <w:pPr>
              <w:spacing w:line="500" w:lineRule="exact"/>
              <w:rPr>
                <w:rFonts w:ascii="仿宋_GB2312" w:hAnsi="宋体" w:eastAsia="仿宋_GB2312"/>
                <w:sz w:val="24"/>
              </w:rPr>
            </w:pPr>
            <w:r>
              <w:rPr>
                <w:rFonts w:hint="eastAsia" w:ascii="仿宋_GB2312" w:hAnsi="宋体" w:eastAsia="仿宋_GB2312"/>
                <w:sz w:val="24"/>
              </w:rPr>
              <w:t>要求：</w:t>
            </w:r>
          </w:p>
          <w:p>
            <w:pPr>
              <w:spacing w:line="500" w:lineRule="exact"/>
              <w:rPr>
                <w:rFonts w:ascii="仿宋_GB2312" w:hAnsi="宋体" w:eastAsia="仿宋_GB2312"/>
                <w:sz w:val="24"/>
              </w:rPr>
            </w:pPr>
            <w:r>
              <w:rPr>
                <w:rFonts w:hint="eastAsia" w:ascii="仿宋_GB2312" w:hAnsi="宋体" w:eastAsia="仿宋_GB2312"/>
                <w:sz w:val="24"/>
              </w:rPr>
              <w:t>针对隐患内容逐条逐项拍照，并对照片逐一进行文字描述，隐患部位整改前、后照片相对应。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3979"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例：隐患内容1整改前相关描述</w:t>
            </w:r>
          </w:p>
        </w:tc>
        <w:tc>
          <w:tcPr>
            <w:tcW w:w="3721"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例：隐患内容1整改后相关描述</w:t>
            </w:r>
          </w:p>
        </w:tc>
        <w:tc>
          <w:tcPr>
            <w:tcW w:w="1418" w:type="dxa"/>
            <w:vMerge w:val="continue"/>
            <w:vAlign w:val="center"/>
          </w:tcPr>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9" w:hRule="atLeast"/>
        </w:trPr>
        <w:tc>
          <w:tcPr>
            <w:tcW w:w="3979"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例：隐患内容2部位整改前照片</w:t>
            </w:r>
          </w:p>
        </w:tc>
        <w:tc>
          <w:tcPr>
            <w:tcW w:w="3721" w:type="dxa"/>
            <w:vAlign w:val="center"/>
          </w:tcPr>
          <w:p>
            <w:pPr>
              <w:spacing w:line="500" w:lineRule="exact"/>
              <w:rPr>
                <w:rFonts w:ascii="仿宋_GB2312" w:hAnsi="宋体" w:eastAsia="仿宋_GB2312"/>
                <w:sz w:val="24"/>
              </w:rPr>
            </w:pPr>
            <w:r>
              <w:rPr>
                <w:rFonts w:hint="eastAsia" w:ascii="仿宋_GB2312" w:hAnsi="宋体" w:eastAsia="仿宋_GB2312"/>
                <w:sz w:val="24"/>
              </w:rPr>
              <w:t>例：隐患内容2部位整改后照片</w:t>
            </w:r>
          </w:p>
        </w:tc>
        <w:tc>
          <w:tcPr>
            <w:tcW w:w="1418" w:type="dxa"/>
            <w:vMerge w:val="continue"/>
          </w:tcPr>
          <w:p>
            <w:pPr>
              <w:spacing w:line="50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3979" w:type="dxa"/>
            <w:vAlign w:val="center"/>
          </w:tcPr>
          <w:p>
            <w:pPr>
              <w:spacing w:line="500" w:lineRule="exact"/>
              <w:rPr>
                <w:rFonts w:ascii="仿宋_GB2312" w:hAnsi="宋体" w:eastAsia="仿宋_GB2312"/>
                <w:sz w:val="24"/>
              </w:rPr>
            </w:pPr>
            <w:r>
              <w:rPr>
                <w:rFonts w:hint="eastAsia" w:ascii="仿宋_GB2312" w:hAnsi="宋体" w:eastAsia="仿宋_GB2312"/>
                <w:sz w:val="24"/>
              </w:rPr>
              <w:t>例：隐患2整改前相关描述</w:t>
            </w:r>
          </w:p>
        </w:tc>
        <w:tc>
          <w:tcPr>
            <w:tcW w:w="3721" w:type="dxa"/>
            <w:vAlign w:val="center"/>
          </w:tcPr>
          <w:p>
            <w:pPr>
              <w:spacing w:line="500" w:lineRule="exact"/>
              <w:rPr>
                <w:rFonts w:ascii="仿宋_GB2312" w:hAnsi="宋体" w:eastAsia="仿宋_GB2312"/>
                <w:sz w:val="24"/>
              </w:rPr>
            </w:pPr>
            <w:r>
              <w:rPr>
                <w:rFonts w:hint="eastAsia" w:ascii="仿宋_GB2312" w:hAnsi="宋体" w:eastAsia="仿宋_GB2312"/>
                <w:sz w:val="24"/>
              </w:rPr>
              <w:t>例：隐患2整改后相关描述</w:t>
            </w:r>
          </w:p>
        </w:tc>
        <w:tc>
          <w:tcPr>
            <w:tcW w:w="1418" w:type="dxa"/>
            <w:vMerge w:val="continue"/>
          </w:tcPr>
          <w:p>
            <w:pPr>
              <w:spacing w:line="500" w:lineRule="exact"/>
              <w:rPr>
                <w:rFonts w:ascii="仿宋_GB2312" w:hAnsi="宋体" w:eastAsia="仿宋_GB2312"/>
                <w:sz w:val="24"/>
              </w:rPr>
            </w:pPr>
          </w:p>
        </w:tc>
      </w:tr>
    </w:tbl>
    <w:p>
      <w:pPr>
        <w:ind w:left="5666" w:leftChars="2698" w:firstLine="0" w:firstLineChars="0"/>
        <w:rPr>
          <w:rFonts w:ascii="仿宋_GB2312" w:hAnsi="宋体" w:eastAsia="仿宋_GB2312"/>
          <w:b/>
          <w:sz w:val="32"/>
          <w:szCs w:val="32"/>
        </w:rPr>
      </w:pPr>
      <w:r>
        <w:rPr>
          <w:rFonts w:hint="eastAsia"/>
          <w:sz w:val="30"/>
          <w:szCs w:val="30"/>
        </w:rPr>
        <w:t>承办单位（盖章）：               时间：201  年  月   日</w:t>
      </w:r>
    </w:p>
    <w:p>
      <w:pPr>
        <w:spacing w:line="500" w:lineRule="exact"/>
        <w:rPr>
          <w:rFonts w:hint="eastAsia" w:ascii="仿宋_GB2312" w:hAnsi="宋体" w:eastAsia="仿宋_GB2312"/>
          <w:sz w:val="24"/>
        </w:rPr>
      </w:pPr>
    </w:p>
    <w:p>
      <w:pPr>
        <w:spacing w:line="520" w:lineRule="exact"/>
        <w:ind w:firstLine="0" w:firstLineChars="0"/>
        <w:jc w:val="center"/>
        <w:rPr>
          <w:rFonts w:ascii="仿宋_GB2312" w:eastAsia="仿宋_GB2312"/>
          <w:sz w:val="28"/>
          <w:szCs w:val="28"/>
        </w:rPr>
      </w:pPr>
      <w:r>
        <w:rPr>
          <w:rFonts w:ascii="黑体"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-495300</wp:posOffset>
                </wp:positionV>
                <wp:extent cx="600075" cy="316865"/>
                <wp:effectExtent l="0" t="0" r="9525" b="6985"/>
                <wp:wrapNone/>
                <wp:docPr id="5" name="文本框 5"/>
                <wp:cNvGraphicFramePr/>
                <a:graphic xmlns:a="http://schemas.openxmlformats.org/drawingml/2006/main">
                  <a:graphicData uri="http://schemas.microsoft.com/office/word/2010/wordprocessingShape">
                    <wps:wsp>
                      <wps:cNvSpPr txBox="1"/>
                      <wps:spPr>
                        <a:xfrm>
                          <a:off x="0" y="0"/>
                          <a:ext cx="600075" cy="316865"/>
                        </a:xfrm>
                        <a:prstGeom prst="rect">
                          <a:avLst/>
                        </a:prstGeom>
                        <a:solidFill>
                          <a:srgbClr val="FFFFFF"/>
                        </a:solidFill>
                        <a:ln w="9525">
                          <a:noFill/>
                        </a:ln>
                      </wps:spPr>
                      <wps:txbx>
                        <w:txbxContent>
                          <w:p>
                            <w:r>
                              <w:t>附件3</w:t>
                            </w:r>
                          </w:p>
                        </w:txbxContent>
                      </wps:txbx>
                      <wps:bodyPr upright="1"/>
                    </wps:wsp>
                  </a:graphicData>
                </a:graphic>
              </wp:anchor>
            </w:drawing>
          </mc:Choice>
          <mc:Fallback>
            <w:pict>
              <v:shape id="_x0000_s1026" o:spid="_x0000_s1026" o:spt="202" type="#_x0000_t202" style="position:absolute;left:0pt;margin-left:-31.5pt;margin-top:-39pt;height:24.95pt;width:47.25pt;z-index:251661312;mso-width-relative:page;mso-height-relative:page;" fillcolor="#FFFFFF" filled="t" stroked="f" coordsize="21600,21600" o:gfxdata="UEsDBAoAAAAAAIdO4kAAAAAAAAAAAAAAAAAEAAAAZHJzL1BLAwQUAAAACACHTuJAx+2J0dgAAAAK&#10;AQAADwAAAGRycy9kb3ducmV2LnhtbE2PzU7DQAyE70i8w8pIXFC7SUuTELKpBBKIa38ewEncJCLr&#10;jbLbpn17zAluY3s0/qbYXu2gLjT53rGBeBmBIq5d03Nr4Hj4WGSgfEBucHBMBm7kYVve3xWYN27m&#10;HV32oVUSwj5HA10IY661rzuy6JduJJbbyU0Wg4xTq5sJZwm3g15FUaIt9iwfOhzpvaP6e3+2Bk5f&#10;89PmZa4+wzHdPSdv2KeVuxnz+BBHr6ACXcOfGX7xBR1KYarcmRuvBgOLZC1dgog0EyGOdbwBVcli&#10;lcWgy0L/r1D+AFBLAwQUAAAACACHTuJAYd4xQqwBAAAxAwAADgAAAGRycy9lMm9Eb2MueG1srVLB&#10;jtMwEL0j8Q+W7zRpUcsSNV0JVuWCAGnhA1zHTizZHmvsbdIfgD/gxIU739XvYOx2u7B7Q+Tg2DPP&#10;b+a98fp6cpbtFUYDvuXzWc2Z8hI64/uWf/m8fXHFWUzCd8KCVy0/qMivN8+frcfQqAUMYDuFjEh8&#10;bMbQ8iGl0FRVlINyIs4gKE9JDehEoiP2VYdiJHZnq0Vdr6oRsAsIUsVI0ZtTkm8Kv9ZKpo9aR5WY&#10;bTn1lsqKZd3ltdqsRdOjCIOR5zbEP3ThhPFU9EJ1I5Jgd2ieUDkjESLoNJPgKtDaSFU0kJp5/UjN&#10;7SCCKlrInBguNsX/Rys/7D8hM13Ll5x54WhEx+/fjj9+HX9+ZctszxhiQ6jbQLg0vYGJxnwfjxTM&#10;qieNLv9JD6M8GX24mKumxCQFV3Vdv6IiklIv56urVWGvHi4HjOmdAsfypuVIsyuWiv37mKgRgt5D&#10;cq0I1nRbY205YL97a5HtBc15W77cI135C2Y9G1v+erlYFmYP+f4JZz3Bs9aTprxL0246G7CD7kD6&#10;7wKafqDmigMFTnMpdc5vKA/+z3MhfXjp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7YnR2AAA&#10;AAoBAAAPAAAAAAAAAAEAIAAAACIAAABkcnMvZG93bnJldi54bWxQSwECFAAUAAAACACHTuJAYd4x&#10;QqwBAAAxAwAADgAAAAAAAAABACAAAAAnAQAAZHJzL2Uyb0RvYy54bWxQSwUGAAAAAAYABgBZAQAA&#10;RQUAAAAA&#10;">
                <v:fill on="t" focussize="0,0"/>
                <v:stroke on="f"/>
                <v:imagedata o:title=""/>
                <o:lock v:ext="edit" aspectratio="f"/>
                <v:textbox>
                  <w:txbxContent>
                    <w:p>
                      <w:r>
                        <w:t>附件3</w:t>
                      </w:r>
                    </w:p>
                  </w:txbxContent>
                </v:textbox>
              </v:shape>
            </w:pict>
          </mc:Fallback>
        </mc:AlternateContent>
      </w:r>
      <w:r>
        <w:rPr>
          <w:rFonts w:ascii="黑体" w:eastAsia="黑体"/>
          <w:sz w:val="32"/>
          <w:szCs w:val="32"/>
        </w:rPr>
        <w:t>福田区举报事项“较大”“重大”“特大”隐患核定处理表</w:t>
      </w:r>
    </w:p>
    <w:tbl>
      <w:tblPr>
        <w:tblStyle w:val="7"/>
        <w:tblW w:w="9450" w:type="dxa"/>
        <w:tblInd w:w="-102" w:type="dxa"/>
        <w:tblLayout w:type="fixed"/>
        <w:tblCellMar>
          <w:top w:w="0" w:type="dxa"/>
          <w:left w:w="108" w:type="dxa"/>
          <w:bottom w:w="0" w:type="dxa"/>
          <w:right w:w="108" w:type="dxa"/>
        </w:tblCellMar>
      </w:tblPr>
      <w:tblGrid>
        <w:gridCol w:w="1565"/>
        <w:gridCol w:w="2425"/>
        <w:gridCol w:w="2635"/>
        <w:gridCol w:w="2825"/>
      </w:tblGrid>
      <w:tr>
        <w:tblPrEx>
          <w:tblLayout w:type="fixed"/>
          <w:tblCellMar>
            <w:top w:w="0" w:type="dxa"/>
            <w:left w:w="108" w:type="dxa"/>
            <w:bottom w:w="0" w:type="dxa"/>
            <w:right w:w="108" w:type="dxa"/>
          </w:tblCellMar>
        </w:tblPrEx>
        <w:trPr>
          <w:trHeight w:val="750" w:hRule="atLeast"/>
        </w:trPr>
        <w:tc>
          <w:tcPr>
            <w:tcW w:w="156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520" w:lineRule="exact"/>
              <w:jc w:val="center"/>
              <w:rPr>
                <w:rFonts w:ascii="黑体" w:hAnsi="宋体" w:eastAsia="黑体" w:cs="宋体"/>
                <w:kern w:val="0"/>
                <w:sz w:val="28"/>
                <w:szCs w:val="28"/>
              </w:rPr>
            </w:pPr>
            <w:r>
              <w:rPr>
                <w:rFonts w:ascii="黑体" w:hAnsi="宋体" w:eastAsia="黑体" w:cs="宋体"/>
                <w:kern w:val="0"/>
                <w:sz w:val="28"/>
                <w:szCs w:val="28"/>
              </w:rPr>
              <w:t>举报事项办理情况</w:t>
            </w:r>
          </w:p>
        </w:tc>
        <w:tc>
          <w:tcPr>
            <w:tcW w:w="2425"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隐患登记号</w:t>
            </w:r>
          </w:p>
        </w:tc>
        <w:tc>
          <w:tcPr>
            <w:tcW w:w="5460"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1290" w:hRule="atLeast"/>
        </w:trPr>
        <w:tc>
          <w:tcPr>
            <w:tcW w:w="156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8"/>
                <w:szCs w:val="28"/>
              </w:rPr>
            </w:pPr>
          </w:p>
        </w:tc>
        <w:tc>
          <w:tcPr>
            <w:tcW w:w="242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举报内容</w:t>
            </w:r>
          </w:p>
        </w:tc>
        <w:tc>
          <w:tcPr>
            <w:tcW w:w="5460"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1170" w:hRule="atLeast"/>
        </w:trPr>
        <w:tc>
          <w:tcPr>
            <w:tcW w:w="156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黑体" w:hAnsi="宋体" w:eastAsia="黑体" w:cs="宋体"/>
                <w:kern w:val="0"/>
                <w:sz w:val="28"/>
                <w:szCs w:val="28"/>
              </w:rPr>
            </w:pPr>
          </w:p>
        </w:tc>
        <w:tc>
          <w:tcPr>
            <w:tcW w:w="242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办理情况</w:t>
            </w:r>
          </w:p>
        </w:tc>
        <w:tc>
          <w:tcPr>
            <w:tcW w:w="5460"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　</w:t>
            </w:r>
          </w:p>
        </w:tc>
      </w:tr>
      <w:tr>
        <w:tblPrEx>
          <w:tblLayout w:type="fixed"/>
          <w:tblCellMar>
            <w:top w:w="0" w:type="dxa"/>
            <w:left w:w="108" w:type="dxa"/>
            <w:bottom w:w="0" w:type="dxa"/>
            <w:right w:w="108" w:type="dxa"/>
          </w:tblCellMar>
        </w:tblPrEx>
        <w:trPr>
          <w:trHeight w:val="690" w:hRule="atLeast"/>
        </w:trPr>
        <w:tc>
          <w:tcPr>
            <w:tcW w:w="1565"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8"/>
                <w:szCs w:val="28"/>
              </w:rPr>
            </w:pPr>
            <w:r>
              <w:rPr>
                <w:rFonts w:ascii="黑体" w:hAnsi="宋体" w:eastAsia="黑体" w:cs="宋体"/>
                <w:kern w:val="0"/>
                <w:sz w:val="28"/>
                <w:szCs w:val="28"/>
              </w:rPr>
              <w:t>初步认定结果</w:t>
            </w:r>
          </w:p>
        </w:tc>
        <w:tc>
          <w:tcPr>
            <w:tcW w:w="242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隐患等级初步认定</w:t>
            </w:r>
          </w:p>
        </w:tc>
        <w:tc>
          <w:tcPr>
            <w:tcW w:w="2635" w:type="dxa"/>
            <w:tcBorders>
              <w:top w:val="nil"/>
              <w:left w:val="nil"/>
              <w:bottom w:val="single" w:color="auto" w:sz="4" w:space="0"/>
              <w:right w:val="nil"/>
            </w:tcBorders>
            <w:vAlign w:val="center"/>
          </w:tcPr>
          <w:p>
            <w:pPr>
              <w:widowControl/>
              <w:spacing w:line="520" w:lineRule="exact"/>
              <w:jc w:val="left"/>
              <w:rPr>
                <w:rFonts w:ascii="仿宋_GB2312" w:hAnsi="宋体" w:eastAsia="仿宋_GB2312" w:cs="宋体"/>
                <w:kern w:val="0"/>
                <w:sz w:val="24"/>
              </w:rPr>
            </w:pPr>
            <w:r>
              <w:rPr>
                <w:rFonts w:ascii="仿宋_GB2312" w:hAnsi="宋体" w:eastAsia="仿宋_GB2312" w:cs="宋体"/>
                <w:kern w:val="0"/>
                <w:sz w:val="24"/>
              </w:rPr>
              <w:t>□较大事故隐患     □重大事故隐患</w:t>
            </w:r>
          </w:p>
        </w:tc>
        <w:tc>
          <w:tcPr>
            <w:tcW w:w="2825" w:type="dxa"/>
            <w:tcBorders>
              <w:top w:val="nil"/>
              <w:left w:val="nil"/>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8"/>
                <w:szCs w:val="28"/>
              </w:rPr>
            </w:pPr>
            <w:r>
              <w:rPr>
                <w:rFonts w:ascii="仿宋_GB2312" w:hAnsi="宋体" w:eastAsia="仿宋_GB2312" w:cs="宋体"/>
                <w:kern w:val="0"/>
                <w:sz w:val="28"/>
                <w:szCs w:val="28"/>
              </w:rPr>
              <w:t>　</w:t>
            </w:r>
            <w:r>
              <w:rPr>
                <w:rFonts w:ascii="仿宋_GB2312" w:hAnsi="宋体" w:eastAsia="仿宋_GB2312" w:cs="宋体"/>
                <w:kern w:val="0"/>
                <w:sz w:val="24"/>
              </w:rPr>
              <w:t>□特大事故隐患</w:t>
            </w:r>
          </w:p>
        </w:tc>
      </w:tr>
      <w:tr>
        <w:tblPrEx>
          <w:tblLayout w:type="fixed"/>
          <w:tblCellMar>
            <w:top w:w="0" w:type="dxa"/>
            <w:left w:w="108" w:type="dxa"/>
            <w:bottom w:w="0" w:type="dxa"/>
            <w:right w:w="108" w:type="dxa"/>
          </w:tblCellMar>
        </w:tblPrEx>
        <w:trPr>
          <w:trHeight w:val="705" w:hRule="atLeast"/>
        </w:trPr>
        <w:tc>
          <w:tcPr>
            <w:tcW w:w="156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黑体" w:hAnsi="宋体" w:eastAsia="黑体" w:cs="宋体"/>
                <w:kern w:val="0"/>
                <w:sz w:val="28"/>
                <w:szCs w:val="28"/>
              </w:rPr>
            </w:pPr>
          </w:p>
        </w:tc>
        <w:tc>
          <w:tcPr>
            <w:tcW w:w="242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是否涉及安全生产领域</w:t>
            </w:r>
          </w:p>
        </w:tc>
        <w:tc>
          <w:tcPr>
            <w:tcW w:w="2635" w:type="dxa"/>
            <w:tcBorders>
              <w:top w:val="nil"/>
              <w:left w:val="nil"/>
              <w:bottom w:val="single" w:color="auto" w:sz="4" w:space="0"/>
              <w:right w:val="nil"/>
            </w:tcBorders>
            <w:vAlign w:val="center"/>
          </w:tcPr>
          <w:p>
            <w:pPr>
              <w:widowControl/>
              <w:spacing w:line="520" w:lineRule="exact"/>
              <w:jc w:val="left"/>
              <w:rPr>
                <w:rFonts w:ascii="仿宋_GB2312" w:hAnsi="宋体" w:eastAsia="仿宋_GB2312" w:cs="宋体"/>
                <w:kern w:val="0"/>
                <w:sz w:val="24"/>
              </w:rPr>
            </w:pPr>
            <w:r>
              <w:rPr>
                <w:rFonts w:ascii="仿宋_GB2312" w:hAnsi="宋体" w:eastAsia="仿宋_GB2312" w:cs="宋体"/>
                <w:kern w:val="0"/>
                <w:sz w:val="24"/>
              </w:rPr>
              <w:t>□是</w:t>
            </w:r>
          </w:p>
        </w:tc>
        <w:tc>
          <w:tcPr>
            <w:tcW w:w="2825" w:type="dxa"/>
            <w:tcBorders>
              <w:top w:val="nil"/>
              <w:left w:val="nil"/>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4"/>
              </w:rPr>
            </w:pPr>
            <w:r>
              <w:rPr>
                <w:rFonts w:ascii="仿宋_GB2312" w:hAnsi="宋体" w:eastAsia="仿宋_GB2312" w:cs="宋体"/>
                <w:kern w:val="0"/>
                <w:sz w:val="24"/>
              </w:rPr>
              <w:t>□否</w:t>
            </w:r>
          </w:p>
        </w:tc>
      </w:tr>
      <w:tr>
        <w:tblPrEx>
          <w:tblLayout w:type="fixed"/>
          <w:tblCellMar>
            <w:top w:w="0" w:type="dxa"/>
            <w:left w:w="108" w:type="dxa"/>
            <w:bottom w:w="0" w:type="dxa"/>
            <w:right w:w="108" w:type="dxa"/>
          </w:tblCellMar>
        </w:tblPrEx>
        <w:trPr>
          <w:trHeight w:val="2541" w:hRule="atLeast"/>
        </w:trPr>
        <w:tc>
          <w:tcPr>
            <w:tcW w:w="1565" w:type="dxa"/>
            <w:vMerge w:val="restart"/>
            <w:tcBorders>
              <w:top w:val="nil"/>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8"/>
                <w:szCs w:val="28"/>
              </w:rPr>
            </w:pPr>
            <w:r>
              <w:rPr>
                <w:rFonts w:ascii="黑体" w:hAnsi="宋体" w:eastAsia="黑体" w:cs="宋体"/>
                <w:kern w:val="0"/>
                <w:sz w:val="28"/>
                <w:szCs w:val="28"/>
              </w:rPr>
              <w:t>最终认定结果</w:t>
            </w:r>
          </w:p>
        </w:tc>
        <w:tc>
          <w:tcPr>
            <w:tcW w:w="2425"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区安监局意见（涉及安全生产时填写）</w:t>
            </w:r>
          </w:p>
        </w:tc>
        <w:tc>
          <w:tcPr>
            <w:tcW w:w="2635" w:type="dxa"/>
            <w:tcBorders>
              <w:top w:val="nil"/>
              <w:left w:val="nil"/>
              <w:bottom w:val="single" w:color="auto" w:sz="4" w:space="0"/>
              <w:right w:val="nil"/>
            </w:tcBorders>
            <w:vAlign w:val="center"/>
          </w:tcPr>
          <w:p>
            <w:pPr>
              <w:widowControl/>
              <w:spacing w:line="520" w:lineRule="exact"/>
              <w:jc w:val="left"/>
              <w:rPr>
                <w:rFonts w:ascii="仿宋_GB2312" w:hAnsi="宋体" w:eastAsia="仿宋_GB2312" w:cs="宋体"/>
                <w:kern w:val="0"/>
                <w:sz w:val="28"/>
                <w:szCs w:val="28"/>
              </w:rPr>
            </w:pPr>
            <w:r>
              <w:rPr>
                <w:rFonts w:ascii="仿宋_GB2312" w:hAnsi="宋体" w:eastAsia="仿宋_GB2312" w:cs="宋体"/>
                <w:kern w:val="0"/>
                <w:sz w:val="28"/>
                <w:szCs w:val="28"/>
              </w:rPr>
              <w:t>　</w:t>
            </w:r>
          </w:p>
        </w:tc>
        <w:tc>
          <w:tcPr>
            <w:tcW w:w="2825" w:type="dxa"/>
            <w:tcBorders>
              <w:top w:val="nil"/>
              <w:left w:val="nil"/>
              <w:bottom w:val="single" w:color="auto" w:sz="4" w:space="0"/>
              <w:right w:val="single" w:color="auto" w:sz="4" w:space="0"/>
            </w:tcBorders>
            <w:vAlign w:val="bottom"/>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 xml:space="preserve">   （公章）</w:t>
            </w:r>
            <w:r>
              <w:rPr>
                <w:rFonts w:ascii="仿宋_GB2312" w:hAnsi="宋体" w:eastAsia="仿宋_GB2312" w:cs="宋体"/>
                <w:kern w:val="0"/>
                <w:sz w:val="28"/>
                <w:szCs w:val="28"/>
              </w:rPr>
              <w:br w:type="textWrapping"/>
            </w:r>
            <w:r>
              <w:rPr>
                <w:rFonts w:ascii="仿宋_GB2312" w:hAnsi="宋体" w:eastAsia="仿宋_GB2312" w:cs="宋体"/>
                <w:kern w:val="0"/>
                <w:sz w:val="28"/>
                <w:szCs w:val="28"/>
              </w:rPr>
              <w:t>20  年  月  日</w:t>
            </w:r>
          </w:p>
        </w:tc>
      </w:tr>
      <w:tr>
        <w:tblPrEx>
          <w:tblLayout w:type="fixed"/>
          <w:tblCellMar>
            <w:top w:w="0" w:type="dxa"/>
            <w:left w:w="108" w:type="dxa"/>
            <w:bottom w:w="0" w:type="dxa"/>
            <w:right w:w="108" w:type="dxa"/>
          </w:tblCellMar>
        </w:tblPrEx>
        <w:trPr>
          <w:trHeight w:val="2957" w:hRule="atLeast"/>
        </w:trPr>
        <w:tc>
          <w:tcPr>
            <w:tcW w:w="1565"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黑体" w:hAnsi="宋体" w:eastAsia="黑体" w:cs="宋体"/>
                <w:kern w:val="0"/>
                <w:sz w:val="28"/>
                <w:szCs w:val="28"/>
              </w:rPr>
            </w:pPr>
          </w:p>
        </w:tc>
        <w:tc>
          <w:tcPr>
            <w:tcW w:w="2425" w:type="dxa"/>
            <w:tcBorders>
              <w:top w:val="single" w:color="auto" w:sz="4" w:space="0"/>
              <w:left w:val="nil"/>
              <w:bottom w:val="single" w:color="auto" w:sz="4" w:space="0"/>
              <w:right w:val="single" w:color="auto" w:sz="6" w:space="0"/>
            </w:tcBorders>
            <w:vAlign w:val="center"/>
          </w:tcPr>
          <w:p>
            <w:pPr>
              <w:widowControl/>
              <w:spacing w:line="520" w:lineRule="exact"/>
              <w:jc w:val="center"/>
              <w:rPr>
                <w:rFonts w:ascii="宋体" w:hAnsi="宋体" w:cs="宋体"/>
                <w:kern w:val="0"/>
                <w:sz w:val="22"/>
                <w:szCs w:val="22"/>
              </w:rPr>
            </w:pPr>
            <w:r>
              <w:rPr>
                <w:rFonts w:ascii="宋体" w:hAnsi="宋体" w:cs="宋体"/>
                <w:kern w:val="0"/>
                <w:sz w:val="22"/>
                <w:szCs w:val="22"/>
              </w:rPr>
              <w:t>区领导审核意见</w:t>
            </w:r>
          </w:p>
        </w:tc>
        <w:tc>
          <w:tcPr>
            <w:tcW w:w="5460" w:type="dxa"/>
            <w:gridSpan w:val="2"/>
            <w:tcBorders>
              <w:top w:val="single" w:color="auto" w:sz="4" w:space="0"/>
              <w:left w:val="single" w:color="auto" w:sz="6" w:space="0"/>
              <w:bottom w:val="single" w:color="auto" w:sz="4" w:space="0"/>
              <w:right w:val="single" w:color="auto" w:sz="4" w:space="0"/>
            </w:tcBorders>
            <w:vAlign w:val="bottom"/>
          </w:tcPr>
          <w:p>
            <w:pPr>
              <w:widowControl/>
              <w:spacing w:line="520" w:lineRule="exact"/>
              <w:jc w:val="right"/>
              <w:rPr>
                <w:rFonts w:ascii="仿宋_GB2312" w:hAnsi="宋体" w:eastAsia="仿宋_GB2312" w:cs="宋体"/>
                <w:kern w:val="0"/>
                <w:sz w:val="28"/>
                <w:szCs w:val="28"/>
              </w:rPr>
            </w:pPr>
            <w:r>
              <w:rPr>
                <w:rFonts w:ascii="仿宋_GB2312" w:hAnsi="宋体" w:eastAsia="仿宋_GB2312" w:cs="宋体"/>
                <w:kern w:val="0"/>
                <w:sz w:val="28"/>
                <w:szCs w:val="28"/>
              </w:rPr>
              <w:t>　</w:t>
            </w:r>
          </w:p>
          <w:p>
            <w:pPr>
              <w:spacing w:line="520" w:lineRule="exact"/>
              <w:ind w:right="-3"/>
              <w:jc w:val="center"/>
              <w:rPr>
                <w:rFonts w:ascii="仿宋_GB2312" w:hAnsi="宋体" w:eastAsia="仿宋_GB2312" w:cs="宋体"/>
                <w:kern w:val="0"/>
                <w:sz w:val="28"/>
                <w:szCs w:val="28"/>
              </w:rPr>
            </w:pPr>
            <w:r>
              <w:rPr>
                <w:rFonts w:ascii="仿宋_GB2312" w:hAnsi="宋体" w:eastAsia="仿宋_GB2312" w:cs="宋体"/>
                <w:kern w:val="0"/>
                <w:sz w:val="28"/>
                <w:szCs w:val="28"/>
              </w:rPr>
              <w:t xml:space="preserve">                   （公章）</w:t>
            </w:r>
          </w:p>
          <w:p>
            <w:pPr>
              <w:spacing w:line="520" w:lineRule="exact"/>
              <w:ind w:right="-3"/>
              <w:jc w:val="center"/>
              <w:rPr>
                <w:rFonts w:ascii="仿宋_GB2312" w:hAnsi="宋体" w:eastAsia="仿宋_GB2312" w:cs="宋体"/>
                <w:kern w:val="0"/>
                <w:sz w:val="28"/>
                <w:szCs w:val="28"/>
              </w:rPr>
            </w:pPr>
            <w:r>
              <w:rPr>
                <w:rFonts w:ascii="仿宋_GB2312" w:hAnsi="宋体" w:eastAsia="仿宋_GB2312" w:cs="宋体"/>
                <w:kern w:val="0"/>
                <w:sz w:val="28"/>
                <w:szCs w:val="28"/>
              </w:rPr>
              <w:t xml:space="preserve">                  20  年  月  日</w:t>
            </w:r>
          </w:p>
        </w:tc>
      </w:tr>
    </w:tbl>
    <w:p>
      <w:pPr>
        <w:spacing w:line="520" w:lineRule="exact"/>
        <w:rPr>
          <w:rFonts w:ascii="仿宋_GB2312" w:eastAsia="仿宋_GB2312"/>
          <w:sz w:val="24"/>
        </w:rPr>
      </w:pPr>
      <w:r>
        <w:rPr>
          <w:rFonts w:ascii="仿宋_GB2312" w:eastAsia="仿宋_GB2312"/>
          <w:b/>
          <w:sz w:val="24"/>
        </w:rPr>
        <w:t>说明：</w:t>
      </w:r>
      <w:r>
        <w:rPr>
          <w:rFonts w:ascii="仿宋_GB2312" w:eastAsia="仿宋_GB2312"/>
          <w:sz w:val="24"/>
        </w:rPr>
        <w:t>1、对各街道办、部门核查隐患情况属实并初步认定为较大及以上级别事故隐患的，由区安全管理委员会办公室组织相关专家进行认定，并报区政府审核。</w:t>
      </w:r>
    </w:p>
    <w:p>
      <w:pPr>
        <w:spacing w:line="520" w:lineRule="exact"/>
        <w:ind w:firstLine="480" w:firstLineChars="200"/>
        <w:rPr>
          <w:rFonts w:ascii="仿宋_GB2312" w:eastAsia="仿宋_GB2312"/>
          <w:sz w:val="24"/>
        </w:rPr>
        <w:sectPr>
          <w:pgSz w:w="11906" w:h="16838"/>
          <w:pgMar w:top="1440" w:right="1440" w:bottom="1440" w:left="1440" w:header="851" w:footer="992" w:gutter="0"/>
          <w:pgNumType w:fmt="numberInDash"/>
          <w:cols w:space="720" w:num="1"/>
          <w:docGrid w:type="lines" w:linePitch="312" w:charSpace="577"/>
        </w:sectPr>
      </w:pPr>
      <w:r>
        <w:rPr>
          <w:rFonts w:ascii="仿宋_GB2312" w:eastAsia="仿宋_GB2312"/>
          <w:sz w:val="24"/>
        </w:rPr>
        <w:t xml:space="preserve">  2、该举报事项经最终审核认定后，区安全管理委员会办公室依据《实施细则（修订）》第九条的标准对举报人予以相应奖励。</w:t>
      </w:r>
    </w:p>
    <w:p>
      <w:pPr>
        <w:snapToGrid w:val="0"/>
        <w:spacing w:beforeLines="0" w:afterLines="0" w:line="400" w:lineRule="exact"/>
        <w:jc w:val="center"/>
        <w:rPr>
          <w:rFonts w:ascii="黑体" w:eastAsia="黑体"/>
          <w:sz w:val="32"/>
          <w:szCs w:val="32"/>
        </w:rPr>
      </w:pPr>
      <w:r>
        <w:rPr>
          <w:rFonts w:ascii="黑体"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-333375</wp:posOffset>
                </wp:positionH>
                <wp:positionV relativeFrom="paragraph">
                  <wp:posOffset>-495300</wp:posOffset>
                </wp:positionV>
                <wp:extent cx="600075" cy="316865"/>
                <wp:effectExtent l="0" t="0" r="9525" b="6985"/>
                <wp:wrapNone/>
                <wp:docPr id="1" name="文本框 1"/>
                <wp:cNvGraphicFramePr/>
                <a:graphic xmlns:a="http://schemas.openxmlformats.org/drawingml/2006/main">
                  <a:graphicData uri="http://schemas.microsoft.com/office/word/2010/wordprocessingShape">
                    <wps:wsp>
                      <wps:cNvSpPr txBox="1"/>
                      <wps:spPr>
                        <a:xfrm>
                          <a:off x="0" y="0"/>
                          <a:ext cx="600075" cy="316865"/>
                        </a:xfrm>
                        <a:prstGeom prst="rect">
                          <a:avLst/>
                        </a:prstGeom>
                        <a:solidFill>
                          <a:srgbClr val="FFFFFF"/>
                        </a:solidFill>
                        <a:ln w="9525">
                          <a:noFill/>
                        </a:ln>
                      </wps:spPr>
                      <wps:txbx>
                        <w:txbxContent>
                          <w:p>
                            <w:r>
                              <w:t>附件4</w:t>
                            </w:r>
                          </w:p>
                        </w:txbxContent>
                      </wps:txbx>
                      <wps:bodyPr upright="1"/>
                    </wps:wsp>
                  </a:graphicData>
                </a:graphic>
              </wp:anchor>
            </w:drawing>
          </mc:Choice>
          <mc:Fallback>
            <w:pict>
              <v:shape id="_x0000_s1026" o:spid="_x0000_s1026" o:spt="202" type="#_x0000_t202" style="position:absolute;left:0pt;margin-left:-26.25pt;margin-top:-39pt;height:24.95pt;width:47.25pt;z-index:251662336;mso-width-relative:page;mso-height-relative:page;" fillcolor="#FFFFFF" filled="t" stroked="f" coordsize="21600,21600" o:gfxdata="UEsDBAoAAAAAAIdO4kAAAAAAAAAAAAAAAAAEAAAAZHJzL1BLAwQUAAAACACHTuJAeSPeQtYAAAAK&#10;AQAADwAAAGRycy9kb3ducmV2LnhtbE2P3U6DQBCF7018h82YeGPaBVIKIksTTTTetvYBBpgCkZ0l&#10;7La0b+94pVfzd3LmO+Xuakd1odkPjg3E6wgUcePagTsDx6/3VQ7KB+QWR8dk4EYedtX9XYlF6xbe&#10;0+UQOiUm7As00IcwFVr7pieLfu0mYrmd3GwxyDh3up1xEXM76iSKttriwPKhx4neemq+D2dr4PS5&#10;PKXPS/0Rjtl+s33FIavdzZjHhzh6ARXoGv7E8Isv6FAJU+3O3Ho1GlilSSpSabJcQolik0itZZHk&#10;Meiq1P8jVD9QSwMEFAAAAAgAh07iQBPtEeqrAQAAMQMAAA4AAABkcnMvZTJvRG9jLnhtbK1SQW7b&#10;MBC8F+gfCN5ryS7spoLlAG3gXoomQNIH0BQlESC5xJKx5A+0P+gpl97zLr+jS1p12uRWVAeKuzsc&#10;7sxyfTlaw/YKgwZX8/ms5Ew5CY12Xc2/3m3fXHAWonCNMOBUzQ8q8MvN61frwVdqAT2YRiEjEheq&#10;wde8j9FXRRFkr6wIM/DKUbEFtCJSiF3RoBiI3ZpiUZarYgBsPIJUIVD26lTkm8zftkrG67YNKjJT&#10;c+ot5hXzuktrsVmLqkPhey2nNsQ/dGGFdnTpmepKRMHuUb+gsloiBGjjTIItoG21VFkDqZmXz9Tc&#10;9sKrrIXMCf5sU/h/tPLL/gaZbmh2nDlhaUTHH9+PD4/Hn9/YPNkz+FAR6tYTLo4fYEzQKR8omVSP&#10;Ldr0Jz2M6mT04WyuGiOTlFyVZfluyZmk0tv56mK1TCzF02GPIX5SYFna1BxpdtlSsf8c4gn6G5Lu&#10;CmB0s9XG5AC73UeDbC9oztv8Tex/wYxjQ83fLxfLzOwgnT9RG0fNJK0nTWkXx904Cd1BcyD99x51&#10;11Nz2YEMp7lkFdMbSoP/M86kTy998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5I95C1gAAAAoB&#10;AAAPAAAAAAAAAAEAIAAAACIAAABkcnMvZG93bnJldi54bWxQSwECFAAUAAAACACHTuJAE+0R6qsB&#10;AAAxAwAADgAAAAAAAAABACAAAAAlAQAAZHJzL2Uyb0RvYy54bWxQSwUGAAAAAAYABgBZAQAAQgUA&#10;AAAA&#10;">
                <v:fill on="t" focussize="0,0"/>
                <v:stroke on="f"/>
                <v:imagedata o:title=""/>
                <o:lock v:ext="edit" aspectratio="f"/>
                <v:textbox>
                  <w:txbxContent>
                    <w:p>
                      <w:r>
                        <w:t>附件4</w:t>
                      </w:r>
                    </w:p>
                  </w:txbxContent>
                </v:textbox>
              </v:shape>
            </w:pict>
          </mc:Fallback>
        </mc:AlternateContent>
      </w:r>
      <w:r>
        <w:rPr>
          <w:rFonts w:ascii="黑体" w:eastAsia="黑体"/>
          <w:sz w:val="32"/>
          <w:szCs w:val="32"/>
        </w:rPr>
        <w:t>福田区20</w:t>
      </w:r>
      <w:r>
        <w:rPr>
          <w:rFonts w:ascii="黑体" w:eastAsia="黑体"/>
          <w:sz w:val="32"/>
          <w:szCs w:val="32"/>
          <w:u w:val="single"/>
        </w:rPr>
        <w:t xml:space="preserve">   </w:t>
      </w:r>
      <w:r>
        <w:rPr>
          <w:rFonts w:ascii="黑体" w:eastAsia="黑体"/>
          <w:sz w:val="32"/>
          <w:szCs w:val="32"/>
        </w:rPr>
        <w:t>年第</w:t>
      </w:r>
      <w:r>
        <w:rPr>
          <w:rFonts w:ascii="黑体" w:eastAsia="黑体"/>
          <w:sz w:val="32"/>
          <w:szCs w:val="32"/>
          <w:u w:val="single"/>
        </w:rPr>
        <w:t xml:space="preserve">   </w:t>
      </w:r>
      <w:r>
        <w:rPr>
          <w:rFonts w:ascii="黑体" w:eastAsia="黑体"/>
          <w:sz w:val="32"/>
          <w:szCs w:val="32"/>
        </w:rPr>
        <w:t>季度</w:t>
      </w:r>
      <w:r>
        <w:rPr>
          <w:rFonts w:hint="eastAsia" w:ascii="黑体" w:eastAsia="黑体"/>
          <w:sz w:val="32"/>
          <w:szCs w:val="32"/>
        </w:rPr>
        <w:t>公共安全隐患</w:t>
      </w:r>
      <w:r>
        <w:rPr>
          <w:rFonts w:hint="eastAsia" w:ascii="黑体" w:eastAsia="黑体"/>
          <w:sz w:val="32"/>
          <w:szCs w:val="32"/>
          <w:lang w:eastAsia="zh-CN"/>
        </w:rPr>
        <w:t>与</w:t>
      </w:r>
      <w:r>
        <w:rPr>
          <w:rFonts w:hint="eastAsia" w:ascii="黑体" w:eastAsia="黑体"/>
          <w:sz w:val="32"/>
          <w:szCs w:val="32"/>
        </w:rPr>
        <w:t>事故举报奖励金核发清单</w:t>
      </w:r>
    </w:p>
    <w:p>
      <w:pPr>
        <w:spacing w:line="400" w:lineRule="exact"/>
        <w:ind w:firstLine="560" w:firstLineChars="200"/>
        <w:rPr>
          <w:rFonts w:ascii="仿宋_GB2312" w:eastAsia="仿宋_GB2312"/>
          <w:sz w:val="28"/>
          <w:szCs w:val="28"/>
        </w:rPr>
      </w:pPr>
      <w:r>
        <w:rPr>
          <w:rFonts w:ascii="仿宋_GB2312" w:eastAsia="仿宋_GB2312"/>
          <w:sz w:val="28"/>
          <w:szCs w:val="28"/>
        </w:rPr>
        <w:t>填表单位（公章）：                                                      制表日期：20  年  月  日</w:t>
      </w:r>
    </w:p>
    <w:tbl>
      <w:tblPr>
        <w:tblStyle w:val="7"/>
        <w:tblW w:w="13990" w:type="dxa"/>
        <w:tblInd w:w="0" w:type="dxa"/>
        <w:tblLayout w:type="fixed"/>
        <w:tblCellMar>
          <w:top w:w="0" w:type="dxa"/>
          <w:left w:w="108" w:type="dxa"/>
          <w:bottom w:w="0" w:type="dxa"/>
          <w:right w:w="108" w:type="dxa"/>
        </w:tblCellMar>
      </w:tblPr>
      <w:tblGrid>
        <w:gridCol w:w="749"/>
        <w:gridCol w:w="2284"/>
        <w:gridCol w:w="1784"/>
        <w:gridCol w:w="1993"/>
        <w:gridCol w:w="3047"/>
        <w:gridCol w:w="2419"/>
        <w:gridCol w:w="1714"/>
      </w:tblGrid>
      <w:tr>
        <w:tblPrEx>
          <w:tblLayout w:type="fixed"/>
          <w:tblCellMar>
            <w:top w:w="0" w:type="dxa"/>
            <w:left w:w="108" w:type="dxa"/>
            <w:bottom w:w="0" w:type="dxa"/>
            <w:right w:w="108" w:type="dxa"/>
          </w:tblCellMar>
        </w:tblPrEx>
        <w:trPr>
          <w:trHeight w:val="585" w:hRule="atLeast"/>
        </w:trPr>
        <w:tc>
          <w:tcPr>
            <w:tcW w:w="749"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序号</w:t>
            </w:r>
          </w:p>
        </w:tc>
        <w:tc>
          <w:tcPr>
            <w:tcW w:w="228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隐患登记号</w:t>
            </w:r>
          </w:p>
        </w:tc>
        <w:tc>
          <w:tcPr>
            <w:tcW w:w="178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举报人</w:t>
            </w:r>
          </w:p>
        </w:tc>
        <w:tc>
          <w:tcPr>
            <w:tcW w:w="19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联系电话</w:t>
            </w:r>
          </w:p>
        </w:tc>
        <w:tc>
          <w:tcPr>
            <w:tcW w:w="3047"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hint="eastAsia" w:ascii="黑体" w:hAnsi="宋体" w:eastAsia="黑体" w:cs="宋体"/>
                <w:kern w:val="0"/>
                <w:sz w:val="24"/>
                <w:lang w:eastAsia="zh-CN"/>
              </w:rPr>
            </w:pPr>
            <w:r>
              <w:rPr>
                <w:rFonts w:hint="eastAsia" w:ascii="黑体" w:hAnsi="宋体" w:eastAsia="黑体" w:cs="宋体"/>
                <w:kern w:val="0"/>
                <w:sz w:val="24"/>
                <w:lang w:eastAsia="zh-CN"/>
              </w:rPr>
              <w:t>银行账号</w:t>
            </w:r>
          </w:p>
        </w:tc>
        <w:tc>
          <w:tcPr>
            <w:tcW w:w="2419"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奖励金额（元）</w:t>
            </w:r>
          </w:p>
        </w:tc>
        <w:tc>
          <w:tcPr>
            <w:tcW w:w="1714"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ascii="黑体" w:hAnsi="宋体" w:eastAsia="黑体" w:cs="宋体"/>
                <w:kern w:val="0"/>
                <w:sz w:val="24"/>
              </w:rPr>
            </w:pPr>
            <w:r>
              <w:rPr>
                <w:rFonts w:ascii="黑体" w:hAnsi="宋体" w:eastAsia="黑体" w:cs="宋体"/>
                <w:kern w:val="0"/>
                <w:sz w:val="24"/>
              </w:rPr>
              <w:t>备注</w:t>
            </w:r>
          </w:p>
        </w:tc>
      </w:tr>
      <w:tr>
        <w:tblPrEx>
          <w:tblLayout w:type="fixed"/>
          <w:tblCellMar>
            <w:top w:w="0" w:type="dxa"/>
            <w:left w:w="108" w:type="dxa"/>
            <w:bottom w:w="0" w:type="dxa"/>
            <w:right w:w="108" w:type="dxa"/>
          </w:tblCellMar>
        </w:tblPrEx>
        <w:trPr>
          <w:trHeight w:val="385"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1</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2</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3</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4</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5</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6</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7</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600"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8</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462"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9</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r>
        <w:tblPrEx>
          <w:tblLayout w:type="fixed"/>
          <w:tblCellMar>
            <w:top w:w="0" w:type="dxa"/>
            <w:left w:w="108" w:type="dxa"/>
            <w:bottom w:w="0" w:type="dxa"/>
            <w:right w:w="108" w:type="dxa"/>
          </w:tblCellMar>
        </w:tblPrEx>
        <w:trPr>
          <w:trHeight w:val="239" w:hRule="atLeast"/>
        </w:trPr>
        <w:tc>
          <w:tcPr>
            <w:tcW w:w="749" w:type="dxa"/>
            <w:tcBorders>
              <w:top w:val="nil"/>
              <w:left w:val="single" w:color="auto" w:sz="4" w:space="0"/>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10</w:t>
            </w:r>
          </w:p>
        </w:tc>
        <w:tc>
          <w:tcPr>
            <w:tcW w:w="22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8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993"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3047"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2419"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c>
          <w:tcPr>
            <w:tcW w:w="1714" w:type="dxa"/>
            <w:tcBorders>
              <w:top w:val="nil"/>
              <w:left w:val="nil"/>
              <w:bottom w:val="single" w:color="auto" w:sz="4" w:space="0"/>
              <w:right w:val="single" w:color="auto" w:sz="4" w:space="0"/>
            </w:tcBorders>
            <w:vAlign w:val="center"/>
          </w:tcPr>
          <w:p>
            <w:pPr>
              <w:widowControl/>
              <w:spacing w:line="520" w:lineRule="exact"/>
              <w:jc w:val="center"/>
              <w:rPr>
                <w:rFonts w:ascii="宋体" w:hAnsi="宋体" w:cs="宋体"/>
                <w:kern w:val="0"/>
                <w:sz w:val="28"/>
                <w:szCs w:val="28"/>
              </w:rPr>
            </w:pPr>
            <w:r>
              <w:rPr>
                <w:rFonts w:ascii="宋体" w:hAnsi="宋体" w:cs="宋体"/>
                <w:kern w:val="0"/>
                <w:sz w:val="28"/>
                <w:szCs w:val="28"/>
              </w:rPr>
              <w:t>　</w:t>
            </w:r>
          </w:p>
        </w:tc>
      </w:tr>
    </w:tbl>
    <w:p>
      <w:r>
        <w:rPr>
          <w:rFonts w:ascii="仿宋_GB2312" w:eastAsia="仿宋_GB2312"/>
          <w:sz w:val="28"/>
          <w:szCs w:val="28"/>
        </w:rPr>
        <w:t>领导审批：                              复核人：                          制表人：</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swiss"/>
    <w:pitch w:val="default"/>
    <w:sig w:usb0="A10006FF" w:usb1="4000205B" w:usb2="00000010" w:usb3="00000000" w:csb0="2000019F" w:csb1="00000000"/>
  </w:font>
  <w:font w:name="Mongolian Baiti">
    <w:panose1 w:val="03000500000000000000"/>
    <w:charset w:val="00"/>
    <w:family w:val="script"/>
    <w:pitch w:val="default"/>
    <w:sig w:usb0="80000023" w:usb1="00000000" w:usb2="00020000" w:usb3="00000000" w:csb0="00000001" w:csb1="00000000"/>
  </w:font>
  <w:font w:name="Batang">
    <w:panose1 w:val="02030600000101010101"/>
    <w:charset w:val="81"/>
    <w:family w:val="auto"/>
    <w:pitch w:val="default"/>
    <w:sig w:usb0="B00002AF" w:usb1="69D77CFB" w:usb2="00000030" w:usb3="00000000" w:csb0="4008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6"/>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3ECF3"/>
    <w:multiLevelType w:val="multilevel"/>
    <w:tmpl w:val="5E13ECF3"/>
    <w:lvl w:ilvl="0" w:tentative="0">
      <w:start w:val="1"/>
      <w:numFmt w:val="chineseCounting"/>
      <w:pStyle w:val="10"/>
      <w:suff w:val="nothing"/>
      <w:lvlText w:val="%1、"/>
      <w:lvlJc w:val="left"/>
      <w:pPr>
        <w:ind w:left="0" w:leftChars="0" w:firstLine="400" w:firstLineChars="0"/>
      </w:pPr>
      <w:rPr>
        <w:rFonts w:hint="eastAsia"/>
      </w:rPr>
    </w:lvl>
    <w:lvl w:ilvl="1" w:tentative="0">
      <w:start w:val="1"/>
      <w:numFmt w:val="decimal"/>
      <w:suff w:val="nothing"/>
      <w:lvlText w:val="%2．"/>
      <w:lvlJc w:val="left"/>
      <w:pPr>
        <w:ind w:left="0" w:leftChars="0" w:firstLine="400" w:firstLineChars="0"/>
      </w:pPr>
      <w:rPr>
        <w:rFonts w:hint="eastAsia"/>
      </w:rPr>
    </w:lvl>
    <w:lvl w:ilvl="2" w:tentative="0">
      <w:start w:val="1"/>
      <w:numFmt w:val="decimal"/>
      <w:suff w:val="nothing"/>
      <w:lvlText w:val="（%3）"/>
      <w:lvlJc w:val="left"/>
      <w:pPr>
        <w:ind w:left="0" w:leftChars="0" w:firstLine="402" w:firstLineChars="0"/>
      </w:pPr>
      <w:rPr>
        <w:rFonts w:hint="eastAsia"/>
      </w:rPr>
    </w:lvl>
    <w:lvl w:ilvl="3" w:tentative="0">
      <w:start w:val="1"/>
      <w:numFmt w:val="decimalEnclosedCircleChinese"/>
      <w:suff w:val="nothing"/>
      <w:lvlText w:val="%4 "/>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eastAsia"/>
      </w:rPr>
    </w:lvl>
    <w:lvl w:ilvl="5" w:tentative="0">
      <w:start w:val="1"/>
      <w:numFmt w:val="lowerLetter"/>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Roman"/>
      <w:suff w:val="nothing"/>
      <w:lvlText w:val="%8. "/>
      <w:lvlJc w:val="left"/>
      <w:pPr>
        <w:ind w:left="0" w:leftChars="0" w:firstLine="402" w:firstLineChars="0"/>
      </w:pPr>
      <w:rPr>
        <w:rFonts w:hint="eastAsia"/>
      </w:rPr>
    </w:lvl>
    <w:lvl w:ilvl="8" w:tentative="0">
      <w:start w:val="1"/>
      <w:numFmt w:val="lowerRoman"/>
      <w:suff w:val="nothing"/>
      <w:lvlText w:val="%9）"/>
      <w:lvlJc w:val="left"/>
      <w:pPr>
        <w:ind w:left="0" w:leftChars="0" w:firstLine="402" w:firstLineChars="0"/>
      </w:pPr>
      <w:rPr>
        <w:rFonts w:hint="eastAsia"/>
      </w:rPr>
    </w:lvl>
  </w:abstractNum>
  <w:abstractNum w:abstractNumId="1">
    <w:nsid w:val="5E13EDD3"/>
    <w:multiLevelType w:val="singleLevel"/>
    <w:tmpl w:val="5E13EDD3"/>
    <w:lvl w:ilvl="0" w:tentative="0">
      <w:start w:val="1"/>
      <w:numFmt w:val="chineseCounting"/>
      <w:pStyle w:val="11"/>
      <w:lvlText w:val="第部%1"/>
      <w:lvlJc w:val="left"/>
      <w:pPr>
        <w:tabs>
          <w:tab w:val="left" w:pos="397"/>
        </w:tabs>
        <w:ind w:left="454" w:leftChars="0" w:hanging="454" w:firstLineChars="0"/>
      </w:pPr>
      <w:rPr>
        <w:rFonts w:hint="eastAsia" w:ascii="宋体" w:hAnsi="宋体" w:eastAsia="宋体" w:cs="宋体"/>
      </w:rPr>
    </w:lvl>
  </w:abstractNum>
  <w:abstractNum w:abstractNumId="2">
    <w:nsid w:val="5E13F07F"/>
    <w:multiLevelType w:val="multilevel"/>
    <w:tmpl w:val="5E13F07F"/>
    <w:lvl w:ilvl="0" w:tentative="0">
      <w:start w:val="1"/>
      <w:numFmt w:val="none"/>
      <w:pStyle w:val="12"/>
      <w:suff w:val="nothing"/>
      <w:lvlText w:val="第一部%1"/>
      <w:lvlJc w:val="left"/>
      <w:pPr>
        <w:tabs>
          <w:tab w:val="left" w:pos="0"/>
        </w:tabs>
        <w:ind w:left="0" w:leftChars="0" w:firstLine="400" w:firstLineChars="0"/>
      </w:pPr>
      <w:rPr>
        <w:rFonts w:hint="default" w:ascii="宋体" w:hAnsi="宋体" w:eastAsia="宋体" w:cs="宋体"/>
        <w:sz w:val="44"/>
        <w:szCs w:val="44"/>
      </w:rPr>
    </w:lvl>
    <w:lvl w:ilvl="1" w:tentative="0">
      <w:start w:val="1"/>
      <w:numFmt w:val="decimal"/>
      <w:suff w:val="nothing"/>
      <w:lvlText w:val="%2．"/>
      <w:lvlJc w:val="left"/>
      <w:pPr>
        <w:ind w:left="0" w:leftChars="0" w:firstLine="400" w:firstLineChars="0"/>
      </w:pPr>
      <w:rPr>
        <w:rFonts w:hint="default" w:ascii="宋体" w:hAnsi="宋体" w:eastAsia="宋体" w:cs="宋体"/>
      </w:rPr>
    </w:lvl>
    <w:lvl w:ilvl="2" w:tentative="0">
      <w:start w:val="1"/>
      <w:numFmt w:val="none"/>
      <w:suff w:val="nothing"/>
      <w:lvlText w:val="（%3）"/>
      <w:lvlJc w:val="left"/>
      <w:pPr>
        <w:ind w:left="0" w:leftChars="0" w:firstLine="402" w:firstLineChars="0"/>
      </w:pPr>
      <w:rPr>
        <w:rFonts w:hint="default" w:ascii="宋体" w:hAnsi="宋体" w:eastAsia="宋体" w:cs="宋体"/>
      </w:rPr>
    </w:lvl>
    <w:lvl w:ilvl="3" w:tentative="0">
      <w:start w:val="1"/>
      <w:numFmt w:val="decimalEnclosedCircleChinese"/>
      <w:suff w:val="nothing"/>
      <w:lvlText w:val="%4 "/>
      <w:lvlJc w:val="left"/>
      <w:pPr>
        <w:ind w:left="0" w:leftChars="0" w:firstLine="402" w:firstLineChars="0"/>
      </w:pPr>
      <w:rPr>
        <w:rFonts w:hint="eastAsia"/>
      </w:rPr>
    </w:lvl>
    <w:lvl w:ilvl="4" w:tentative="0">
      <w:start w:val="1"/>
      <w:numFmt w:val="decimal"/>
      <w:suff w:val="nothing"/>
      <w:lvlText w:val="%5）"/>
      <w:lvlJc w:val="left"/>
      <w:pPr>
        <w:ind w:left="0" w:leftChars="0" w:firstLine="402" w:firstLineChars="0"/>
      </w:pPr>
      <w:rPr>
        <w:rFonts w:hint="default"/>
      </w:rPr>
    </w:lvl>
    <w:lvl w:ilvl="5" w:tentative="0">
      <w:start w:val="1"/>
      <w:numFmt w:val="lowerLetter"/>
      <w:suff w:val="nothing"/>
      <w:lvlText w:val="%6．"/>
      <w:lvlJc w:val="left"/>
      <w:pPr>
        <w:ind w:left="0" w:leftChars="0" w:firstLine="402" w:firstLineChars="0"/>
      </w:pPr>
      <w:rPr>
        <w:rFonts w:hint="default"/>
      </w:rPr>
    </w:lvl>
    <w:lvl w:ilvl="6" w:tentative="0">
      <w:start w:val="1"/>
      <w:numFmt w:val="lowerLetter"/>
      <w:suff w:val="nothing"/>
      <w:lvlText w:val="%7）"/>
      <w:lvlJc w:val="left"/>
      <w:pPr>
        <w:ind w:left="0" w:leftChars="0" w:firstLine="402" w:firstLineChars="0"/>
      </w:pPr>
      <w:rPr>
        <w:rFonts w:hint="default"/>
      </w:rPr>
    </w:lvl>
    <w:lvl w:ilvl="7" w:tentative="0">
      <w:start w:val="1"/>
      <w:numFmt w:val="lowerRoman"/>
      <w:suff w:val="nothing"/>
      <w:lvlText w:val="%8. "/>
      <w:lvlJc w:val="left"/>
      <w:pPr>
        <w:ind w:left="0" w:leftChars="0" w:firstLine="402" w:firstLineChars="0"/>
      </w:pPr>
      <w:rPr>
        <w:rFonts w:hint="default"/>
      </w:rPr>
    </w:lvl>
    <w:lvl w:ilvl="8" w:tentative="0">
      <w:start w:val="1"/>
      <w:numFmt w:val="lowerRoman"/>
      <w:suff w:val="nothing"/>
      <w:lvlText w:val="%9）"/>
      <w:lvlJc w:val="left"/>
      <w:pPr>
        <w:ind w:left="0" w:leftChars="0" w:firstLine="402" w:firstLineChars="0"/>
      </w:pPr>
      <w:rPr>
        <w:rFonts w:hint="default"/>
      </w:rPr>
    </w:lvl>
  </w:abstractNum>
  <w:abstractNum w:abstractNumId="3">
    <w:nsid w:val="5E13F1D4"/>
    <w:multiLevelType w:val="multilevel"/>
    <w:tmpl w:val="5E13F1D4"/>
    <w:lvl w:ilvl="0" w:tentative="0">
      <w:start w:val="1"/>
      <w:numFmt w:val="chineseCounting"/>
      <w:pStyle w:val="13"/>
      <w:suff w:val="nothing"/>
      <w:lvlText w:val="第%1部"/>
      <w:lvlJc w:val="left"/>
      <w:pPr>
        <w:tabs>
          <w:tab w:val="left" w:pos="0"/>
        </w:tabs>
        <w:ind w:left="0" w:leftChars="0" w:firstLine="402" w:firstLineChars="0"/>
      </w:pPr>
      <w:rPr>
        <w:rFonts w:hint="eastAsia" w:ascii="宋体" w:hAnsi="宋体" w:eastAsia="宋体" w:cs="宋体"/>
      </w:rPr>
    </w:lvl>
    <w:lvl w:ilvl="1" w:tentative="0">
      <w:start w:val="1"/>
      <w:numFmt w:val="chineseCounting"/>
      <w:suff w:val="nothing"/>
      <w:lvlText w:val="%2、"/>
      <w:lvlJc w:val="left"/>
      <w:pPr>
        <w:ind w:left="0" w:leftChars="0" w:firstLine="402" w:firstLineChars="0"/>
      </w:pPr>
      <w:rPr>
        <w:rFonts w:hint="eastAsia" w:ascii="宋体" w:hAnsi="宋体" w:eastAsia="宋体" w:cs="宋体"/>
      </w:rPr>
    </w:lvl>
    <w:lvl w:ilvl="2" w:tentative="0">
      <w:start w:val="1"/>
      <w:numFmt w:val="decimal"/>
      <w:suff w:val="nothing"/>
      <w:lvlText w:val="%3．"/>
      <w:lvlJc w:val="left"/>
      <w:pPr>
        <w:ind w:left="0" w:leftChars="0" w:firstLine="402" w:firstLineChars="0"/>
      </w:pPr>
      <w:rPr>
        <w:rFonts w:hint="eastAsia" w:ascii="宋体" w:hAnsi="宋体" w:eastAsia="宋体" w:cs="宋体"/>
        <w:sz w:val="44"/>
      </w:rPr>
    </w:lvl>
    <w:lvl w:ilvl="3" w:tentative="0">
      <w:start w:val="1"/>
      <w:numFmt w:val="decimal"/>
      <w:suff w:val="nothing"/>
      <w:lvlText w:val="（%4）"/>
      <w:lvlJc w:val="left"/>
      <w:pPr>
        <w:ind w:left="0" w:leftChars="0" w:firstLine="402" w:firstLineChars="0"/>
      </w:pPr>
      <w:rPr>
        <w:rFonts w:hint="eastAsia" w:ascii="宋体" w:hAnsi="宋体" w:eastAsia="宋体" w:cs="宋体"/>
      </w:rPr>
    </w:lvl>
    <w:lvl w:ilvl="4" w:tentative="0">
      <w:start w:val="1"/>
      <w:numFmt w:val="decimalEnclosedCircleChinese"/>
      <w:suff w:val="nothing"/>
      <w:lvlText w:val="%5 "/>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Letter"/>
      <w:suff w:val="nothing"/>
      <w:lvlText w:val="%8）"/>
      <w:lvlJc w:val="left"/>
      <w:pPr>
        <w:ind w:left="0" w:leftChars="0" w:firstLine="402" w:firstLineChars="0"/>
      </w:pPr>
      <w:rPr>
        <w:rFonts w:hint="eastAsia"/>
      </w:rPr>
    </w:lvl>
    <w:lvl w:ilvl="8" w:tentative="0">
      <w:start w:val="1"/>
      <w:numFmt w:val="lowerRoman"/>
      <w:suff w:val="nothing"/>
      <w:lvlText w:val="%9. "/>
      <w:lvlJc w:val="left"/>
      <w:pPr>
        <w:ind w:left="0" w:leftChars="0" w:firstLine="402" w:firstLineChars="0"/>
      </w:pPr>
      <w:rPr>
        <w:rFonts w:hint="eastAsia"/>
      </w:rPr>
    </w:lvl>
  </w:abstractNum>
  <w:abstractNum w:abstractNumId="4">
    <w:nsid w:val="5E15328F"/>
    <w:multiLevelType w:val="multilevel"/>
    <w:tmpl w:val="5E15328F"/>
    <w:lvl w:ilvl="0" w:tentative="0">
      <w:start w:val="1"/>
      <w:numFmt w:val="chineseCounting"/>
      <w:pStyle w:val="14"/>
      <w:suff w:val="nothing"/>
      <w:lvlText w:val="第%1部"/>
      <w:lvlJc w:val="center"/>
      <w:pPr>
        <w:tabs>
          <w:tab w:val="left" w:pos="0"/>
        </w:tabs>
        <w:ind w:left="0" w:leftChars="0" w:firstLine="402" w:firstLineChars="0"/>
      </w:pPr>
      <w:rPr>
        <w:rFonts w:hint="eastAsia" w:ascii="宋体" w:hAnsi="宋体" w:eastAsia="宋体" w:cs="宋体"/>
      </w:rPr>
    </w:lvl>
    <w:lvl w:ilvl="1" w:tentative="0">
      <w:start w:val="1"/>
      <w:numFmt w:val="chineseCounting"/>
      <w:suff w:val="nothing"/>
      <w:lvlText w:val="%2、"/>
      <w:lvlJc w:val="left"/>
      <w:pPr>
        <w:ind w:left="0" w:leftChars="0" w:firstLine="402" w:firstLineChars="0"/>
      </w:pPr>
      <w:rPr>
        <w:rFonts w:hint="eastAsia"/>
      </w:rPr>
    </w:lvl>
    <w:lvl w:ilvl="2" w:tentative="0">
      <w:start w:val="1"/>
      <w:numFmt w:val="decimal"/>
      <w:suff w:val="nothing"/>
      <w:lvlText w:val="%3．"/>
      <w:lvlJc w:val="left"/>
      <w:pPr>
        <w:ind w:left="0" w:leftChars="0" w:firstLine="402" w:firstLineChars="0"/>
      </w:pPr>
      <w:rPr>
        <w:rFonts w:hint="eastAsia"/>
      </w:rPr>
    </w:lvl>
    <w:lvl w:ilvl="3" w:tentative="0">
      <w:start w:val="1"/>
      <w:numFmt w:val="decimal"/>
      <w:suff w:val="nothing"/>
      <w:lvlText w:val="（%4）"/>
      <w:lvlJc w:val="left"/>
      <w:pPr>
        <w:ind w:left="0" w:leftChars="0" w:firstLine="402" w:firstLineChars="0"/>
      </w:pPr>
      <w:rPr>
        <w:rFonts w:hint="eastAsia"/>
      </w:rPr>
    </w:lvl>
    <w:lvl w:ilvl="4" w:tentative="0">
      <w:start w:val="1"/>
      <w:numFmt w:val="decimalEnclosedCircleChinese"/>
      <w:suff w:val="nothing"/>
      <w:lvlText w:val="%5 "/>
      <w:lvlJc w:val="left"/>
      <w:pPr>
        <w:ind w:left="0" w:leftChars="0" w:firstLine="402" w:firstLineChars="0"/>
      </w:pPr>
      <w:rPr>
        <w:rFonts w:hint="eastAsia"/>
      </w:rPr>
    </w:lvl>
    <w:lvl w:ilvl="5" w:tentative="0">
      <w:start w:val="1"/>
      <w:numFmt w:val="decimal"/>
      <w:suff w:val="nothing"/>
      <w:lvlText w:val="%6）"/>
      <w:lvlJc w:val="left"/>
      <w:pPr>
        <w:ind w:left="0" w:leftChars="0" w:firstLine="402" w:firstLineChars="0"/>
      </w:pPr>
      <w:rPr>
        <w:rFonts w:hint="eastAsia"/>
      </w:rPr>
    </w:lvl>
    <w:lvl w:ilvl="6" w:tentative="0">
      <w:start w:val="1"/>
      <w:numFmt w:val="lowerLetter"/>
      <w:suff w:val="nothing"/>
      <w:lvlText w:val="%7．"/>
      <w:lvlJc w:val="left"/>
      <w:pPr>
        <w:ind w:left="0" w:leftChars="0" w:firstLine="402" w:firstLineChars="0"/>
      </w:pPr>
      <w:rPr>
        <w:rFonts w:hint="eastAsia"/>
      </w:rPr>
    </w:lvl>
    <w:lvl w:ilvl="7" w:tentative="0">
      <w:start w:val="1"/>
      <w:numFmt w:val="lowerLetter"/>
      <w:suff w:val="nothing"/>
      <w:lvlText w:val="%8）"/>
      <w:lvlJc w:val="left"/>
      <w:pPr>
        <w:ind w:left="0" w:leftChars="0" w:firstLine="402" w:firstLineChars="0"/>
      </w:pPr>
      <w:rPr>
        <w:rFonts w:hint="eastAsia"/>
      </w:rPr>
    </w:lvl>
    <w:lvl w:ilvl="8" w:tentative="0">
      <w:start w:val="1"/>
      <w:numFmt w:val="lowerRoman"/>
      <w:suff w:val="nothing"/>
      <w:lvlText w:val="%9. "/>
      <w:lvlJc w:val="left"/>
      <w:pPr>
        <w:ind w:left="0" w:leftChars="0" w:firstLine="402" w:firstLineChars="0"/>
      </w:pPr>
      <w:rPr>
        <w:rFonts w:hint="eastAsia"/>
      </w:rPr>
    </w:lvl>
  </w:abstractNum>
  <w:abstractNum w:abstractNumId="5">
    <w:nsid w:val="5E894F4F"/>
    <w:multiLevelType w:val="singleLevel"/>
    <w:tmpl w:val="5E894F4F"/>
    <w:lvl w:ilvl="0" w:tentative="0">
      <w:start w:val="1"/>
      <w:numFmt w:val="chineseCounting"/>
      <w:suff w:val="space"/>
      <w:lvlText w:val="第%1章"/>
      <w:lvlJc w:val="left"/>
    </w:lvl>
  </w:abstractNum>
  <w:abstractNum w:abstractNumId="6">
    <w:nsid w:val="5E898D77"/>
    <w:multiLevelType w:val="singleLevel"/>
    <w:tmpl w:val="5E898D77"/>
    <w:lvl w:ilvl="0" w:tentative="0">
      <w:start w:val="6"/>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A463F2"/>
    <w:rsid w:val="156176AF"/>
    <w:rsid w:val="20A01EF4"/>
    <w:rsid w:val="21904774"/>
    <w:rsid w:val="30A63B41"/>
    <w:rsid w:val="37576353"/>
    <w:rsid w:val="5001144B"/>
    <w:rsid w:val="502C3988"/>
    <w:rsid w:val="56241FDF"/>
    <w:rsid w:val="6D6670FF"/>
    <w:rsid w:val="75691EFD"/>
    <w:rsid w:val="7733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line="270" w:lineRule="atLeast"/>
      <w:ind w:left="0" w:right="0"/>
      <w:jc w:val="left"/>
    </w:pPr>
    <w:rPr>
      <w:kern w:val="0"/>
      <w:sz w:val="24"/>
      <w:lang w:val="en-US" w:eastAsia="zh-CN" w:bidi="ar"/>
    </w:rPr>
  </w:style>
  <w:style w:type="character" w:styleId="6">
    <w:name w:val="page number"/>
    <w:basedOn w:val="5"/>
    <w:uiPriority w:val="0"/>
    <w:rPr>
      <w:rFonts w:hint="default" w:ascii="Times New Roman"/>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一"/>
    <w:basedOn w:val="5"/>
    <w:qFormat/>
    <w:uiPriority w:val="0"/>
    <w:rPr>
      <w:rFonts w:ascii="Calibri" w:hAnsi="Calibri"/>
      <w:sz w:val="44"/>
    </w:rPr>
  </w:style>
  <w:style w:type="paragraph" w:customStyle="1" w:styleId="10">
    <w:name w:val="样式1"/>
    <w:basedOn w:val="1"/>
    <w:qFormat/>
    <w:uiPriority w:val="0"/>
    <w:pPr>
      <w:numPr>
        <w:ilvl w:val="0"/>
        <w:numId w:val="1"/>
      </w:numPr>
    </w:pPr>
    <w:rPr>
      <w:rFonts w:eastAsia="宋体" w:asciiTheme="minorAscii" w:hAnsiTheme="minorAscii"/>
      <w:kern w:val="0"/>
      <w:sz w:val="44"/>
      <w:szCs w:val="21"/>
    </w:rPr>
  </w:style>
  <w:style w:type="paragraph" w:customStyle="1" w:styleId="11">
    <w:name w:val="！样式2"/>
    <w:basedOn w:val="10"/>
    <w:qFormat/>
    <w:uiPriority w:val="0"/>
    <w:pPr>
      <w:numPr>
        <w:numId w:val="2"/>
      </w:numPr>
      <w:tabs>
        <w:tab w:val="left" w:pos="397"/>
      </w:tabs>
    </w:pPr>
  </w:style>
  <w:style w:type="paragraph" w:customStyle="1" w:styleId="12">
    <w:name w:val="!标题二"/>
    <w:basedOn w:val="1"/>
    <w:qFormat/>
    <w:uiPriority w:val="0"/>
    <w:pPr>
      <w:numPr>
        <w:ilvl w:val="0"/>
        <w:numId w:val="3"/>
      </w:numPr>
      <w:jc w:val="center"/>
    </w:pPr>
    <w:rPr>
      <w:rFonts w:eastAsia="宋体" w:asciiTheme="minorAscii" w:hAnsiTheme="minorAscii"/>
      <w:kern w:val="0"/>
      <w:sz w:val="44"/>
      <w:szCs w:val="21"/>
    </w:rPr>
  </w:style>
  <w:style w:type="paragraph" w:customStyle="1" w:styleId="13">
    <w:name w:val="！样式22"/>
    <w:basedOn w:val="1"/>
    <w:qFormat/>
    <w:uiPriority w:val="0"/>
    <w:pPr>
      <w:numPr>
        <w:ilvl w:val="0"/>
        <w:numId w:val="4"/>
      </w:numPr>
    </w:pPr>
    <w:rPr>
      <w:rFonts w:eastAsia="宋体" w:asciiTheme="minorAscii" w:hAnsiTheme="minorAscii"/>
      <w:kern w:val="0"/>
      <w:sz w:val="44"/>
      <w:szCs w:val="21"/>
    </w:rPr>
  </w:style>
  <w:style w:type="paragraph" w:customStyle="1" w:styleId="14">
    <w:name w:val="！标题一"/>
    <w:basedOn w:val="1"/>
    <w:qFormat/>
    <w:uiPriority w:val="0"/>
    <w:pPr>
      <w:numPr>
        <w:ilvl w:val="0"/>
        <w:numId w:val="5"/>
      </w:numPr>
      <w:jc w:val="center"/>
    </w:pPr>
    <w:rPr>
      <w:rFonts w:eastAsia="宋体" w:asciiTheme="minorAscii" w:hAnsiTheme="minorAscii"/>
      <w:kern w:val="0"/>
      <w:sz w:val="44"/>
      <w:szCs w:val="21"/>
    </w:rPr>
  </w:style>
  <w:style w:type="paragraph" w:customStyle="1" w:styleId="15">
    <w:name w:val="！2"/>
    <w:basedOn w:val="3"/>
    <w:qFormat/>
    <w:uiPriority w:val="0"/>
    <w:rPr>
      <w:rFonts w:eastAsia="宋体" w:asciiTheme="minorAscii" w:hAnsiTheme="minorAscii"/>
      <w:kern w:val="0"/>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2020-04-09T02:23:00Z</dcterms:created>
  <dc:creator>陆春菊</dc:creator>
  <cp:lastModifiedBy>陆春菊</cp:lastModifiedBy>
  <dcterms:modified xsi:type="dcterms:W3CDTF">2020-04-09T02:31:27Z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