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F2" w:rsidRDefault="008A68F2" w:rsidP="00611440">
      <w:pPr>
        <w:widowControl/>
        <w:jc w:val="center"/>
        <w:rPr>
          <w:rFonts w:ascii="宋体" w:hAnsi="宋体" w:cs="宋体" w:hint="eastAsia"/>
          <w:kern w:val="0"/>
          <w:sz w:val="44"/>
          <w:szCs w:val="44"/>
        </w:rPr>
      </w:pPr>
    </w:p>
    <w:p w:rsidR="008A68F2" w:rsidRDefault="008A68F2" w:rsidP="00611440">
      <w:pPr>
        <w:widowControl/>
        <w:jc w:val="center"/>
        <w:rPr>
          <w:rFonts w:ascii="宋体" w:hAnsi="宋体" w:cs="宋体" w:hint="eastAsia"/>
          <w:kern w:val="0"/>
          <w:sz w:val="44"/>
          <w:szCs w:val="44"/>
        </w:rPr>
      </w:pPr>
    </w:p>
    <w:p w:rsidR="008A68F2" w:rsidRDefault="008A68F2" w:rsidP="00611440">
      <w:pPr>
        <w:widowControl/>
        <w:jc w:val="center"/>
        <w:rPr>
          <w:rFonts w:ascii="宋体" w:hAnsi="宋体" w:cs="宋体" w:hint="eastAsia"/>
          <w:kern w:val="0"/>
          <w:sz w:val="44"/>
          <w:szCs w:val="44"/>
        </w:rPr>
      </w:pPr>
    </w:p>
    <w:p w:rsidR="00611440" w:rsidRPr="008A68F2" w:rsidRDefault="00611440" w:rsidP="00611440">
      <w:pPr>
        <w:widowControl/>
        <w:jc w:val="center"/>
        <w:rPr>
          <w:rFonts w:ascii="宋体" w:hAnsi="宋体" w:cs="宋体"/>
          <w:kern w:val="0"/>
          <w:sz w:val="44"/>
          <w:szCs w:val="44"/>
        </w:rPr>
      </w:pPr>
      <w:r w:rsidRPr="008A68F2">
        <w:rPr>
          <w:rFonts w:ascii="宋体" w:hAnsi="宋体" w:cs="宋体" w:hint="eastAsia"/>
          <w:kern w:val="0"/>
          <w:sz w:val="44"/>
          <w:szCs w:val="44"/>
        </w:rPr>
        <w:t>福田区妇女联合会2013年度部门决算</w:t>
      </w:r>
    </w:p>
    <w:p w:rsidR="00611440" w:rsidRPr="00EE25F3" w:rsidRDefault="00611440" w:rsidP="00611440">
      <w:pPr>
        <w:widowControl/>
        <w:jc w:val="center"/>
        <w:rPr>
          <w:rFonts w:ascii="仿宋_GB2312" w:eastAsia="仿宋_GB2312" w:hAnsi="宋体" w:cs="宋体"/>
          <w:kern w:val="0"/>
          <w:szCs w:val="21"/>
        </w:rPr>
      </w:pPr>
    </w:p>
    <w:p w:rsidR="00611440" w:rsidRPr="00BE723C" w:rsidRDefault="00611440" w:rsidP="00611440">
      <w:pPr>
        <w:spacing w:line="360" w:lineRule="auto"/>
        <w:ind w:firstLineChars="200" w:firstLine="640"/>
        <w:rPr>
          <w:rFonts w:ascii="黑体" w:eastAsia="黑体" w:hAnsi="黑体"/>
          <w:sz w:val="32"/>
          <w:szCs w:val="32"/>
        </w:rPr>
      </w:pPr>
      <w:r w:rsidRPr="00BE723C">
        <w:rPr>
          <w:rFonts w:ascii="黑体" w:eastAsia="黑体" w:hAnsi="黑体" w:hint="eastAsia"/>
          <w:sz w:val="32"/>
          <w:szCs w:val="32"/>
        </w:rPr>
        <w:t>一、福田区妇女联合会概况：</w:t>
      </w:r>
    </w:p>
    <w:p w:rsidR="00611440" w:rsidRDefault="00611440" w:rsidP="00611440">
      <w:pPr>
        <w:spacing w:line="360" w:lineRule="auto"/>
        <w:ind w:firstLineChars="200" w:firstLine="640"/>
        <w:rPr>
          <w:rFonts w:ascii="仿宋" w:eastAsia="仿宋" w:hAnsi="仿宋"/>
          <w:sz w:val="32"/>
          <w:szCs w:val="32"/>
        </w:rPr>
      </w:pPr>
      <w:r>
        <w:rPr>
          <w:rFonts w:ascii="仿宋" w:eastAsia="仿宋" w:hAnsi="仿宋" w:hint="eastAsia"/>
          <w:sz w:val="32"/>
          <w:szCs w:val="32"/>
        </w:rPr>
        <w:t>（一）</w:t>
      </w:r>
      <w:r w:rsidRPr="004634C1">
        <w:rPr>
          <w:rFonts w:ascii="仿宋" w:eastAsia="仿宋" w:hAnsi="仿宋" w:hint="eastAsia"/>
          <w:sz w:val="32"/>
          <w:szCs w:val="32"/>
        </w:rPr>
        <w:t>本单位主要职能</w:t>
      </w:r>
    </w:p>
    <w:p w:rsidR="00611440" w:rsidRPr="004634C1" w:rsidRDefault="00611440" w:rsidP="00611440">
      <w:pPr>
        <w:spacing w:line="360" w:lineRule="auto"/>
        <w:ind w:firstLineChars="200" w:firstLine="640"/>
        <w:rPr>
          <w:rFonts w:ascii="仿宋" w:eastAsia="仿宋" w:hAnsi="仿宋"/>
          <w:sz w:val="32"/>
          <w:szCs w:val="32"/>
        </w:rPr>
      </w:pPr>
      <w:r w:rsidRPr="004634C1">
        <w:rPr>
          <w:rFonts w:ascii="仿宋" w:eastAsia="仿宋" w:hAnsi="仿宋" w:hint="eastAsia"/>
          <w:sz w:val="32"/>
          <w:szCs w:val="32"/>
        </w:rPr>
        <w:t>组织、引导全区妇女积极投身福田现代化中心城区建设，促进“首善之区，幸福福田”建设；提高妇女综合素质，促进妇女全面发展；切实代表和维护妇女权益，服务妇女发展、维护社会稳定、推动社会和谐，促进社会主义民主政治；参与社会管理和公共服务，推动服务妇女工作项目化；巩固和扩大妇女的和谐团结，发挥妇联在统战工作中的优势，加强与香港、澳门、台湾和其他妇女组织的联谊。</w:t>
      </w:r>
    </w:p>
    <w:p w:rsidR="00611440" w:rsidRDefault="00611440" w:rsidP="00611440">
      <w:pPr>
        <w:widowControl/>
        <w:ind w:firstLine="605"/>
        <w:jc w:val="left"/>
        <w:rPr>
          <w:rFonts w:ascii="仿宋" w:eastAsia="仿宋" w:hAnsi="仿宋"/>
          <w:sz w:val="32"/>
          <w:szCs w:val="32"/>
        </w:rPr>
      </w:pPr>
      <w:r>
        <w:rPr>
          <w:rFonts w:ascii="仿宋" w:eastAsia="仿宋" w:hAnsi="仿宋" w:hint="eastAsia"/>
          <w:sz w:val="32"/>
          <w:szCs w:val="32"/>
        </w:rPr>
        <w:t>（二）机构设置</w:t>
      </w:r>
    </w:p>
    <w:p w:rsidR="00611440" w:rsidRPr="004634C1" w:rsidRDefault="00611440" w:rsidP="00611440">
      <w:pPr>
        <w:widowControl/>
        <w:ind w:firstLine="605"/>
        <w:jc w:val="left"/>
        <w:rPr>
          <w:rFonts w:ascii="仿宋" w:eastAsia="仿宋" w:hAnsi="仿宋"/>
          <w:sz w:val="32"/>
          <w:szCs w:val="32"/>
        </w:rPr>
      </w:pPr>
      <w:r>
        <w:rPr>
          <w:rFonts w:ascii="仿宋" w:eastAsia="仿宋" w:hAnsi="仿宋" w:hint="eastAsia"/>
          <w:sz w:val="32"/>
          <w:szCs w:val="32"/>
        </w:rPr>
        <w:t>根据区妇联职能，</w:t>
      </w:r>
      <w:r w:rsidRPr="004634C1">
        <w:rPr>
          <w:rFonts w:ascii="仿宋" w:eastAsia="仿宋" w:hAnsi="仿宋" w:hint="eastAsia"/>
          <w:sz w:val="32"/>
          <w:szCs w:val="32"/>
        </w:rPr>
        <w:t>本单位共设两部一室，包括办公室、妇女部、儿童部。</w:t>
      </w:r>
    </w:p>
    <w:p w:rsidR="00611440" w:rsidRPr="00BE723C" w:rsidRDefault="00611440" w:rsidP="00611440">
      <w:pPr>
        <w:widowControl/>
        <w:ind w:firstLine="605"/>
        <w:jc w:val="left"/>
        <w:rPr>
          <w:rFonts w:ascii="黑体" w:eastAsia="黑体" w:hAnsi="黑体"/>
          <w:sz w:val="32"/>
          <w:szCs w:val="32"/>
        </w:rPr>
      </w:pPr>
      <w:r w:rsidRPr="00BE723C">
        <w:rPr>
          <w:rFonts w:ascii="黑体" w:eastAsia="黑体" w:hAnsi="黑体" w:hint="eastAsia"/>
          <w:sz w:val="32"/>
          <w:szCs w:val="32"/>
        </w:rPr>
        <w:t>二、2013年度部门决算报表</w:t>
      </w:r>
    </w:p>
    <w:p w:rsidR="00611440" w:rsidRPr="00BE723C" w:rsidRDefault="00611440" w:rsidP="00611440">
      <w:pPr>
        <w:widowControl/>
        <w:ind w:firstLine="605"/>
        <w:jc w:val="left"/>
        <w:rPr>
          <w:rFonts w:ascii="仿宋" w:eastAsia="仿宋" w:hAnsi="仿宋"/>
          <w:sz w:val="32"/>
          <w:szCs w:val="32"/>
        </w:rPr>
      </w:pPr>
      <w:r w:rsidRPr="00BE723C">
        <w:rPr>
          <w:rFonts w:ascii="仿宋" w:eastAsia="仿宋" w:hAnsi="仿宋" w:hint="eastAsia"/>
          <w:sz w:val="32"/>
          <w:szCs w:val="32"/>
        </w:rPr>
        <w:t>1.公共预算收入支出决算总表（见附表1）</w:t>
      </w:r>
    </w:p>
    <w:p w:rsidR="00611440" w:rsidRPr="00BE723C" w:rsidRDefault="00611440" w:rsidP="00611440">
      <w:pPr>
        <w:widowControl/>
        <w:ind w:firstLine="605"/>
        <w:jc w:val="left"/>
        <w:rPr>
          <w:rFonts w:ascii="仿宋" w:eastAsia="仿宋" w:hAnsi="仿宋"/>
          <w:sz w:val="32"/>
          <w:szCs w:val="32"/>
        </w:rPr>
      </w:pPr>
      <w:r w:rsidRPr="00BE723C">
        <w:rPr>
          <w:rFonts w:ascii="仿宋" w:eastAsia="仿宋" w:hAnsi="仿宋" w:hint="eastAsia"/>
          <w:sz w:val="32"/>
          <w:szCs w:val="32"/>
        </w:rPr>
        <w:t>2.公共财政预算拨款支出决算表（见附表2）</w:t>
      </w:r>
    </w:p>
    <w:p w:rsidR="00611440" w:rsidRPr="00BE723C" w:rsidRDefault="00611440" w:rsidP="00611440">
      <w:pPr>
        <w:widowControl/>
        <w:ind w:firstLine="605"/>
        <w:jc w:val="left"/>
        <w:rPr>
          <w:rFonts w:ascii="黑体" w:eastAsia="黑体" w:hAnsi="黑体"/>
          <w:sz w:val="32"/>
          <w:szCs w:val="32"/>
        </w:rPr>
      </w:pPr>
      <w:r w:rsidRPr="00BE723C">
        <w:rPr>
          <w:rFonts w:ascii="黑体" w:eastAsia="黑体" w:hAnsi="黑体" w:hint="eastAsia"/>
          <w:sz w:val="32"/>
          <w:szCs w:val="32"/>
        </w:rPr>
        <w:t>三、2013年度部门决算情况说明</w:t>
      </w:r>
    </w:p>
    <w:p w:rsidR="00611440" w:rsidRPr="00BE723C" w:rsidRDefault="00611440" w:rsidP="00611440">
      <w:pPr>
        <w:widowControl/>
        <w:ind w:firstLine="605"/>
        <w:jc w:val="left"/>
        <w:rPr>
          <w:rFonts w:ascii="仿宋" w:eastAsia="仿宋" w:hAnsi="仿宋"/>
          <w:sz w:val="32"/>
          <w:szCs w:val="32"/>
        </w:rPr>
      </w:pPr>
      <w:r w:rsidRPr="00BE723C">
        <w:rPr>
          <w:rFonts w:ascii="仿宋" w:eastAsia="仿宋" w:hAnsi="仿宋" w:hint="eastAsia"/>
          <w:sz w:val="32"/>
          <w:szCs w:val="32"/>
        </w:rPr>
        <w:t>（一）部门决算收入情况说明</w:t>
      </w:r>
    </w:p>
    <w:p w:rsidR="00611440" w:rsidRPr="00BE723C" w:rsidRDefault="00611440" w:rsidP="00611440">
      <w:pPr>
        <w:widowControl/>
        <w:ind w:firstLine="605"/>
        <w:jc w:val="left"/>
        <w:rPr>
          <w:rFonts w:ascii="仿宋" w:eastAsia="仿宋" w:hAnsi="仿宋"/>
          <w:sz w:val="32"/>
          <w:szCs w:val="32"/>
        </w:rPr>
      </w:pPr>
      <w:r w:rsidRPr="00BE723C">
        <w:rPr>
          <w:rFonts w:ascii="仿宋" w:eastAsia="仿宋" w:hAnsi="仿宋" w:hint="eastAsia"/>
          <w:sz w:val="32"/>
          <w:szCs w:val="32"/>
        </w:rPr>
        <w:lastRenderedPageBreak/>
        <w:t>福田区妇女联合会2013年度部门决算收入总计669.66万元。包括：</w:t>
      </w:r>
    </w:p>
    <w:p w:rsidR="00611440" w:rsidRPr="00BE723C" w:rsidRDefault="00611440" w:rsidP="00611440">
      <w:pPr>
        <w:widowControl/>
        <w:ind w:firstLine="605"/>
        <w:jc w:val="left"/>
        <w:rPr>
          <w:rFonts w:ascii="仿宋" w:eastAsia="仿宋" w:hAnsi="仿宋"/>
          <w:sz w:val="32"/>
          <w:szCs w:val="32"/>
        </w:rPr>
      </w:pPr>
      <w:r w:rsidRPr="00BE723C">
        <w:rPr>
          <w:rFonts w:ascii="仿宋" w:eastAsia="仿宋" w:hAnsi="仿宋" w:hint="eastAsia"/>
          <w:sz w:val="32"/>
          <w:szCs w:val="32"/>
        </w:rPr>
        <w:t>1.财政拨款收入599.39万元，为本级财政当年拨付的用于保证基本运转和开展各项业务的财政资金。</w:t>
      </w:r>
    </w:p>
    <w:p w:rsidR="00611440" w:rsidRPr="00BE723C" w:rsidRDefault="00611440" w:rsidP="00611440">
      <w:pPr>
        <w:widowControl/>
        <w:ind w:firstLine="605"/>
        <w:jc w:val="left"/>
        <w:rPr>
          <w:rFonts w:ascii="仿宋" w:eastAsia="仿宋" w:hAnsi="仿宋"/>
          <w:sz w:val="32"/>
          <w:szCs w:val="32"/>
        </w:rPr>
      </w:pPr>
      <w:r w:rsidRPr="00BE723C">
        <w:rPr>
          <w:rFonts w:ascii="仿宋" w:eastAsia="仿宋" w:hAnsi="仿宋" w:hint="eastAsia"/>
          <w:sz w:val="32"/>
          <w:szCs w:val="32"/>
        </w:rPr>
        <w:t>2.其它收入10.41万元，为预算单位取得的除上述收入以外的各项收入。</w:t>
      </w:r>
    </w:p>
    <w:p w:rsidR="00611440" w:rsidRPr="00BE723C" w:rsidRDefault="00611440" w:rsidP="00611440">
      <w:pPr>
        <w:widowControl/>
        <w:ind w:firstLine="605"/>
        <w:jc w:val="left"/>
        <w:rPr>
          <w:rFonts w:ascii="仿宋" w:eastAsia="仿宋" w:hAnsi="仿宋"/>
          <w:sz w:val="32"/>
          <w:szCs w:val="32"/>
        </w:rPr>
      </w:pPr>
      <w:r w:rsidRPr="00BE723C">
        <w:rPr>
          <w:rFonts w:ascii="仿宋" w:eastAsia="仿宋" w:hAnsi="仿宋" w:hint="eastAsia"/>
          <w:sz w:val="32"/>
          <w:szCs w:val="32"/>
        </w:rPr>
        <w:t>3.上年结转和结余59.87万元，为以前年度尚未列支，结转到本年仍按原规</w:t>
      </w:r>
      <w:r w:rsidR="00B84894">
        <w:rPr>
          <w:rFonts w:ascii="仿宋" w:eastAsia="仿宋" w:hAnsi="仿宋" w:hint="eastAsia"/>
          <w:sz w:val="32"/>
          <w:szCs w:val="32"/>
        </w:rPr>
        <w:t>定用途继续使用的资金。既包括财政拨款结转和结余，也包括事业收入、</w:t>
      </w:r>
      <w:r w:rsidRPr="00BE723C">
        <w:rPr>
          <w:rFonts w:ascii="仿宋" w:eastAsia="仿宋" w:hAnsi="仿宋" w:hint="eastAsia"/>
          <w:sz w:val="32"/>
          <w:szCs w:val="32"/>
        </w:rPr>
        <w:t>其它收入结转和结余。不包括事业单位的事业基金和专用基金。</w:t>
      </w:r>
    </w:p>
    <w:p w:rsidR="00611440" w:rsidRPr="00BE723C" w:rsidRDefault="00611440" w:rsidP="00611440">
      <w:pPr>
        <w:widowControl/>
        <w:ind w:firstLine="605"/>
        <w:jc w:val="left"/>
        <w:rPr>
          <w:rFonts w:ascii="仿宋" w:eastAsia="仿宋" w:hAnsi="仿宋"/>
          <w:sz w:val="32"/>
          <w:szCs w:val="32"/>
        </w:rPr>
      </w:pPr>
      <w:r w:rsidRPr="00BE723C">
        <w:rPr>
          <w:rFonts w:ascii="仿宋" w:eastAsia="仿宋" w:hAnsi="仿宋" w:hint="eastAsia"/>
          <w:sz w:val="32"/>
          <w:szCs w:val="32"/>
        </w:rPr>
        <w:t>4.福田区妇联2013年度部门决算支出总计</w:t>
      </w:r>
      <w:r w:rsidR="00B84894">
        <w:rPr>
          <w:rFonts w:ascii="仿宋" w:eastAsia="仿宋" w:hAnsi="仿宋" w:hint="eastAsia"/>
          <w:sz w:val="32"/>
          <w:szCs w:val="32"/>
        </w:rPr>
        <w:t>669.66</w:t>
      </w:r>
      <w:r w:rsidRPr="00BE723C">
        <w:rPr>
          <w:rFonts w:ascii="仿宋" w:eastAsia="仿宋" w:hAnsi="仿宋" w:hint="eastAsia"/>
          <w:sz w:val="32"/>
          <w:szCs w:val="32"/>
        </w:rPr>
        <w:t>万元。其中：一般公共服务508.64万元，教育支出14.88万元，社会保障和就业79.99万元，2013年支出合计603.51万元，年末结转和结余66.15万元。</w:t>
      </w:r>
    </w:p>
    <w:p w:rsidR="00611440" w:rsidRPr="00BE723C" w:rsidRDefault="00611440" w:rsidP="00611440">
      <w:pPr>
        <w:widowControl/>
        <w:ind w:firstLineChars="150" w:firstLine="480"/>
        <w:jc w:val="left"/>
        <w:rPr>
          <w:rFonts w:ascii="仿宋" w:eastAsia="仿宋" w:hAnsi="仿宋"/>
          <w:sz w:val="32"/>
          <w:szCs w:val="32"/>
        </w:rPr>
      </w:pPr>
      <w:r w:rsidRPr="00BE723C">
        <w:rPr>
          <w:rFonts w:ascii="仿宋" w:eastAsia="仿宋" w:hAnsi="仿宋" w:hint="eastAsia"/>
          <w:sz w:val="32"/>
          <w:szCs w:val="32"/>
        </w:rPr>
        <w:t>（二）公共预算财政拨款支出决算情况</w:t>
      </w:r>
    </w:p>
    <w:p w:rsidR="00611440" w:rsidRPr="00BE723C" w:rsidRDefault="00611440" w:rsidP="00611440">
      <w:pPr>
        <w:widowControl/>
        <w:ind w:firstLine="605"/>
        <w:jc w:val="left"/>
        <w:rPr>
          <w:rFonts w:ascii="仿宋" w:eastAsia="仿宋" w:hAnsi="仿宋" w:cs="宋体"/>
          <w:kern w:val="0"/>
          <w:sz w:val="32"/>
          <w:szCs w:val="32"/>
        </w:rPr>
      </w:pPr>
      <w:r w:rsidRPr="00BE723C">
        <w:rPr>
          <w:rFonts w:ascii="仿宋" w:eastAsia="仿宋" w:hAnsi="仿宋" w:cs="宋体" w:hint="eastAsia"/>
          <w:kern w:val="0"/>
          <w:sz w:val="32"/>
          <w:szCs w:val="32"/>
        </w:rPr>
        <w:t>我会</w:t>
      </w:r>
      <w:r w:rsidR="00B84894" w:rsidRPr="00BE723C">
        <w:rPr>
          <w:rFonts w:ascii="仿宋" w:eastAsia="仿宋" w:hAnsi="仿宋" w:cs="宋体" w:hint="eastAsia"/>
          <w:kern w:val="0"/>
          <w:sz w:val="32"/>
          <w:szCs w:val="32"/>
        </w:rPr>
        <w:t>2013</w:t>
      </w:r>
      <w:r w:rsidR="00B84894">
        <w:rPr>
          <w:rFonts w:ascii="仿宋" w:eastAsia="仿宋" w:hAnsi="仿宋" w:cs="宋体" w:hint="eastAsia"/>
          <w:kern w:val="0"/>
          <w:sz w:val="32"/>
          <w:szCs w:val="32"/>
        </w:rPr>
        <w:t>年度</w:t>
      </w:r>
      <w:r w:rsidRPr="00BE723C">
        <w:rPr>
          <w:rFonts w:ascii="仿宋" w:eastAsia="仿宋" w:hAnsi="仿宋" w:cs="宋体" w:hint="eastAsia"/>
          <w:kern w:val="0"/>
          <w:sz w:val="32"/>
          <w:szCs w:val="32"/>
        </w:rPr>
        <w:t>公共预算财政拨款支出</w:t>
      </w:r>
      <w:r w:rsidR="00B84894">
        <w:rPr>
          <w:rFonts w:ascii="仿宋" w:eastAsia="仿宋" w:hAnsi="仿宋" w:cs="宋体" w:hint="eastAsia"/>
          <w:kern w:val="0"/>
          <w:sz w:val="32"/>
          <w:szCs w:val="32"/>
        </w:rPr>
        <w:t>603.51</w:t>
      </w:r>
      <w:r w:rsidRPr="00BE723C">
        <w:rPr>
          <w:rFonts w:ascii="仿宋" w:eastAsia="仿宋" w:hAnsi="仿宋" w:cs="宋体" w:hint="eastAsia"/>
          <w:kern w:val="0"/>
          <w:sz w:val="32"/>
          <w:szCs w:val="32"/>
        </w:rPr>
        <w:t>万元，其中基本支出</w:t>
      </w:r>
      <w:r w:rsidR="00B84894">
        <w:rPr>
          <w:rFonts w:ascii="仿宋" w:eastAsia="仿宋" w:hAnsi="仿宋" w:cs="宋体" w:hint="eastAsia"/>
          <w:kern w:val="0"/>
          <w:sz w:val="32"/>
          <w:szCs w:val="32"/>
        </w:rPr>
        <w:t>258</w:t>
      </w:r>
      <w:r w:rsidRPr="00BE723C">
        <w:rPr>
          <w:rFonts w:ascii="仿宋" w:eastAsia="仿宋" w:hAnsi="仿宋" w:cs="宋体" w:hint="eastAsia"/>
          <w:kern w:val="0"/>
          <w:sz w:val="32"/>
          <w:szCs w:val="32"/>
        </w:rPr>
        <w:t xml:space="preserve">.64万元，项目支出344.87万元。既包括使用当年从本级财政取得的财政拨款发生的支出，也包括使用以前年度财政拨款结转和结余资金发生的支出。 </w:t>
      </w:r>
    </w:p>
    <w:p w:rsidR="00611440" w:rsidRPr="00BE723C" w:rsidRDefault="00611440" w:rsidP="00611440">
      <w:pPr>
        <w:widowControl/>
        <w:ind w:firstLine="605"/>
        <w:jc w:val="left"/>
        <w:rPr>
          <w:rFonts w:ascii="仿宋" w:eastAsia="仿宋" w:hAnsi="仿宋" w:cs="宋体"/>
          <w:kern w:val="0"/>
          <w:sz w:val="32"/>
          <w:szCs w:val="32"/>
        </w:rPr>
      </w:pPr>
      <w:r w:rsidRPr="00BE723C">
        <w:rPr>
          <w:rFonts w:ascii="仿宋" w:eastAsia="仿宋" w:hAnsi="仿宋" w:cs="宋体" w:hint="eastAsia"/>
          <w:kern w:val="0"/>
          <w:sz w:val="32"/>
          <w:szCs w:val="32"/>
        </w:rPr>
        <w:t>1.基本支出</w:t>
      </w:r>
      <w:r w:rsidR="00B84894">
        <w:rPr>
          <w:rFonts w:ascii="仿宋" w:eastAsia="仿宋" w:hAnsi="仿宋" w:cs="宋体" w:hint="eastAsia"/>
          <w:kern w:val="0"/>
          <w:sz w:val="32"/>
          <w:szCs w:val="32"/>
        </w:rPr>
        <w:t>258.64</w:t>
      </w:r>
      <w:r w:rsidRPr="00BE723C">
        <w:rPr>
          <w:rFonts w:ascii="仿宋" w:eastAsia="仿宋" w:hAnsi="仿宋" w:cs="宋体" w:hint="eastAsia"/>
          <w:kern w:val="0"/>
          <w:sz w:val="32"/>
          <w:szCs w:val="32"/>
        </w:rPr>
        <w:t>万元，主要是为保障机构正常运转、完成日常工作任务及承担妇联事业发展相关工作而发生的</w:t>
      </w:r>
      <w:r w:rsidRPr="00BE723C">
        <w:rPr>
          <w:rFonts w:ascii="仿宋" w:eastAsia="仿宋" w:hAnsi="仿宋" w:cs="宋体" w:hint="eastAsia"/>
          <w:kern w:val="0"/>
          <w:sz w:val="32"/>
          <w:szCs w:val="32"/>
        </w:rPr>
        <w:lastRenderedPageBreak/>
        <w:t>各项支出。包括基本工资、津贴补贴等人员经费以及办公费、印刷费、水电费、办公设备购置等日常公用支出。其中：</w:t>
      </w:r>
    </w:p>
    <w:p w:rsidR="00611440" w:rsidRPr="00BE723C" w:rsidRDefault="00611440" w:rsidP="00611440">
      <w:pPr>
        <w:widowControl/>
        <w:ind w:firstLine="605"/>
        <w:jc w:val="left"/>
        <w:rPr>
          <w:rFonts w:ascii="仿宋" w:eastAsia="仿宋" w:hAnsi="仿宋" w:cs="宋体"/>
          <w:kern w:val="0"/>
          <w:sz w:val="32"/>
          <w:szCs w:val="32"/>
        </w:rPr>
      </w:pPr>
      <w:r w:rsidRPr="00BE723C">
        <w:rPr>
          <w:rFonts w:ascii="仿宋" w:eastAsia="仿宋" w:hAnsi="仿宋" w:cs="宋体" w:hint="eastAsia"/>
          <w:kern w:val="0"/>
          <w:sz w:val="32"/>
          <w:szCs w:val="32"/>
        </w:rPr>
        <w:t>一般公共服务支出</w:t>
      </w:r>
      <w:r w:rsidR="00B84894">
        <w:rPr>
          <w:rFonts w:ascii="仿宋" w:eastAsia="仿宋" w:hAnsi="仿宋" w:cs="宋体" w:hint="eastAsia"/>
          <w:kern w:val="0"/>
          <w:sz w:val="32"/>
          <w:szCs w:val="32"/>
        </w:rPr>
        <w:t>178.65</w:t>
      </w:r>
      <w:r w:rsidRPr="00BE723C">
        <w:rPr>
          <w:rFonts w:ascii="仿宋" w:eastAsia="仿宋" w:hAnsi="仿宋" w:cs="宋体" w:hint="eastAsia"/>
          <w:kern w:val="0"/>
          <w:sz w:val="32"/>
          <w:szCs w:val="32"/>
        </w:rPr>
        <w:t>万元，主要用于人员经费和日常公用等维持机关正常运转的基本支出。</w:t>
      </w:r>
    </w:p>
    <w:p w:rsidR="00611440" w:rsidRPr="00BE723C" w:rsidRDefault="00611440" w:rsidP="00611440">
      <w:pPr>
        <w:widowControl/>
        <w:ind w:firstLine="605"/>
        <w:jc w:val="left"/>
        <w:rPr>
          <w:rFonts w:ascii="仿宋" w:eastAsia="仿宋" w:hAnsi="仿宋" w:cs="宋体"/>
          <w:kern w:val="0"/>
          <w:sz w:val="32"/>
          <w:szCs w:val="32"/>
        </w:rPr>
      </w:pPr>
      <w:r w:rsidRPr="00BE723C">
        <w:rPr>
          <w:rFonts w:ascii="仿宋" w:eastAsia="仿宋" w:hAnsi="仿宋" w:cs="宋体" w:hint="eastAsia"/>
          <w:kern w:val="0"/>
          <w:sz w:val="32"/>
          <w:szCs w:val="32"/>
        </w:rPr>
        <w:t>社会保障和就业支出79.99万元，主要用于机关离退休人员支出和缴纳机关人员社会保障金等的基本支出。</w:t>
      </w:r>
    </w:p>
    <w:p w:rsidR="00611440" w:rsidRPr="00BE723C" w:rsidRDefault="00611440" w:rsidP="00611440">
      <w:pPr>
        <w:widowControl/>
        <w:ind w:firstLine="605"/>
        <w:jc w:val="left"/>
        <w:rPr>
          <w:rFonts w:ascii="仿宋" w:eastAsia="仿宋" w:hAnsi="仿宋" w:cs="宋体"/>
          <w:kern w:val="0"/>
          <w:sz w:val="32"/>
          <w:szCs w:val="32"/>
        </w:rPr>
      </w:pPr>
      <w:r w:rsidRPr="00BE723C">
        <w:rPr>
          <w:rFonts w:ascii="仿宋" w:eastAsia="仿宋" w:hAnsi="仿宋" w:cs="宋体" w:hint="eastAsia"/>
          <w:kern w:val="0"/>
          <w:sz w:val="32"/>
          <w:szCs w:val="32"/>
        </w:rPr>
        <w:t>2.项目支出</w:t>
      </w:r>
      <w:r w:rsidR="00B84894">
        <w:rPr>
          <w:rFonts w:ascii="仿宋" w:eastAsia="仿宋" w:hAnsi="仿宋" w:cs="宋体" w:hint="eastAsia"/>
          <w:kern w:val="0"/>
          <w:sz w:val="32"/>
          <w:szCs w:val="32"/>
        </w:rPr>
        <w:t>344.87</w:t>
      </w:r>
      <w:r w:rsidRPr="00BE723C">
        <w:rPr>
          <w:rFonts w:ascii="仿宋" w:eastAsia="仿宋" w:hAnsi="仿宋" w:cs="宋体" w:hint="eastAsia"/>
          <w:kern w:val="0"/>
          <w:sz w:val="32"/>
          <w:szCs w:val="32"/>
        </w:rPr>
        <w:t>万元，主要是为完成其特定的行政工作任务或事业发展目标，用于专项业务工作发生的支出。其中：</w:t>
      </w:r>
    </w:p>
    <w:p w:rsidR="00611440" w:rsidRPr="00BE723C" w:rsidRDefault="00611440" w:rsidP="00611440">
      <w:pPr>
        <w:widowControl/>
        <w:ind w:firstLine="605"/>
        <w:jc w:val="left"/>
        <w:rPr>
          <w:rFonts w:ascii="仿宋" w:eastAsia="仿宋" w:hAnsi="仿宋" w:cs="宋体"/>
          <w:kern w:val="0"/>
          <w:sz w:val="32"/>
          <w:szCs w:val="32"/>
        </w:rPr>
      </w:pPr>
      <w:r w:rsidRPr="00BE723C">
        <w:rPr>
          <w:rFonts w:ascii="仿宋" w:eastAsia="仿宋" w:hAnsi="仿宋" w:cs="宋体" w:hint="eastAsia"/>
          <w:kern w:val="0"/>
          <w:sz w:val="32"/>
          <w:szCs w:val="32"/>
        </w:rPr>
        <w:t>一般公共服务</w:t>
      </w:r>
      <w:r w:rsidR="00B84894">
        <w:rPr>
          <w:rFonts w:ascii="仿宋" w:eastAsia="仿宋" w:hAnsi="仿宋" w:cs="宋体" w:hint="eastAsia"/>
          <w:kern w:val="0"/>
          <w:sz w:val="32"/>
          <w:szCs w:val="32"/>
        </w:rPr>
        <w:t>329.99</w:t>
      </w:r>
      <w:r w:rsidRPr="00BE723C">
        <w:rPr>
          <w:rFonts w:ascii="仿宋" w:eastAsia="仿宋" w:hAnsi="仿宋" w:cs="宋体" w:hint="eastAsia"/>
          <w:kern w:val="0"/>
          <w:sz w:val="32"/>
          <w:szCs w:val="32"/>
        </w:rPr>
        <w:t>万元，主要用于机关一般管理事务、托幼教育和专项业务等活动项目的支出。</w:t>
      </w:r>
    </w:p>
    <w:p w:rsidR="00611440" w:rsidRDefault="00611440" w:rsidP="00611440">
      <w:pPr>
        <w:widowControl/>
        <w:ind w:firstLine="605"/>
        <w:jc w:val="left"/>
        <w:rPr>
          <w:rFonts w:ascii="仿宋" w:eastAsia="仿宋" w:hAnsi="仿宋" w:cs="宋体"/>
          <w:kern w:val="0"/>
          <w:sz w:val="32"/>
          <w:szCs w:val="32"/>
        </w:rPr>
      </w:pPr>
      <w:r w:rsidRPr="00BE723C">
        <w:rPr>
          <w:rFonts w:ascii="仿宋" w:eastAsia="仿宋" w:hAnsi="仿宋" w:cs="宋体" w:hint="eastAsia"/>
          <w:kern w:val="0"/>
          <w:sz w:val="32"/>
          <w:szCs w:val="32"/>
        </w:rPr>
        <w:t>教育支出14.88万元，全部为建设资金支出，用于下属单位修缮教学设备维护等的支出。</w:t>
      </w:r>
    </w:p>
    <w:p w:rsidR="00B17BFA" w:rsidRDefault="00B17BFA"/>
    <w:p w:rsidR="00611440" w:rsidRDefault="00611440"/>
    <w:p w:rsidR="00611440" w:rsidRDefault="00611440"/>
    <w:p w:rsidR="00611440" w:rsidRDefault="00611440"/>
    <w:p w:rsidR="00611440" w:rsidRDefault="00611440"/>
    <w:p w:rsidR="00611440" w:rsidRDefault="00611440"/>
    <w:p w:rsidR="00611440" w:rsidRDefault="00611440"/>
    <w:p w:rsidR="00611440" w:rsidRDefault="00611440"/>
    <w:p w:rsidR="00611440" w:rsidRDefault="00611440"/>
    <w:p w:rsidR="00611440" w:rsidRDefault="00611440"/>
    <w:p w:rsidR="00611440" w:rsidRDefault="00611440"/>
    <w:p w:rsidR="00611440" w:rsidRDefault="00611440"/>
    <w:p w:rsidR="00611440" w:rsidRDefault="00611440"/>
    <w:p w:rsidR="00611440" w:rsidRDefault="00611440"/>
    <w:p w:rsidR="00611440" w:rsidRDefault="00611440"/>
    <w:p w:rsidR="00611440" w:rsidRDefault="00611440"/>
    <w:p w:rsidR="00611440" w:rsidRDefault="00611440"/>
    <w:p w:rsidR="00611440" w:rsidRDefault="00611440"/>
    <w:p w:rsidR="00DA1988" w:rsidRDefault="00611440" w:rsidP="00611440">
      <w:pPr>
        <w:widowControl/>
        <w:spacing w:line="600" w:lineRule="atLeast"/>
        <w:rPr>
          <w:rFonts w:ascii="仿宋_GB2312" w:eastAsia="仿宋_GB2312" w:hAnsi="宋体" w:cs="宋体"/>
          <w:kern w:val="0"/>
          <w:sz w:val="32"/>
          <w:szCs w:val="32"/>
        </w:rPr>
      </w:pPr>
      <w:r w:rsidRPr="00EE25F3">
        <w:rPr>
          <w:rFonts w:ascii="仿宋_GB2312" w:eastAsia="仿宋_GB2312" w:hAnsi="宋体" w:cs="宋体" w:hint="eastAsia"/>
          <w:kern w:val="0"/>
          <w:sz w:val="32"/>
          <w:szCs w:val="32"/>
        </w:rPr>
        <w:lastRenderedPageBreak/>
        <w:t xml:space="preserve">附件1        </w:t>
      </w:r>
    </w:p>
    <w:p w:rsidR="00611440" w:rsidRPr="00EE25F3" w:rsidRDefault="00611440" w:rsidP="00DA1988">
      <w:pPr>
        <w:widowControl/>
        <w:spacing w:line="600" w:lineRule="atLeast"/>
        <w:jc w:val="center"/>
        <w:rPr>
          <w:rFonts w:ascii="仿宋_GB2312" w:eastAsia="仿宋_GB2312" w:hAnsi="宋体" w:cs="宋体"/>
          <w:kern w:val="0"/>
          <w:sz w:val="32"/>
          <w:szCs w:val="32"/>
        </w:rPr>
      </w:pPr>
      <w:r w:rsidRPr="00EE25F3">
        <w:rPr>
          <w:rFonts w:ascii="仿宋_GB2312" w:eastAsia="仿宋_GB2312" w:hAnsi="宋体" w:cs="宋体" w:hint="eastAsia"/>
          <w:kern w:val="0"/>
          <w:sz w:val="32"/>
          <w:szCs w:val="32"/>
        </w:rPr>
        <w:t>公共预算收入支出决算总表：</w:t>
      </w:r>
    </w:p>
    <w:tbl>
      <w:tblPr>
        <w:tblW w:w="8860" w:type="dxa"/>
        <w:tblInd w:w="93" w:type="dxa"/>
        <w:tblLayout w:type="fixed"/>
        <w:tblLook w:val="0000"/>
      </w:tblPr>
      <w:tblGrid>
        <w:gridCol w:w="2992"/>
        <w:gridCol w:w="288"/>
        <w:gridCol w:w="279"/>
        <w:gridCol w:w="201"/>
        <w:gridCol w:w="760"/>
        <w:gridCol w:w="2866"/>
        <w:gridCol w:w="294"/>
        <w:gridCol w:w="273"/>
        <w:gridCol w:w="907"/>
      </w:tblGrid>
      <w:tr w:rsidR="00611440" w:rsidRPr="00EE25F3" w:rsidTr="005E474B">
        <w:trPr>
          <w:trHeight w:val="199"/>
        </w:trPr>
        <w:tc>
          <w:tcPr>
            <w:tcW w:w="3280" w:type="dxa"/>
            <w:gridSpan w:val="2"/>
            <w:tcBorders>
              <w:top w:val="nil"/>
              <w:left w:val="nil"/>
              <w:bottom w:val="nil"/>
              <w:right w:val="nil"/>
            </w:tcBorders>
            <w:shd w:val="clear" w:color="auto" w:fill="FFFFFF"/>
            <w:vAlign w:val="center"/>
          </w:tcPr>
          <w:p w:rsidR="00611440" w:rsidRPr="00EE25F3" w:rsidRDefault="00611440" w:rsidP="005E474B">
            <w:pPr>
              <w:widowControl/>
              <w:spacing w:line="199" w:lineRule="atLeast"/>
              <w:jc w:val="right"/>
              <w:rPr>
                <w:rFonts w:ascii="宋体" w:hAnsi="宋体" w:cs="宋体"/>
                <w:kern w:val="0"/>
                <w:sz w:val="24"/>
              </w:rPr>
            </w:pPr>
            <w:r w:rsidRPr="00EE25F3">
              <w:rPr>
                <w:rFonts w:ascii="宋体" w:hAnsi="宋体" w:cs="宋体" w:hint="eastAsia"/>
                <w:kern w:val="0"/>
                <w:sz w:val="24"/>
              </w:rPr>
              <w:t xml:space="preserve">　</w:t>
            </w:r>
          </w:p>
        </w:tc>
        <w:tc>
          <w:tcPr>
            <w:tcW w:w="480" w:type="dxa"/>
            <w:gridSpan w:val="2"/>
            <w:tcBorders>
              <w:top w:val="nil"/>
              <w:left w:val="nil"/>
              <w:bottom w:val="nil"/>
              <w:right w:val="nil"/>
            </w:tcBorders>
            <w:shd w:val="clear" w:color="auto" w:fill="FFFFFF"/>
            <w:vAlign w:val="center"/>
          </w:tcPr>
          <w:p w:rsidR="00611440" w:rsidRPr="00EE25F3" w:rsidRDefault="00611440" w:rsidP="005E474B">
            <w:pPr>
              <w:widowControl/>
              <w:spacing w:line="199" w:lineRule="atLeast"/>
              <w:jc w:val="right"/>
              <w:rPr>
                <w:rFonts w:ascii="宋体" w:hAnsi="宋体" w:cs="宋体"/>
                <w:kern w:val="0"/>
                <w:sz w:val="24"/>
              </w:rPr>
            </w:pPr>
            <w:r w:rsidRPr="00EE25F3">
              <w:rPr>
                <w:rFonts w:ascii="宋体" w:hAnsi="宋体" w:cs="宋体" w:hint="eastAsia"/>
                <w:kern w:val="0"/>
                <w:sz w:val="24"/>
              </w:rPr>
              <w:t xml:space="preserve">　</w:t>
            </w:r>
          </w:p>
        </w:tc>
        <w:tc>
          <w:tcPr>
            <w:tcW w:w="760" w:type="dxa"/>
            <w:tcBorders>
              <w:top w:val="nil"/>
              <w:left w:val="nil"/>
              <w:bottom w:val="nil"/>
              <w:right w:val="nil"/>
            </w:tcBorders>
            <w:shd w:val="clear" w:color="auto" w:fill="FFFFFF"/>
            <w:vAlign w:val="center"/>
          </w:tcPr>
          <w:p w:rsidR="00611440" w:rsidRPr="00EE25F3" w:rsidRDefault="00611440" w:rsidP="005E474B">
            <w:pPr>
              <w:widowControl/>
              <w:spacing w:line="199" w:lineRule="atLeast"/>
              <w:jc w:val="right"/>
              <w:rPr>
                <w:rFonts w:ascii="宋体" w:hAnsi="宋体" w:cs="宋体"/>
                <w:kern w:val="0"/>
                <w:sz w:val="24"/>
              </w:rPr>
            </w:pPr>
            <w:r w:rsidRPr="00EE25F3">
              <w:rPr>
                <w:rFonts w:ascii="宋体" w:hAnsi="宋体" w:cs="宋体" w:hint="eastAsia"/>
                <w:kern w:val="0"/>
                <w:sz w:val="24"/>
              </w:rPr>
              <w:t xml:space="preserve">　</w:t>
            </w:r>
          </w:p>
        </w:tc>
        <w:tc>
          <w:tcPr>
            <w:tcW w:w="3160" w:type="dxa"/>
            <w:gridSpan w:val="2"/>
            <w:tcBorders>
              <w:top w:val="nil"/>
              <w:left w:val="nil"/>
              <w:bottom w:val="nil"/>
              <w:right w:val="nil"/>
            </w:tcBorders>
            <w:shd w:val="clear" w:color="auto" w:fill="FFFFFF"/>
            <w:vAlign w:val="center"/>
          </w:tcPr>
          <w:p w:rsidR="00611440" w:rsidRPr="00EE25F3" w:rsidRDefault="00611440" w:rsidP="005E474B">
            <w:pPr>
              <w:widowControl/>
              <w:spacing w:line="199" w:lineRule="atLeast"/>
              <w:jc w:val="right"/>
              <w:rPr>
                <w:rFonts w:ascii="宋体" w:hAnsi="宋体" w:cs="宋体"/>
                <w:kern w:val="0"/>
                <w:sz w:val="24"/>
              </w:rPr>
            </w:pPr>
            <w:r w:rsidRPr="00EE25F3">
              <w:rPr>
                <w:rFonts w:ascii="宋体" w:hAnsi="宋体" w:cs="宋体" w:hint="eastAsia"/>
                <w:kern w:val="0"/>
                <w:sz w:val="24"/>
              </w:rPr>
              <w:t xml:space="preserve">　</w:t>
            </w:r>
          </w:p>
        </w:tc>
        <w:tc>
          <w:tcPr>
            <w:tcW w:w="1180" w:type="dxa"/>
            <w:gridSpan w:val="2"/>
            <w:tcBorders>
              <w:top w:val="nil"/>
              <w:left w:val="nil"/>
              <w:bottom w:val="nil"/>
              <w:right w:val="nil"/>
            </w:tcBorders>
            <w:shd w:val="clear" w:color="auto" w:fill="FFFFFF"/>
            <w:vAlign w:val="center"/>
          </w:tcPr>
          <w:p w:rsidR="00611440" w:rsidRPr="00EE25F3" w:rsidRDefault="00611440" w:rsidP="005E474B">
            <w:pPr>
              <w:widowControl/>
              <w:jc w:val="center"/>
              <w:rPr>
                <w:rFonts w:ascii="宋体" w:hAnsi="宋体" w:cs="宋体"/>
                <w:color w:val="000000"/>
                <w:kern w:val="0"/>
                <w:sz w:val="20"/>
                <w:szCs w:val="20"/>
              </w:rPr>
            </w:pPr>
            <w:r w:rsidRPr="00EE25F3">
              <w:rPr>
                <w:rFonts w:ascii="宋体" w:hAnsi="宋体" w:cs="宋体" w:hint="eastAsia"/>
                <w:color w:val="000000"/>
                <w:kern w:val="0"/>
                <w:sz w:val="20"/>
                <w:szCs w:val="20"/>
              </w:rPr>
              <w:t>公开01表</w:t>
            </w:r>
          </w:p>
        </w:tc>
      </w:tr>
      <w:tr w:rsidR="00611440" w:rsidRPr="00EE25F3" w:rsidTr="005E474B">
        <w:trPr>
          <w:trHeight w:val="300"/>
        </w:trPr>
        <w:tc>
          <w:tcPr>
            <w:tcW w:w="3280" w:type="dxa"/>
            <w:gridSpan w:val="2"/>
            <w:tcBorders>
              <w:top w:val="nil"/>
              <w:left w:val="nil"/>
              <w:bottom w:val="nil"/>
              <w:right w:val="nil"/>
            </w:tcBorders>
            <w:shd w:val="clear" w:color="auto" w:fill="FFFFFF"/>
            <w:vAlign w:val="center"/>
          </w:tcPr>
          <w:p w:rsidR="00611440" w:rsidRPr="00EE25F3" w:rsidRDefault="00611440" w:rsidP="005E474B">
            <w:pPr>
              <w:widowControl/>
              <w:jc w:val="left"/>
              <w:rPr>
                <w:rFonts w:ascii="宋体" w:hAnsi="宋体" w:cs="宋体"/>
                <w:color w:val="000000"/>
                <w:kern w:val="0"/>
                <w:sz w:val="20"/>
                <w:szCs w:val="20"/>
              </w:rPr>
            </w:pPr>
            <w:r w:rsidRPr="00EE25F3">
              <w:rPr>
                <w:rFonts w:ascii="宋体" w:hAnsi="宋体" w:cs="宋体" w:hint="eastAsia"/>
                <w:color w:val="000000"/>
                <w:kern w:val="0"/>
                <w:sz w:val="20"/>
                <w:szCs w:val="20"/>
              </w:rPr>
              <w:t>部门：</w:t>
            </w:r>
            <w:r>
              <w:rPr>
                <w:rFonts w:ascii="宋体" w:hAnsi="宋体" w:cs="宋体" w:hint="eastAsia"/>
                <w:color w:val="000000"/>
                <w:kern w:val="0"/>
                <w:sz w:val="20"/>
                <w:szCs w:val="20"/>
              </w:rPr>
              <w:t>深圳市福田区妇女联合会</w:t>
            </w:r>
          </w:p>
        </w:tc>
        <w:tc>
          <w:tcPr>
            <w:tcW w:w="480" w:type="dxa"/>
            <w:gridSpan w:val="2"/>
            <w:tcBorders>
              <w:top w:val="nil"/>
              <w:left w:val="nil"/>
              <w:bottom w:val="nil"/>
              <w:right w:val="nil"/>
            </w:tcBorders>
            <w:shd w:val="clear" w:color="auto" w:fill="FFFFFF"/>
            <w:vAlign w:val="center"/>
          </w:tcPr>
          <w:p w:rsidR="00611440" w:rsidRPr="00EE25F3" w:rsidRDefault="00611440" w:rsidP="005E474B">
            <w:pPr>
              <w:widowControl/>
              <w:jc w:val="right"/>
              <w:rPr>
                <w:rFonts w:ascii="宋体" w:hAnsi="宋体" w:cs="宋体"/>
                <w:kern w:val="0"/>
                <w:sz w:val="24"/>
              </w:rPr>
            </w:pPr>
            <w:r w:rsidRPr="00EE25F3">
              <w:rPr>
                <w:rFonts w:ascii="宋体" w:hAnsi="宋体" w:cs="宋体" w:hint="eastAsia"/>
                <w:kern w:val="0"/>
                <w:sz w:val="24"/>
              </w:rPr>
              <w:t xml:space="preserve">　</w:t>
            </w:r>
          </w:p>
        </w:tc>
        <w:tc>
          <w:tcPr>
            <w:tcW w:w="760" w:type="dxa"/>
            <w:tcBorders>
              <w:top w:val="nil"/>
              <w:left w:val="nil"/>
              <w:bottom w:val="nil"/>
              <w:right w:val="nil"/>
            </w:tcBorders>
            <w:shd w:val="clear" w:color="auto" w:fill="FFFFFF"/>
            <w:vAlign w:val="center"/>
          </w:tcPr>
          <w:p w:rsidR="00611440" w:rsidRPr="00EE25F3" w:rsidRDefault="00611440" w:rsidP="005E474B">
            <w:pPr>
              <w:widowControl/>
              <w:jc w:val="right"/>
              <w:rPr>
                <w:rFonts w:ascii="宋体" w:hAnsi="宋体" w:cs="宋体"/>
                <w:kern w:val="0"/>
                <w:sz w:val="24"/>
              </w:rPr>
            </w:pPr>
            <w:r w:rsidRPr="00EE25F3">
              <w:rPr>
                <w:rFonts w:ascii="宋体" w:hAnsi="宋体" w:cs="宋体" w:hint="eastAsia"/>
                <w:kern w:val="0"/>
                <w:sz w:val="24"/>
              </w:rPr>
              <w:t xml:space="preserve">　</w:t>
            </w:r>
          </w:p>
        </w:tc>
        <w:tc>
          <w:tcPr>
            <w:tcW w:w="3160" w:type="dxa"/>
            <w:gridSpan w:val="2"/>
            <w:tcBorders>
              <w:top w:val="nil"/>
              <w:left w:val="nil"/>
              <w:bottom w:val="nil"/>
              <w:right w:val="nil"/>
            </w:tcBorders>
            <w:shd w:val="clear" w:color="auto" w:fill="FFFFFF"/>
            <w:vAlign w:val="center"/>
          </w:tcPr>
          <w:p w:rsidR="00611440" w:rsidRPr="00EE25F3" w:rsidRDefault="00611440" w:rsidP="005E474B">
            <w:pPr>
              <w:widowControl/>
              <w:jc w:val="right"/>
              <w:rPr>
                <w:rFonts w:ascii="宋体" w:hAnsi="宋体" w:cs="宋体"/>
                <w:kern w:val="0"/>
                <w:sz w:val="24"/>
              </w:rPr>
            </w:pPr>
            <w:r w:rsidRPr="00EE25F3">
              <w:rPr>
                <w:rFonts w:ascii="宋体" w:hAnsi="宋体" w:cs="宋体" w:hint="eastAsia"/>
                <w:kern w:val="0"/>
                <w:sz w:val="24"/>
              </w:rPr>
              <w:t xml:space="preserve">　</w:t>
            </w:r>
          </w:p>
        </w:tc>
        <w:tc>
          <w:tcPr>
            <w:tcW w:w="1180" w:type="dxa"/>
            <w:gridSpan w:val="2"/>
            <w:tcBorders>
              <w:top w:val="nil"/>
              <w:left w:val="nil"/>
              <w:bottom w:val="single" w:sz="8" w:space="0" w:color="000000"/>
              <w:right w:val="nil"/>
            </w:tcBorders>
            <w:shd w:val="clear" w:color="auto" w:fill="FFFFFF"/>
            <w:vAlign w:val="center"/>
          </w:tcPr>
          <w:p w:rsidR="00611440" w:rsidRPr="00EE25F3" w:rsidRDefault="00611440" w:rsidP="005E474B">
            <w:pPr>
              <w:widowControl/>
              <w:jc w:val="center"/>
              <w:rPr>
                <w:rFonts w:ascii="宋体" w:hAnsi="宋体" w:cs="宋体"/>
                <w:color w:val="000000"/>
                <w:kern w:val="0"/>
                <w:sz w:val="20"/>
                <w:szCs w:val="20"/>
              </w:rPr>
            </w:pPr>
            <w:r w:rsidRPr="00EE25F3">
              <w:rPr>
                <w:rFonts w:ascii="宋体" w:hAnsi="宋体" w:cs="宋体" w:hint="eastAsia"/>
                <w:color w:val="000000"/>
                <w:kern w:val="0"/>
                <w:sz w:val="20"/>
                <w:szCs w:val="20"/>
              </w:rPr>
              <w:t>单位：万元</w:t>
            </w:r>
          </w:p>
        </w:tc>
      </w:tr>
      <w:tr w:rsidR="00611440" w:rsidRPr="00EE25F3" w:rsidTr="005E474B">
        <w:trPr>
          <w:trHeight w:val="289"/>
        </w:trPr>
        <w:tc>
          <w:tcPr>
            <w:tcW w:w="4520" w:type="dxa"/>
            <w:gridSpan w:val="5"/>
            <w:tcBorders>
              <w:top w:val="single" w:sz="8" w:space="0" w:color="000000"/>
              <w:left w:val="single" w:sz="8"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收入</w:t>
            </w:r>
          </w:p>
        </w:tc>
        <w:tc>
          <w:tcPr>
            <w:tcW w:w="4340" w:type="dxa"/>
            <w:gridSpan w:val="4"/>
            <w:tcBorders>
              <w:top w:val="single" w:sz="8" w:space="0" w:color="000000"/>
              <w:left w:val="nil"/>
              <w:bottom w:val="single" w:sz="4" w:space="0" w:color="000000"/>
              <w:right w:val="single" w:sz="8"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支出</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项    目</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行次</w:t>
            </w:r>
          </w:p>
        </w:tc>
        <w:tc>
          <w:tcPr>
            <w:tcW w:w="961"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决算数</w:t>
            </w:r>
          </w:p>
        </w:tc>
        <w:tc>
          <w:tcPr>
            <w:tcW w:w="2866" w:type="dxa"/>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项    目</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行次</w:t>
            </w:r>
          </w:p>
        </w:tc>
        <w:tc>
          <w:tcPr>
            <w:tcW w:w="907" w:type="dxa"/>
            <w:tcBorders>
              <w:top w:val="nil"/>
              <w:left w:val="nil"/>
              <w:bottom w:val="single" w:sz="4" w:space="0" w:color="000000"/>
              <w:right w:val="single" w:sz="8"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决算数</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栏    次</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 xml:space="preserve">　</w:t>
            </w:r>
          </w:p>
        </w:tc>
        <w:tc>
          <w:tcPr>
            <w:tcW w:w="961"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1</w:t>
            </w:r>
          </w:p>
        </w:tc>
        <w:tc>
          <w:tcPr>
            <w:tcW w:w="2866" w:type="dxa"/>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栏    次</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 xml:space="preserve">　</w:t>
            </w:r>
          </w:p>
        </w:tc>
        <w:tc>
          <w:tcPr>
            <w:tcW w:w="907" w:type="dxa"/>
            <w:tcBorders>
              <w:top w:val="nil"/>
              <w:left w:val="nil"/>
              <w:bottom w:val="single" w:sz="4" w:space="0" w:color="000000"/>
              <w:right w:val="single" w:sz="8"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2</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一、财政拨款收入</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1</w:t>
            </w:r>
          </w:p>
        </w:tc>
        <w:tc>
          <w:tcPr>
            <w:tcW w:w="961" w:type="dxa"/>
            <w:gridSpan w:val="2"/>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0"/>
                <w:szCs w:val="20"/>
              </w:rPr>
            </w:pPr>
            <w:r>
              <w:rPr>
                <w:rFonts w:ascii="宋体" w:hAnsi="宋体" w:cs="宋体" w:hint="eastAsia"/>
                <w:kern w:val="0"/>
                <w:sz w:val="20"/>
                <w:szCs w:val="20"/>
              </w:rPr>
              <w:t>599.39</w:t>
            </w:r>
          </w:p>
        </w:tc>
        <w:tc>
          <w:tcPr>
            <w:tcW w:w="2866" w:type="dxa"/>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一、一般公共服务</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30</w:t>
            </w:r>
          </w:p>
        </w:tc>
        <w:tc>
          <w:tcPr>
            <w:tcW w:w="907" w:type="dxa"/>
            <w:tcBorders>
              <w:top w:val="nil"/>
              <w:left w:val="nil"/>
              <w:bottom w:val="single" w:sz="4" w:space="0" w:color="000000"/>
              <w:right w:val="single" w:sz="8" w:space="0" w:color="000000"/>
            </w:tcBorders>
            <w:vAlign w:val="center"/>
          </w:tcPr>
          <w:p w:rsidR="00611440" w:rsidRPr="00EE25F3" w:rsidRDefault="00611440" w:rsidP="005E474B">
            <w:pPr>
              <w:widowControl/>
              <w:jc w:val="center"/>
              <w:rPr>
                <w:rFonts w:ascii="宋体" w:hAnsi="宋体" w:cs="宋体"/>
                <w:kern w:val="0"/>
                <w:sz w:val="20"/>
                <w:szCs w:val="20"/>
              </w:rPr>
            </w:pPr>
            <w:r>
              <w:rPr>
                <w:rFonts w:ascii="宋体" w:hAnsi="宋体" w:cs="宋体" w:hint="eastAsia"/>
                <w:kern w:val="0"/>
                <w:sz w:val="20"/>
                <w:szCs w:val="20"/>
              </w:rPr>
              <w:t>508.64</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二、上级补助收入</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2</w:t>
            </w:r>
          </w:p>
        </w:tc>
        <w:tc>
          <w:tcPr>
            <w:tcW w:w="961" w:type="dxa"/>
            <w:gridSpan w:val="2"/>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0"/>
                <w:szCs w:val="20"/>
              </w:rPr>
            </w:pPr>
            <w:r>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二、外交</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31</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三、事业收入</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3</w:t>
            </w:r>
          </w:p>
        </w:tc>
        <w:tc>
          <w:tcPr>
            <w:tcW w:w="961" w:type="dxa"/>
            <w:gridSpan w:val="2"/>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0"/>
                <w:szCs w:val="20"/>
              </w:rPr>
            </w:pPr>
            <w:r>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三、国防</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32</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四、经营收入</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4</w:t>
            </w:r>
          </w:p>
        </w:tc>
        <w:tc>
          <w:tcPr>
            <w:tcW w:w="961" w:type="dxa"/>
            <w:gridSpan w:val="2"/>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0"/>
                <w:szCs w:val="20"/>
              </w:rPr>
            </w:pPr>
            <w:r>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四、公共安全</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33</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五、附属单位缴款</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5</w:t>
            </w:r>
          </w:p>
        </w:tc>
        <w:tc>
          <w:tcPr>
            <w:tcW w:w="961" w:type="dxa"/>
            <w:gridSpan w:val="2"/>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0"/>
                <w:szCs w:val="20"/>
              </w:rPr>
            </w:pPr>
            <w:r>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五、教育</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34</w:t>
            </w:r>
          </w:p>
        </w:tc>
        <w:tc>
          <w:tcPr>
            <w:tcW w:w="907" w:type="dxa"/>
            <w:tcBorders>
              <w:top w:val="nil"/>
              <w:left w:val="nil"/>
              <w:bottom w:val="single" w:sz="4" w:space="0" w:color="000000"/>
              <w:right w:val="single" w:sz="8" w:space="0" w:color="000000"/>
            </w:tcBorders>
          </w:tcPr>
          <w:p w:rsidR="00611440" w:rsidRDefault="00611440" w:rsidP="005E474B">
            <w:pPr>
              <w:jc w:val="center"/>
            </w:pPr>
            <w:r>
              <w:rPr>
                <w:rFonts w:ascii="宋体" w:hAnsi="宋体" w:cs="宋体" w:hint="eastAsia"/>
                <w:kern w:val="0"/>
                <w:sz w:val="20"/>
                <w:szCs w:val="20"/>
              </w:rPr>
              <w:t>14.88</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六、其他收入</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6</w:t>
            </w:r>
          </w:p>
        </w:tc>
        <w:tc>
          <w:tcPr>
            <w:tcW w:w="961" w:type="dxa"/>
            <w:gridSpan w:val="2"/>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0"/>
                <w:szCs w:val="20"/>
              </w:rPr>
            </w:pPr>
            <w:r>
              <w:rPr>
                <w:rFonts w:ascii="宋体" w:hAnsi="宋体" w:cs="宋体" w:hint="eastAsia"/>
                <w:kern w:val="0"/>
                <w:sz w:val="20"/>
                <w:szCs w:val="20"/>
              </w:rPr>
              <w:t>10.41</w:t>
            </w:r>
          </w:p>
        </w:tc>
        <w:tc>
          <w:tcPr>
            <w:tcW w:w="2866" w:type="dxa"/>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六、科学技术</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35</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7</w:t>
            </w:r>
          </w:p>
        </w:tc>
        <w:tc>
          <w:tcPr>
            <w:tcW w:w="961" w:type="dxa"/>
            <w:gridSpan w:val="2"/>
            <w:tcBorders>
              <w:top w:val="nil"/>
              <w:left w:val="nil"/>
              <w:bottom w:val="single" w:sz="4" w:space="0" w:color="000000"/>
              <w:right w:val="single" w:sz="4" w:space="0" w:color="000000"/>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七、文化体育与传媒</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36</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8</w:t>
            </w:r>
          </w:p>
        </w:tc>
        <w:tc>
          <w:tcPr>
            <w:tcW w:w="961" w:type="dxa"/>
            <w:gridSpan w:val="2"/>
            <w:tcBorders>
              <w:top w:val="nil"/>
              <w:left w:val="nil"/>
              <w:bottom w:val="single" w:sz="4" w:space="0" w:color="000000"/>
              <w:right w:val="single" w:sz="4" w:space="0" w:color="000000"/>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八、社会保障和就业</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37</w:t>
            </w:r>
          </w:p>
        </w:tc>
        <w:tc>
          <w:tcPr>
            <w:tcW w:w="907" w:type="dxa"/>
            <w:tcBorders>
              <w:top w:val="nil"/>
              <w:left w:val="nil"/>
              <w:bottom w:val="single" w:sz="4" w:space="0" w:color="000000"/>
              <w:right w:val="single" w:sz="8" w:space="0" w:color="000000"/>
            </w:tcBorders>
          </w:tcPr>
          <w:p w:rsidR="00611440" w:rsidRDefault="00611440" w:rsidP="005E474B">
            <w:pPr>
              <w:jc w:val="center"/>
            </w:pPr>
            <w:r>
              <w:rPr>
                <w:rFonts w:ascii="宋体" w:hAnsi="宋体" w:cs="宋体" w:hint="eastAsia"/>
                <w:kern w:val="0"/>
                <w:sz w:val="20"/>
                <w:szCs w:val="20"/>
              </w:rPr>
              <w:t>79.99</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9</w:t>
            </w:r>
          </w:p>
        </w:tc>
        <w:tc>
          <w:tcPr>
            <w:tcW w:w="961" w:type="dxa"/>
            <w:gridSpan w:val="2"/>
            <w:tcBorders>
              <w:top w:val="nil"/>
              <w:left w:val="nil"/>
              <w:bottom w:val="single" w:sz="4" w:space="0" w:color="000000"/>
              <w:right w:val="single" w:sz="4" w:space="0" w:color="000000"/>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九、医疗卫生</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38</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10</w:t>
            </w:r>
          </w:p>
        </w:tc>
        <w:tc>
          <w:tcPr>
            <w:tcW w:w="961" w:type="dxa"/>
            <w:gridSpan w:val="2"/>
            <w:tcBorders>
              <w:top w:val="nil"/>
              <w:left w:val="nil"/>
              <w:bottom w:val="single" w:sz="4" w:space="0" w:color="000000"/>
              <w:right w:val="single" w:sz="4" w:space="0" w:color="000000"/>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十、节能环保</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39</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11</w:t>
            </w:r>
          </w:p>
        </w:tc>
        <w:tc>
          <w:tcPr>
            <w:tcW w:w="961" w:type="dxa"/>
            <w:gridSpan w:val="2"/>
            <w:tcBorders>
              <w:top w:val="nil"/>
              <w:left w:val="nil"/>
              <w:bottom w:val="nil"/>
              <w:right w:val="nil"/>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single" w:sz="4"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十一、城乡社区事务</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40</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12</w:t>
            </w:r>
          </w:p>
        </w:tc>
        <w:tc>
          <w:tcPr>
            <w:tcW w:w="961" w:type="dxa"/>
            <w:gridSpan w:val="2"/>
            <w:tcBorders>
              <w:top w:val="single" w:sz="4" w:space="0" w:color="000000"/>
              <w:left w:val="nil"/>
              <w:bottom w:val="single" w:sz="4" w:space="0" w:color="000000"/>
              <w:right w:val="single" w:sz="4" w:space="0" w:color="000000"/>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十二、农林水事务</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41</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13</w:t>
            </w:r>
          </w:p>
        </w:tc>
        <w:tc>
          <w:tcPr>
            <w:tcW w:w="961" w:type="dxa"/>
            <w:gridSpan w:val="2"/>
            <w:tcBorders>
              <w:top w:val="nil"/>
              <w:left w:val="nil"/>
              <w:bottom w:val="single" w:sz="4" w:space="0" w:color="000000"/>
              <w:right w:val="single" w:sz="4" w:space="0" w:color="000000"/>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十三、交通运输</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42</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14</w:t>
            </w:r>
          </w:p>
        </w:tc>
        <w:tc>
          <w:tcPr>
            <w:tcW w:w="961" w:type="dxa"/>
            <w:gridSpan w:val="2"/>
            <w:tcBorders>
              <w:top w:val="nil"/>
              <w:left w:val="nil"/>
              <w:bottom w:val="single" w:sz="4" w:space="0" w:color="000000"/>
              <w:right w:val="single" w:sz="4" w:space="0" w:color="000000"/>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十四、资源勘探电力信息等事务</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43</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15</w:t>
            </w:r>
          </w:p>
        </w:tc>
        <w:tc>
          <w:tcPr>
            <w:tcW w:w="961" w:type="dxa"/>
            <w:gridSpan w:val="2"/>
            <w:tcBorders>
              <w:top w:val="nil"/>
              <w:left w:val="nil"/>
              <w:bottom w:val="single" w:sz="4" w:space="0" w:color="000000"/>
              <w:right w:val="single" w:sz="4" w:space="0" w:color="000000"/>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十五、商业服务业等事务</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44</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16</w:t>
            </w:r>
          </w:p>
        </w:tc>
        <w:tc>
          <w:tcPr>
            <w:tcW w:w="961" w:type="dxa"/>
            <w:gridSpan w:val="2"/>
            <w:tcBorders>
              <w:top w:val="nil"/>
              <w:left w:val="nil"/>
              <w:bottom w:val="single" w:sz="4" w:space="0" w:color="000000"/>
              <w:right w:val="single" w:sz="4" w:space="0" w:color="000000"/>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十六、金融监管等事务支出</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45</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17</w:t>
            </w:r>
          </w:p>
        </w:tc>
        <w:tc>
          <w:tcPr>
            <w:tcW w:w="961" w:type="dxa"/>
            <w:gridSpan w:val="2"/>
            <w:tcBorders>
              <w:top w:val="nil"/>
              <w:left w:val="nil"/>
              <w:bottom w:val="single" w:sz="4" w:space="0" w:color="000000"/>
              <w:right w:val="single" w:sz="4" w:space="0" w:color="000000"/>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十七、地震灾后恢复重建支出</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46</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18</w:t>
            </w:r>
          </w:p>
        </w:tc>
        <w:tc>
          <w:tcPr>
            <w:tcW w:w="961" w:type="dxa"/>
            <w:gridSpan w:val="2"/>
            <w:tcBorders>
              <w:top w:val="nil"/>
              <w:left w:val="nil"/>
              <w:bottom w:val="single" w:sz="4" w:space="0" w:color="000000"/>
              <w:right w:val="single" w:sz="4" w:space="0" w:color="000000"/>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十八、国土资源气象等事务</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47</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19</w:t>
            </w:r>
          </w:p>
        </w:tc>
        <w:tc>
          <w:tcPr>
            <w:tcW w:w="961" w:type="dxa"/>
            <w:gridSpan w:val="2"/>
            <w:tcBorders>
              <w:top w:val="nil"/>
              <w:left w:val="nil"/>
              <w:bottom w:val="single" w:sz="4" w:space="0" w:color="000000"/>
              <w:right w:val="single" w:sz="4" w:space="0" w:color="000000"/>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十九、住房保障支出</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48</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20</w:t>
            </w:r>
          </w:p>
        </w:tc>
        <w:tc>
          <w:tcPr>
            <w:tcW w:w="961" w:type="dxa"/>
            <w:gridSpan w:val="2"/>
            <w:tcBorders>
              <w:top w:val="nil"/>
              <w:left w:val="nil"/>
              <w:bottom w:val="single" w:sz="4" w:space="0" w:color="000000"/>
              <w:right w:val="single" w:sz="4" w:space="0" w:color="000000"/>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二十、粮油物资管理事务</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49</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21</w:t>
            </w:r>
          </w:p>
        </w:tc>
        <w:tc>
          <w:tcPr>
            <w:tcW w:w="961" w:type="dxa"/>
            <w:gridSpan w:val="2"/>
            <w:tcBorders>
              <w:top w:val="nil"/>
              <w:left w:val="nil"/>
              <w:bottom w:val="single" w:sz="4" w:space="0" w:color="000000"/>
              <w:right w:val="single" w:sz="4" w:space="0" w:color="000000"/>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二十一、储备事务支出</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50</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22</w:t>
            </w:r>
          </w:p>
        </w:tc>
        <w:tc>
          <w:tcPr>
            <w:tcW w:w="961" w:type="dxa"/>
            <w:gridSpan w:val="2"/>
            <w:tcBorders>
              <w:top w:val="nil"/>
              <w:left w:val="nil"/>
              <w:bottom w:val="single" w:sz="4" w:space="0" w:color="000000"/>
              <w:right w:val="single" w:sz="4" w:space="0" w:color="000000"/>
            </w:tcBorders>
          </w:tcPr>
          <w:p w:rsidR="00611440" w:rsidRDefault="00611440" w:rsidP="005E474B">
            <w:pPr>
              <w:jc w:val="center"/>
            </w:pPr>
            <w:r w:rsidRPr="00F75B4F">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二十二、国债还本付息支出</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51</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23</w:t>
            </w:r>
          </w:p>
        </w:tc>
        <w:tc>
          <w:tcPr>
            <w:tcW w:w="961" w:type="dxa"/>
            <w:gridSpan w:val="2"/>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0"/>
                <w:szCs w:val="20"/>
              </w:rPr>
            </w:pPr>
            <w:r>
              <w:rPr>
                <w:rFonts w:ascii="宋体" w:hAnsi="宋体" w:cs="宋体" w:hint="eastAsia"/>
                <w:kern w:val="0"/>
                <w:sz w:val="20"/>
                <w:szCs w:val="20"/>
              </w:rPr>
              <w:t>0</w:t>
            </w:r>
          </w:p>
        </w:tc>
        <w:tc>
          <w:tcPr>
            <w:tcW w:w="2866"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二十三、其他支出</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52</w:t>
            </w:r>
          </w:p>
        </w:tc>
        <w:tc>
          <w:tcPr>
            <w:tcW w:w="907" w:type="dxa"/>
            <w:tcBorders>
              <w:top w:val="nil"/>
              <w:left w:val="nil"/>
              <w:bottom w:val="single" w:sz="4" w:space="0" w:color="000000"/>
              <w:right w:val="single" w:sz="8" w:space="0" w:color="000000"/>
            </w:tcBorders>
          </w:tcPr>
          <w:p w:rsidR="00611440" w:rsidRDefault="00611440" w:rsidP="005E474B">
            <w:pPr>
              <w:jc w:val="center"/>
            </w:pPr>
            <w:r w:rsidRPr="00987168">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24</w:t>
            </w:r>
          </w:p>
        </w:tc>
        <w:tc>
          <w:tcPr>
            <w:tcW w:w="961" w:type="dxa"/>
            <w:gridSpan w:val="2"/>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0"/>
                <w:szCs w:val="20"/>
              </w:rPr>
            </w:pPr>
            <w:r>
              <w:rPr>
                <w:rFonts w:ascii="宋体" w:hAnsi="宋体" w:cs="宋体" w:hint="eastAsia"/>
                <w:kern w:val="0"/>
                <w:sz w:val="20"/>
                <w:szCs w:val="20"/>
              </w:rPr>
              <w:t>0</w:t>
            </w:r>
          </w:p>
        </w:tc>
        <w:tc>
          <w:tcPr>
            <w:tcW w:w="2866" w:type="dxa"/>
            <w:tcBorders>
              <w:top w:val="nil"/>
              <w:left w:val="nil"/>
              <w:bottom w:val="single" w:sz="4" w:space="0" w:color="000000"/>
              <w:right w:val="nil"/>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53</w:t>
            </w:r>
          </w:p>
        </w:tc>
        <w:tc>
          <w:tcPr>
            <w:tcW w:w="907" w:type="dxa"/>
            <w:tcBorders>
              <w:top w:val="nil"/>
              <w:left w:val="nil"/>
              <w:bottom w:val="single" w:sz="4" w:space="0" w:color="000000"/>
              <w:right w:val="single" w:sz="8" w:space="0" w:color="000000"/>
            </w:tcBorders>
            <w:vAlign w:val="center"/>
          </w:tcPr>
          <w:p w:rsidR="00611440" w:rsidRPr="00EE25F3" w:rsidRDefault="00611440" w:rsidP="005E474B">
            <w:pPr>
              <w:widowControl/>
              <w:jc w:val="center"/>
              <w:rPr>
                <w:rFonts w:ascii="宋体" w:hAnsi="宋体" w:cs="宋体"/>
                <w:kern w:val="0"/>
                <w:sz w:val="20"/>
                <w:szCs w:val="20"/>
              </w:rPr>
            </w:pPr>
            <w:r>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b/>
                <w:bCs/>
                <w:kern w:val="0"/>
                <w:sz w:val="20"/>
                <w:szCs w:val="20"/>
              </w:rPr>
            </w:pPr>
            <w:r w:rsidRPr="00EE25F3">
              <w:rPr>
                <w:rFonts w:ascii="宋体" w:hAnsi="宋体" w:cs="宋体" w:hint="eastAsia"/>
                <w:b/>
                <w:bCs/>
                <w:kern w:val="0"/>
                <w:sz w:val="20"/>
                <w:szCs w:val="20"/>
              </w:rPr>
              <w:t>本年收入合计</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25</w:t>
            </w:r>
          </w:p>
        </w:tc>
        <w:tc>
          <w:tcPr>
            <w:tcW w:w="961" w:type="dxa"/>
            <w:gridSpan w:val="2"/>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0"/>
                <w:szCs w:val="20"/>
              </w:rPr>
            </w:pPr>
            <w:r>
              <w:rPr>
                <w:rFonts w:ascii="宋体" w:hAnsi="宋体" w:cs="宋体" w:hint="eastAsia"/>
                <w:kern w:val="0"/>
                <w:sz w:val="20"/>
                <w:szCs w:val="20"/>
              </w:rPr>
              <w:t>609.79</w:t>
            </w:r>
          </w:p>
        </w:tc>
        <w:tc>
          <w:tcPr>
            <w:tcW w:w="2866" w:type="dxa"/>
            <w:tcBorders>
              <w:top w:val="nil"/>
              <w:left w:val="nil"/>
              <w:bottom w:val="single" w:sz="4" w:space="0" w:color="000000"/>
              <w:right w:val="nil"/>
            </w:tcBorders>
            <w:vAlign w:val="center"/>
          </w:tcPr>
          <w:p w:rsidR="00611440" w:rsidRPr="00EE25F3" w:rsidRDefault="00611440" w:rsidP="005E474B">
            <w:pPr>
              <w:widowControl/>
              <w:jc w:val="center"/>
              <w:rPr>
                <w:rFonts w:ascii="宋体" w:hAnsi="宋体" w:cs="宋体"/>
                <w:b/>
                <w:bCs/>
                <w:kern w:val="0"/>
                <w:sz w:val="20"/>
                <w:szCs w:val="20"/>
              </w:rPr>
            </w:pPr>
            <w:r w:rsidRPr="00EE25F3">
              <w:rPr>
                <w:rFonts w:ascii="宋体" w:hAnsi="宋体" w:cs="宋体" w:hint="eastAsia"/>
                <w:b/>
                <w:bCs/>
                <w:kern w:val="0"/>
                <w:sz w:val="20"/>
                <w:szCs w:val="20"/>
              </w:rPr>
              <w:t>本年支出合计</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54</w:t>
            </w:r>
          </w:p>
        </w:tc>
        <w:tc>
          <w:tcPr>
            <w:tcW w:w="907" w:type="dxa"/>
            <w:tcBorders>
              <w:top w:val="nil"/>
              <w:left w:val="nil"/>
              <w:bottom w:val="single" w:sz="4" w:space="0" w:color="000000"/>
              <w:right w:val="single" w:sz="8" w:space="0" w:color="000000"/>
            </w:tcBorders>
            <w:vAlign w:val="center"/>
          </w:tcPr>
          <w:p w:rsidR="00611440" w:rsidRPr="00D37E92" w:rsidRDefault="00611440" w:rsidP="005E474B">
            <w:pPr>
              <w:widowControl/>
              <w:jc w:val="center"/>
              <w:rPr>
                <w:rFonts w:ascii="宋体" w:hAnsi="宋体" w:cs="宋体"/>
                <w:bCs/>
                <w:kern w:val="0"/>
                <w:sz w:val="20"/>
                <w:szCs w:val="20"/>
              </w:rPr>
            </w:pPr>
            <w:r w:rsidRPr="00D37E92">
              <w:rPr>
                <w:rFonts w:ascii="宋体" w:hAnsi="宋体" w:cs="宋体" w:hint="eastAsia"/>
                <w:bCs/>
                <w:kern w:val="0"/>
                <w:sz w:val="20"/>
                <w:szCs w:val="20"/>
              </w:rPr>
              <w:t>603.51</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用事业基金弥补收支差额</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26</w:t>
            </w:r>
          </w:p>
        </w:tc>
        <w:tc>
          <w:tcPr>
            <w:tcW w:w="961" w:type="dxa"/>
            <w:gridSpan w:val="2"/>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0"/>
                <w:szCs w:val="20"/>
              </w:rPr>
            </w:pPr>
            <w:r>
              <w:rPr>
                <w:rFonts w:ascii="宋体" w:hAnsi="宋体" w:cs="宋体" w:hint="eastAsia"/>
                <w:kern w:val="0"/>
                <w:sz w:val="20"/>
                <w:szCs w:val="20"/>
              </w:rPr>
              <w:t>0</w:t>
            </w:r>
          </w:p>
        </w:tc>
        <w:tc>
          <w:tcPr>
            <w:tcW w:w="2866" w:type="dxa"/>
            <w:tcBorders>
              <w:top w:val="nil"/>
              <w:left w:val="nil"/>
              <w:bottom w:val="single" w:sz="4" w:space="0" w:color="000000"/>
              <w:right w:val="nil"/>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结余分配</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55</w:t>
            </w:r>
          </w:p>
        </w:tc>
        <w:tc>
          <w:tcPr>
            <w:tcW w:w="907" w:type="dxa"/>
            <w:tcBorders>
              <w:top w:val="nil"/>
              <w:left w:val="nil"/>
              <w:bottom w:val="single" w:sz="4" w:space="0" w:color="000000"/>
              <w:right w:val="single" w:sz="8" w:space="0" w:color="000000"/>
            </w:tcBorders>
            <w:vAlign w:val="center"/>
          </w:tcPr>
          <w:p w:rsidR="00611440" w:rsidRPr="00D37E92" w:rsidRDefault="00611440" w:rsidP="005E474B">
            <w:pPr>
              <w:widowControl/>
              <w:jc w:val="center"/>
              <w:rPr>
                <w:rFonts w:ascii="宋体" w:hAnsi="宋体" w:cs="宋体"/>
                <w:kern w:val="0"/>
                <w:sz w:val="20"/>
                <w:szCs w:val="20"/>
              </w:rPr>
            </w:pPr>
            <w:r>
              <w:rPr>
                <w:rFonts w:ascii="宋体" w:hAnsi="宋体" w:cs="宋体" w:hint="eastAsia"/>
                <w:kern w:val="0"/>
                <w:sz w:val="20"/>
                <w:szCs w:val="20"/>
              </w:rPr>
              <w:t>0</w:t>
            </w:r>
          </w:p>
        </w:tc>
      </w:tr>
      <w:tr w:rsidR="00611440" w:rsidRPr="00EE25F3" w:rsidTr="005E474B">
        <w:trPr>
          <w:trHeight w:val="289"/>
        </w:trPr>
        <w:tc>
          <w:tcPr>
            <w:tcW w:w="2992" w:type="dxa"/>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上年结转和结余</w:t>
            </w:r>
          </w:p>
        </w:tc>
        <w:tc>
          <w:tcPr>
            <w:tcW w:w="567" w:type="dxa"/>
            <w:gridSpan w:val="2"/>
            <w:tcBorders>
              <w:top w:val="nil"/>
              <w:left w:val="nil"/>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27</w:t>
            </w:r>
          </w:p>
        </w:tc>
        <w:tc>
          <w:tcPr>
            <w:tcW w:w="961" w:type="dxa"/>
            <w:gridSpan w:val="2"/>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0"/>
                <w:szCs w:val="20"/>
              </w:rPr>
            </w:pPr>
            <w:r>
              <w:rPr>
                <w:rFonts w:ascii="宋体" w:hAnsi="宋体" w:cs="宋体" w:hint="eastAsia"/>
                <w:kern w:val="0"/>
                <w:sz w:val="20"/>
                <w:szCs w:val="20"/>
              </w:rPr>
              <w:t>59.87</w:t>
            </w:r>
          </w:p>
        </w:tc>
        <w:tc>
          <w:tcPr>
            <w:tcW w:w="2866" w:type="dxa"/>
            <w:tcBorders>
              <w:top w:val="nil"/>
              <w:left w:val="nil"/>
              <w:bottom w:val="single" w:sz="4" w:space="0" w:color="000000"/>
              <w:right w:val="nil"/>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年末结转和结余</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56</w:t>
            </w:r>
          </w:p>
        </w:tc>
        <w:tc>
          <w:tcPr>
            <w:tcW w:w="907" w:type="dxa"/>
            <w:tcBorders>
              <w:top w:val="nil"/>
              <w:left w:val="nil"/>
              <w:bottom w:val="single" w:sz="4" w:space="0" w:color="000000"/>
              <w:right w:val="single" w:sz="8" w:space="0" w:color="000000"/>
            </w:tcBorders>
            <w:vAlign w:val="center"/>
          </w:tcPr>
          <w:p w:rsidR="00611440" w:rsidRPr="00D37E92" w:rsidRDefault="00611440" w:rsidP="005E474B">
            <w:pPr>
              <w:widowControl/>
              <w:jc w:val="center"/>
              <w:rPr>
                <w:rFonts w:ascii="宋体" w:hAnsi="宋体" w:cs="宋体"/>
                <w:kern w:val="0"/>
                <w:sz w:val="20"/>
                <w:szCs w:val="20"/>
              </w:rPr>
            </w:pPr>
            <w:r w:rsidRPr="00D37E92">
              <w:rPr>
                <w:rFonts w:ascii="宋体" w:hAnsi="宋体" w:cs="宋体" w:hint="eastAsia"/>
                <w:kern w:val="0"/>
                <w:sz w:val="20"/>
                <w:szCs w:val="20"/>
              </w:rPr>
              <w:t>66.15</w:t>
            </w:r>
          </w:p>
        </w:tc>
      </w:tr>
      <w:tr w:rsidR="00611440" w:rsidRPr="00EE25F3" w:rsidTr="005E474B">
        <w:trPr>
          <w:trHeight w:val="289"/>
        </w:trPr>
        <w:tc>
          <w:tcPr>
            <w:tcW w:w="2992" w:type="dxa"/>
            <w:tcBorders>
              <w:top w:val="nil"/>
              <w:left w:val="single" w:sz="8" w:space="0" w:color="000000"/>
              <w:bottom w:val="nil"/>
              <w:right w:val="nil"/>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28</w:t>
            </w:r>
          </w:p>
        </w:tc>
        <w:tc>
          <w:tcPr>
            <w:tcW w:w="961" w:type="dxa"/>
            <w:gridSpan w:val="2"/>
            <w:tcBorders>
              <w:top w:val="nil"/>
              <w:left w:val="nil"/>
              <w:bottom w:val="nil"/>
              <w:right w:val="single" w:sz="4" w:space="0" w:color="000000"/>
            </w:tcBorders>
            <w:vAlign w:val="center"/>
          </w:tcPr>
          <w:p w:rsidR="00611440" w:rsidRPr="00EE25F3" w:rsidRDefault="00611440" w:rsidP="005E474B">
            <w:pPr>
              <w:widowControl/>
              <w:jc w:val="center"/>
              <w:rPr>
                <w:rFonts w:ascii="宋体" w:hAnsi="宋体" w:cs="宋体"/>
                <w:kern w:val="0"/>
                <w:sz w:val="20"/>
                <w:szCs w:val="20"/>
              </w:rPr>
            </w:pPr>
            <w:r>
              <w:rPr>
                <w:rFonts w:ascii="宋体" w:hAnsi="宋体" w:cs="宋体" w:hint="eastAsia"/>
                <w:kern w:val="0"/>
                <w:sz w:val="20"/>
                <w:szCs w:val="20"/>
              </w:rPr>
              <w:t>0</w:t>
            </w:r>
          </w:p>
        </w:tc>
        <w:tc>
          <w:tcPr>
            <w:tcW w:w="2866" w:type="dxa"/>
            <w:tcBorders>
              <w:top w:val="nil"/>
              <w:left w:val="nil"/>
              <w:bottom w:val="nil"/>
              <w:right w:val="nil"/>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57</w:t>
            </w:r>
          </w:p>
        </w:tc>
        <w:tc>
          <w:tcPr>
            <w:tcW w:w="907" w:type="dxa"/>
            <w:tcBorders>
              <w:top w:val="nil"/>
              <w:left w:val="nil"/>
              <w:bottom w:val="nil"/>
              <w:right w:val="single" w:sz="8" w:space="0" w:color="000000"/>
            </w:tcBorders>
            <w:vAlign w:val="center"/>
          </w:tcPr>
          <w:p w:rsidR="00611440" w:rsidRPr="00D37E92" w:rsidRDefault="00611440" w:rsidP="005E474B">
            <w:pPr>
              <w:widowControl/>
              <w:jc w:val="center"/>
              <w:rPr>
                <w:rFonts w:ascii="宋体" w:hAnsi="宋体" w:cs="宋体"/>
                <w:kern w:val="0"/>
                <w:sz w:val="20"/>
                <w:szCs w:val="20"/>
              </w:rPr>
            </w:pPr>
            <w:r>
              <w:rPr>
                <w:rFonts w:ascii="宋体" w:hAnsi="宋体" w:cs="宋体" w:hint="eastAsia"/>
                <w:kern w:val="0"/>
                <w:sz w:val="20"/>
                <w:szCs w:val="20"/>
              </w:rPr>
              <w:t>0</w:t>
            </w:r>
          </w:p>
        </w:tc>
      </w:tr>
      <w:tr w:rsidR="00611440" w:rsidRPr="00EE25F3" w:rsidTr="005E474B">
        <w:trPr>
          <w:trHeight w:val="289"/>
        </w:trPr>
        <w:tc>
          <w:tcPr>
            <w:tcW w:w="2992" w:type="dxa"/>
            <w:tcBorders>
              <w:top w:val="single" w:sz="4" w:space="0" w:color="000000"/>
              <w:left w:val="single" w:sz="8" w:space="0" w:color="000000"/>
              <w:bottom w:val="single" w:sz="8" w:space="0" w:color="000000"/>
              <w:right w:val="nil"/>
            </w:tcBorders>
            <w:shd w:val="clear" w:color="auto" w:fill="FFFFFF"/>
            <w:vAlign w:val="center"/>
          </w:tcPr>
          <w:p w:rsidR="00611440" w:rsidRPr="00EE25F3" w:rsidRDefault="00611440" w:rsidP="005E474B">
            <w:pPr>
              <w:widowControl/>
              <w:jc w:val="center"/>
              <w:rPr>
                <w:rFonts w:ascii="宋体" w:hAnsi="宋体" w:cs="宋体"/>
                <w:b/>
                <w:bCs/>
                <w:kern w:val="0"/>
                <w:sz w:val="20"/>
                <w:szCs w:val="20"/>
              </w:rPr>
            </w:pPr>
            <w:r w:rsidRPr="00EE25F3">
              <w:rPr>
                <w:rFonts w:ascii="宋体" w:hAnsi="宋体" w:cs="宋体" w:hint="eastAsia"/>
                <w:b/>
                <w:bCs/>
                <w:kern w:val="0"/>
                <w:sz w:val="20"/>
                <w:szCs w:val="20"/>
              </w:rPr>
              <w:t>合计</w:t>
            </w:r>
          </w:p>
        </w:tc>
        <w:tc>
          <w:tcPr>
            <w:tcW w:w="567" w:type="dxa"/>
            <w:gridSpan w:val="2"/>
            <w:tcBorders>
              <w:top w:val="nil"/>
              <w:left w:val="single" w:sz="4" w:space="0" w:color="000000"/>
              <w:bottom w:val="single" w:sz="8"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29</w:t>
            </w:r>
          </w:p>
        </w:tc>
        <w:tc>
          <w:tcPr>
            <w:tcW w:w="961" w:type="dxa"/>
            <w:gridSpan w:val="2"/>
            <w:tcBorders>
              <w:top w:val="single" w:sz="4" w:space="0" w:color="000000"/>
              <w:left w:val="nil"/>
              <w:bottom w:val="single" w:sz="8" w:space="0" w:color="000000"/>
              <w:right w:val="single" w:sz="4" w:space="0" w:color="000000"/>
            </w:tcBorders>
            <w:vAlign w:val="center"/>
          </w:tcPr>
          <w:p w:rsidR="00611440" w:rsidRPr="00EE25F3" w:rsidRDefault="00611440" w:rsidP="005E474B">
            <w:pPr>
              <w:widowControl/>
              <w:jc w:val="center"/>
              <w:rPr>
                <w:rFonts w:ascii="宋体" w:hAnsi="宋体" w:cs="宋体"/>
                <w:kern w:val="0"/>
                <w:sz w:val="20"/>
                <w:szCs w:val="20"/>
              </w:rPr>
            </w:pPr>
            <w:r>
              <w:rPr>
                <w:rFonts w:ascii="宋体" w:hAnsi="宋体" w:cs="宋体" w:hint="eastAsia"/>
                <w:kern w:val="0"/>
                <w:sz w:val="20"/>
                <w:szCs w:val="20"/>
              </w:rPr>
              <w:t>669.66</w:t>
            </w:r>
          </w:p>
        </w:tc>
        <w:tc>
          <w:tcPr>
            <w:tcW w:w="2866" w:type="dxa"/>
            <w:tcBorders>
              <w:top w:val="single" w:sz="4" w:space="0" w:color="000000"/>
              <w:left w:val="nil"/>
              <w:bottom w:val="single" w:sz="8" w:space="0" w:color="000000"/>
              <w:right w:val="nil"/>
            </w:tcBorders>
            <w:shd w:val="clear" w:color="auto" w:fill="FFFFFF"/>
            <w:vAlign w:val="center"/>
          </w:tcPr>
          <w:p w:rsidR="00611440" w:rsidRPr="00EE25F3" w:rsidRDefault="00611440" w:rsidP="005E474B">
            <w:pPr>
              <w:widowControl/>
              <w:jc w:val="center"/>
              <w:rPr>
                <w:rFonts w:ascii="宋体" w:hAnsi="宋体" w:cs="宋体"/>
                <w:b/>
                <w:bCs/>
                <w:kern w:val="0"/>
                <w:sz w:val="20"/>
                <w:szCs w:val="20"/>
              </w:rPr>
            </w:pPr>
            <w:r w:rsidRPr="00EE25F3">
              <w:rPr>
                <w:rFonts w:ascii="宋体" w:hAnsi="宋体" w:cs="宋体" w:hint="eastAsia"/>
                <w:b/>
                <w:bCs/>
                <w:kern w:val="0"/>
                <w:sz w:val="20"/>
                <w:szCs w:val="20"/>
              </w:rPr>
              <w:t>合计</w:t>
            </w:r>
          </w:p>
        </w:tc>
        <w:tc>
          <w:tcPr>
            <w:tcW w:w="567" w:type="dxa"/>
            <w:gridSpan w:val="2"/>
            <w:tcBorders>
              <w:top w:val="nil"/>
              <w:left w:val="single" w:sz="4" w:space="0" w:color="000000"/>
              <w:bottom w:val="single" w:sz="8" w:space="0" w:color="000000"/>
              <w:right w:val="single" w:sz="4" w:space="0" w:color="000000"/>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58</w:t>
            </w:r>
          </w:p>
        </w:tc>
        <w:tc>
          <w:tcPr>
            <w:tcW w:w="907" w:type="dxa"/>
            <w:tcBorders>
              <w:top w:val="single" w:sz="4" w:space="0" w:color="000000"/>
              <w:left w:val="nil"/>
              <w:bottom w:val="single" w:sz="8" w:space="0" w:color="000000"/>
              <w:right w:val="single" w:sz="8" w:space="0" w:color="000000"/>
            </w:tcBorders>
            <w:vAlign w:val="center"/>
          </w:tcPr>
          <w:p w:rsidR="00611440" w:rsidRPr="00D37E92" w:rsidRDefault="00611440" w:rsidP="005E474B">
            <w:pPr>
              <w:widowControl/>
              <w:jc w:val="center"/>
              <w:rPr>
                <w:rFonts w:ascii="宋体" w:hAnsi="宋体" w:cs="宋体"/>
                <w:bCs/>
                <w:kern w:val="0"/>
                <w:sz w:val="20"/>
                <w:szCs w:val="20"/>
              </w:rPr>
            </w:pPr>
            <w:r w:rsidRPr="00D37E92">
              <w:rPr>
                <w:rFonts w:ascii="宋体" w:hAnsi="宋体" w:cs="宋体" w:hint="eastAsia"/>
                <w:bCs/>
                <w:kern w:val="0"/>
                <w:sz w:val="20"/>
                <w:szCs w:val="20"/>
              </w:rPr>
              <w:t>669.66</w:t>
            </w:r>
          </w:p>
        </w:tc>
      </w:tr>
      <w:tr w:rsidR="00611440" w:rsidRPr="00EE25F3" w:rsidTr="005E474B">
        <w:trPr>
          <w:trHeight w:val="750"/>
        </w:trPr>
        <w:tc>
          <w:tcPr>
            <w:tcW w:w="8860" w:type="dxa"/>
            <w:gridSpan w:val="9"/>
            <w:tcBorders>
              <w:top w:val="single" w:sz="8" w:space="0" w:color="000000"/>
              <w:left w:val="nil"/>
              <w:bottom w:val="nil"/>
              <w:right w:val="nil"/>
            </w:tcBorders>
            <w:vAlign w:val="center"/>
          </w:tcPr>
          <w:p w:rsidR="008A68F2" w:rsidRPr="00EE25F3" w:rsidRDefault="00611440" w:rsidP="008A68F2">
            <w:pPr>
              <w:widowControl/>
              <w:jc w:val="left"/>
              <w:rPr>
                <w:rFonts w:ascii="宋体" w:hAnsi="宋体" w:cs="宋体"/>
                <w:kern w:val="0"/>
                <w:sz w:val="20"/>
                <w:szCs w:val="20"/>
              </w:rPr>
            </w:pPr>
            <w:r w:rsidRPr="00EE25F3">
              <w:rPr>
                <w:rFonts w:ascii="宋体" w:hAnsi="宋体" w:cs="宋体" w:hint="eastAsia"/>
                <w:kern w:val="0"/>
                <w:sz w:val="20"/>
                <w:szCs w:val="20"/>
              </w:rPr>
              <w:t>注：本表反映部门本年度的总收支和年末结转结余情况(不含政府性基金)。</w:t>
            </w:r>
            <w:r w:rsidRPr="00EE25F3">
              <w:rPr>
                <w:rFonts w:ascii="宋体" w:hAnsi="宋体" w:cs="宋体" w:hint="eastAsia"/>
                <w:kern w:val="0"/>
                <w:sz w:val="20"/>
                <w:szCs w:val="20"/>
              </w:rPr>
              <w:br/>
              <w:t xml:space="preserve">    25行＝（1+2+3+4+5+6）行；29行＝（25+26+27）行；54行＝（30+31+…+52）行；58行＝（54+55+56）行。</w:t>
            </w:r>
          </w:p>
        </w:tc>
      </w:tr>
    </w:tbl>
    <w:p w:rsidR="00DA1988" w:rsidRDefault="00611440" w:rsidP="00611440">
      <w:pPr>
        <w:widowControl/>
        <w:spacing w:line="62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 xml:space="preserve">附件2：     </w:t>
      </w:r>
    </w:p>
    <w:p w:rsidR="00611440" w:rsidRPr="00EE25F3" w:rsidRDefault="00611440" w:rsidP="00DA1988">
      <w:pPr>
        <w:widowControl/>
        <w:spacing w:line="620" w:lineRule="atLeast"/>
        <w:jc w:val="center"/>
        <w:rPr>
          <w:rFonts w:ascii="仿宋_GB2312" w:eastAsia="仿宋_GB2312" w:hAnsi="宋体" w:cs="宋体"/>
          <w:kern w:val="0"/>
          <w:sz w:val="32"/>
          <w:szCs w:val="32"/>
        </w:rPr>
      </w:pPr>
      <w:r w:rsidRPr="00EE25F3">
        <w:rPr>
          <w:rFonts w:ascii="仿宋_GB2312" w:eastAsia="仿宋_GB2312" w:hAnsi="宋体" w:cs="宋体" w:hint="eastAsia"/>
          <w:kern w:val="0"/>
          <w:sz w:val="32"/>
          <w:szCs w:val="32"/>
        </w:rPr>
        <w:t>公共预算财政拨款支出决算表</w:t>
      </w:r>
    </w:p>
    <w:tbl>
      <w:tblPr>
        <w:tblW w:w="18375" w:type="dxa"/>
        <w:tblInd w:w="93" w:type="dxa"/>
        <w:tblLayout w:type="fixed"/>
        <w:tblLook w:val="0000"/>
      </w:tblPr>
      <w:tblGrid>
        <w:gridCol w:w="560"/>
        <w:gridCol w:w="560"/>
        <w:gridCol w:w="29"/>
        <w:gridCol w:w="1211"/>
        <w:gridCol w:w="2155"/>
        <w:gridCol w:w="1980"/>
        <w:gridCol w:w="1980"/>
        <w:gridCol w:w="1980"/>
        <w:gridCol w:w="1980"/>
        <w:gridCol w:w="1980"/>
        <w:gridCol w:w="1980"/>
        <w:gridCol w:w="1980"/>
      </w:tblGrid>
      <w:tr w:rsidR="00611440" w:rsidRPr="00EE25F3" w:rsidTr="005E474B">
        <w:trPr>
          <w:gridAfter w:val="5"/>
          <w:wAfter w:w="9900" w:type="dxa"/>
          <w:trHeight w:val="222"/>
        </w:trPr>
        <w:tc>
          <w:tcPr>
            <w:tcW w:w="560" w:type="dxa"/>
            <w:tcBorders>
              <w:top w:val="nil"/>
              <w:left w:val="nil"/>
              <w:bottom w:val="nil"/>
              <w:right w:val="nil"/>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 xml:space="preserve">　</w:t>
            </w:r>
          </w:p>
        </w:tc>
        <w:tc>
          <w:tcPr>
            <w:tcW w:w="560" w:type="dxa"/>
            <w:tcBorders>
              <w:top w:val="nil"/>
              <w:left w:val="nil"/>
              <w:bottom w:val="nil"/>
              <w:right w:val="nil"/>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 xml:space="preserve">　</w:t>
            </w:r>
          </w:p>
        </w:tc>
        <w:tc>
          <w:tcPr>
            <w:tcW w:w="1240" w:type="dxa"/>
            <w:gridSpan w:val="2"/>
            <w:tcBorders>
              <w:top w:val="nil"/>
              <w:left w:val="nil"/>
              <w:bottom w:val="nil"/>
              <w:right w:val="nil"/>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 xml:space="preserve">　</w:t>
            </w:r>
          </w:p>
        </w:tc>
        <w:tc>
          <w:tcPr>
            <w:tcW w:w="2155" w:type="dxa"/>
            <w:tcBorders>
              <w:top w:val="nil"/>
              <w:left w:val="nil"/>
              <w:bottom w:val="nil"/>
              <w:right w:val="nil"/>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1980" w:type="dxa"/>
            <w:tcBorders>
              <w:top w:val="nil"/>
              <w:left w:val="nil"/>
              <w:bottom w:val="nil"/>
              <w:right w:val="nil"/>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1980" w:type="dxa"/>
            <w:tcBorders>
              <w:top w:val="nil"/>
              <w:left w:val="nil"/>
              <w:bottom w:val="nil"/>
              <w:right w:val="nil"/>
            </w:tcBorders>
            <w:shd w:val="clear" w:color="auto" w:fill="FFFFFF"/>
            <w:vAlign w:val="center"/>
          </w:tcPr>
          <w:p w:rsidR="00611440" w:rsidRPr="00EE25F3" w:rsidRDefault="00611440" w:rsidP="005E474B">
            <w:pPr>
              <w:widowControl/>
              <w:jc w:val="right"/>
              <w:rPr>
                <w:rFonts w:ascii="宋体" w:hAnsi="宋体" w:cs="宋体"/>
                <w:color w:val="000000"/>
                <w:kern w:val="0"/>
                <w:sz w:val="20"/>
                <w:szCs w:val="20"/>
              </w:rPr>
            </w:pPr>
            <w:r w:rsidRPr="00EE25F3">
              <w:rPr>
                <w:rFonts w:ascii="宋体" w:hAnsi="宋体" w:cs="宋体" w:hint="eastAsia"/>
                <w:color w:val="000000"/>
                <w:kern w:val="0"/>
                <w:sz w:val="20"/>
                <w:szCs w:val="20"/>
              </w:rPr>
              <w:t>公开02表</w:t>
            </w:r>
          </w:p>
        </w:tc>
      </w:tr>
      <w:tr w:rsidR="00611440" w:rsidRPr="00EE25F3" w:rsidTr="00B84894">
        <w:trPr>
          <w:gridAfter w:val="5"/>
          <w:wAfter w:w="9900" w:type="dxa"/>
          <w:trHeight w:val="340"/>
        </w:trPr>
        <w:tc>
          <w:tcPr>
            <w:tcW w:w="1120" w:type="dxa"/>
            <w:gridSpan w:val="2"/>
            <w:tcBorders>
              <w:top w:val="nil"/>
              <w:left w:val="nil"/>
              <w:bottom w:val="nil"/>
              <w:right w:val="nil"/>
            </w:tcBorders>
            <w:shd w:val="clear" w:color="auto" w:fill="FFFFFF"/>
            <w:vAlign w:val="center"/>
          </w:tcPr>
          <w:p w:rsidR="00611440" w:rsidRPr="00EE25F3" w:rsidRDefault="00611440" w:rsidP="005E474B">
            <w:pPr>
              <w:widowControl/>
              <w:jc w:val="left"/>
              <w:rPr>
                <w:rFonts w:ascii="宋体" w:hAnsi="宋体" w:cs="宋体"/>
                <w:color w:val="000000"/>
                <w:kern w:val="0"/>
                <w:sz w:val="20"/>
                <w:szCs w:val="20"/>
              </w:rPr>
            </w:pPr>
            <w:r w:rsidRPr="00EE25F3">
              <w:rPr>
                <w:rFonts w:ascii="宋体" w:hAnsi="宋体" w:cs="宋体" w:hint="eastAsia"/>
                <w:color w:val="000000"/>
                <w:kern w:val="0"/>
                <w:sz w:val="20"/>
                <w:szCs w:val="20"/>
              </w:rPr>
              <w:t>部门：</w:t>
            </w:r>
            <w:r>
              <w:rPr>
                <w:rFonts w:ascii="宋体" w:hAnsi="宋体" w:cs="宋体" w:hint="eastAsia"/>
                <w:color w:val="000000"/>
                <w:kern w:val="0"/>
                <w:sz w:val="20"/>
                <w:szCs w:val="20"/>
              </w:rPr>
              <w:t>妇联</w:t>
            </w:r>
          </w:p>
        </w:tc>
        <w:tc>
          <w:tcPr>
            <w:tcW w:w="1240" w:type="dxa"/>
            <w:gridSpan w:val="2"/>
            <w:tcBorders>
              <w:top w:val="nil"/>
              <w:left w:val="nil"/>
              <w:bottom w:val="nil"/>
              <w:right w:val="nil"/>
            </w:tcBorders>
            <w:shd w:val="clear" w:color="auto" w:fill="FFFFFF"/>
            <w:vAlign w:val="center"/>
          </w:tcPr>
          <w:p w:rsidR="00611440" w:rsidRPr="00EE25F3" w:rsidRDefault="00611440" w:rsidP="005E474B">
            <w:pPr>
              <w:widowControl/>
              <w:jc w:val="center"/>
              <w:rPr>
                <w:rFonts w:ascii="宋体" w:hAnsi="宋体" w:cs="宋体"/>
                <w:kern w:val="0"/>
                <w:sz w:val="20"/>
                <w:szCs w:val="20"/>
              </w:rPr>
            </w:pPr>
            <w:r w:rsidRPr="00EE25F3">
              <w:rPr>
                <w:rFonts w:ascii="宋体" w:hAnsi="宋体" w:cs="宋体" w:hint="eastAsia"/>
                <w:kern w:val="0"/>
                <w:sz w:val="20"/>
                <w:szCs w:val="20"/>
              </w:rPr>
              <w:t xml:space="preserve">　</w:t>
            </w:r>
          </w:p>
        </w:tc>
        <w:tc>
          <w:tcPr>
            <w:tcW w:w="2155" w:type="dxa"/>
            <w:tcBorders>
              <w:top w:val="nil"/>
              <w:left w:val="nil"/>
              <w:bottom w:val="single" w:sz="8" w:space="0" w:color="000000"/>
              <w:right w:val="nil"/>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1980" w:type="dxa"/>
            <w:tcBorders>
              <w:top w:val="nil"/>
              <w:left w:val="nil"/>
              <w:bottom w:val="single" w:sz="8" w:space="0" w:color="000000"/>
              <w:right w:val="nil"/>
            </w:tcBorders>
            <w:shd w:val="clear" w:color="auto" w:fill="FFFFFF"/>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p>
        </w:tc>
        <w:tc>
          <w:tcPr>
            <w:tcW w:w="1980" w:type="dxa"/>
            <w:tcBorders>
              <w:top w:val="nil"/>
              <w:left w:val="nil"/>
              <w:bottom w:val="single" w:sz="4" w:space="0" w:color="auto"/>
              <w:right w:val="nil"/>
            </w:tcBorders>
            <w:shd w:val="clear" w:color="auto" w:fill="FFFFFF"/>
            <w:vAlign w:val="center"/>
          </w:tcPr>
          <w:p w:rsidR="00611440" w:rsidRPr="00EE25F3" w:rsidRDefault="00611440" w:rsidP="005E474B">
            <w:pPr>
              <w:widowControl/>
              <w:jc w:val="right"/>
              <w:rPr>
                <w:rFonts w:ascii="宋体" w:hAnsi="宋体" w:cs="宋体"/>
                <w:color w:val="000000"/>
                <w:kern w:val="0"/>
                <w:sz w:val="20"/>
                <w:szCs w:val="20"/>
              </w:rPr>
            </w:pPr>
            <w:r w:rsidRPr="00EE25F3">
              <w:rPr>
                <w:rFonts w:ascii="宋体" w:hAnsi="宋体" w:cs="宋体" w:hint="eastAsia"/>
                <w:color w:val="000000"/>
                <w:kern w:val="0"/>
                <w:sz w:val="20"/>
                <w:szCs w:val="20"/>
              </w:rPr>
              <w:t>单位：万元</w:t>
            </w:r>
          </w:p>
        </w:tc>
      </w:tr>
      <w:tr w:rsidR="00611440" w:rsidRPr="00EE25F3" w:rsidTr="00B84894">
        <w:trPr>
          <w:gridAfter w:val="5"/>
          <w:wAfter w:w="9900" w:type="dxa"/>
          <w:trHeight w:val="405"/>
        </w:trPr>
        <w:tc>
          <w:tcPr>
            <w:tcW w:w="2360" w:type="dxa"/>
            <w:gridSpan w:val="4"/>
            <w:tcBorders>
              <w:top w:val="single" w:sz="8" w:space="0" w:color="000000"/>
              <w:left w:val="single" w:sz="8" w:space="0" w:color="000000"/>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sidRPr="00EE25F3">
              <w:rPr>
                <w:rFonts w:ascii="宋体" w:hAnsi="宋体" w:cs="宋体" w:hint="eastAsia"/>
                <w:kern w:val="0"/>
                <w:sz w:val="24"/>
              </w:rPr>
              <w:t xml:space="preserve">项 </w:t>
            </w:r>
            <w:r w:rsidRPr="00EE25F3">
              <w:rPr>
                <w:rFonts w:ascii="宋体" w:hAnsi="宋体" w:cs="宋体" w:hint="eastAsia"/>
                <w:color w:val="000000"/>
                <w:kern w:val="0"/>
                <w:sz w:val="22"/>
                <w:szCs w:val="22"/>
              </w:rPr>
              <w:t xml:space="preserve">   </w:t>
            </w:r>
            <w:r w:rsidRPr="00EE25F3">
              <w:rPr>
                <w:rFonts w:ascii="宋体" w:hAnsi="宋体" w:cs="宋体" w:hint="eastAsia"/>
                <w:kern w:val="0"/>
                <w:sz w:val="24"/>
              </w:rPr>
              <w:t>目</w:t>
            </w:r>
          </w:p>
        </w:tc>
        <w:tc>
          <w:tcPr>
            <w:tcW w:w="2155" w:type="dxa"/>
            <w:vMerge w:val="restart"/>
            <w:tcBorders>
              <w:top w:val="nil"/>
              <w:left w:val="nil"/>
              <w:bottom w:val="single" w:sz="4" w:space="0" w:color="000000"/>
              <w:right w:val="nil"/>
            </w:tcBorders>
            <w:vAlign w:val="center"/>
          </w:tcPr>
          <w:p w:rsidR="00611440" w:rsidRPr="00EE25F3" w:rsidRDefault="00611440" w:rsidP="005E474B">
            <w:pPr>
              <w:widowControl/>
              <w:jc w:val="center"/>
              <w:rPr>
                <w:rFonts w:ascii="宋体" w:hAnsi="宋体" w:cs="宋体"/>
                <w:kern w:val="0"/>
                <w:sz w:val="24"/>
              </w:rPr>
            </w:pPr>
            <w:r w:rsidRPr="00EE25F3">
              <w:rPr>
                <w:rFonts w:ascii="宋体" w:hAnsi="宋体" w:cs="宋体" w:hint="eastAsia"/>
                <w:kern w:val="0"/>
                <w:sz w:val="24"/>
              </w:rPr>
              <w:t>合计</w:t>
            </w:r>
          </w:p>
        </w:tc>
        <w:tc>
          <w:tcPr>
            <w:tcW w:w="1980" w:type="dxa"/>
            <w:vMerge w:val="restart"/>
            <w:tcBorders>
              <w:top w:val="nil"/>
              <w:left w:val="single" w:sz="4" w:space="0" w:color="000000"/>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sidRPr="00EE25F3">
              <w:rPr>
                <w:rFonts w:ascii="宋体" w:hAnsi="宋体" w:cs="宋体" w:hint="eastAsia"/>
                <w:kern w:val="0"/>
                <w:sz w:val="24"/>
              </w:rPr>
              <w:t xml:space="preserve">基本支出  </w:t>
            </w:r>
          </w:p>
        </w:tc>
        <w:tc>
          <w:tcPr>
            <w:tcW w:w="1980" w:type="dxa"/>
            <w:vMerge w:val="restart"/>
            <w:tcBorders>
              <w:top w:val="single" w:sz="4" w:space="0" w:color="auto"/>
              <w:left w:val="nil"/>
              <w:bottom w:val="single" w:sz="4" w:space="0" w:color="000000"/>
              <w:right w:val="single" w:sz="8" w:space="0" w:color="000000"/>
            </w:tcBorders>
            <w:vAlign w:val="center"/>
          </w:tcPr>
          <w:p w:rsidR="00611440" w:rsidRPr="00EE25F3" w:rsidRDefault="00611440" w:rsidP="005E474B">
            <w:pPr>
              <w:widowControl/>
              <w:jc w:val="center"/>
              <w:rPr>
                <w:rFonts w:ascii="宋体" w:hAnsi="宋体" w:cs="宋体"/>
                <w:kern w:val="0"/>
                <w:sz w:val="24"/>
              </w:rPr>
            </w:pPr>
            <w:r w:rsidRPr="00EE25F3">
              <w:rPr>
                <w:rFonts w:ascii="宋体" w:hAnsi="宋体" w:cs="宋体" w:hint="eastAsia"/>
                <w:kern w:val="0"/>
                <w:sz w:val="24"/>
              </w:rPr>
              <w:t>项目支出</w:t>
            </w:r>
          </w:p>
        </w:tc>
      </w:tr>
      <w:tr w:rsidR="00611440" w:rsidRPr="00EE25F3" w:rsidTr="005E474B">
        <w:trPr>
          <w:gridAfter w:val="4"/>
          <w:wAfter w:w="7920" w:type="dxa"/>
          <w:trHeight w:val="495"/>
        </w:trPr>
        <w:tc>
          <w:tcPr>
            <w:tcW w:w="1120" w:type="dxa"/>
            <w:gridSpan w:val="2"/>
            <w:vMerge w:val="restart"/>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sidRPr="00EE25F3">
              <w:rPr>
                <w:rFonts w:ascii="宋体" w:hAnsi="宋体" w:cs="宋体" w:hint="eastAsia"/>
                <w:kern w:val="0"/>
                <w:sz w:val="24"/>
              </w:rPr>
              <w:t>科目编码</w:t>
            </w:r>
          </w:p>
        </w:tc>
        <w:tc>
          <w:tcPr>
            <w:tcW w:w="1240" w:type="dxa"/>
            <w:gridSpan w:val="2"/>
            <w:vMerge w:val="restart"/>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sidRPr="00EE25F3">
              <w:rPr>
                <w:rFonts w:ascii="宋体" w:hAnsi="宋体" w:cs="宋体" w:hint="eastAsia"/>
                <w:kern w:val="0"/>
                <w:sz w:val="24"/>
              </w:rPr>
              <w:t>科目名称</w:t>
            </w:r>
          </w:p>
        </w:tc>
        <w:tc>
          <w:tcPr>
            <w:tcW w:w="2155" w:type="dxa"/>
            <w:vMerge/>
            <w:tcBorders>
              <w:top w:val="nil"/>
              <w:left w:val="nil"/>
              <w:bottom w:val="single" w:sz="4" w:space="0" w:color="000000"/>
              <w:right w:val="nil"/>
            </w:tcBorders>
            <w:vAlign w:val="center"/>
          </w:tcPr>
          <w:p w:rsidR="00611440" w:rsidRPr="00EE25F3" w:rsidRDefault="00611440" w:rsidP="005E474B">
            <w:pPr>
              <w:widowControl/>
              <w:jc w:val="left"/>
              <w:rPr>
                <w:rFonts w:ascii="宋体" w:hAnsi="宋体" w:cs="宋体"/>
                <w:kern w:val="0"/>
                <w:sz w:val="24"/>
              </w:rPr>
            </w:pPr>
          </w:p>
        </w:tc>
        <w:tc>
          <w:tcPr>
            <w:tcW w:w="1980" w:type="dxa"/>
            <w:vMerge/>
            <w:tcBorders>
              <w:top w:val="nil"/>
              <w:left w:val="single" w:sz="4"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4"/>
              </w:rPr>
            </w:pPr>
          </w:p>
        </w:tc>
        <w:tc>
          <w:tcPr>
            <w:tcW w:w="1980" w:type="dxa"/>
            <w:vMerge/>
            <w:tcBorders>
              <w:top w:val="nil"/>
              <w:left w:val="nil"/>
              <w:bottom w:val="single" w:sz="4" w:space="0" w:color="000000"/>
              <w:right w:val="single" w:sz="8" w:space="0" w:color="000000"/>
            </w:tcBorders>
            <w:vAlign w:val="center"/>
          </w:tcPr>
          <w:p w:rsidR="00611440" w:rsidRPr="00EE25F3" w:rsidRDefault="00611440" w:rsidP="005E474B">
            <w:pPr>
              <w:widowControl/>
              <w:jc w:val="left"/>
              <w:rPr>
                <w:rFonts w:ascii="宋体" w:hAnsi="宋体" w:cs="宋体"/>
                <w:kern w:val="0"/>
                <w:sz w:val="24"/>
              </w:rPr>
            </w:pPr>
          </w:p>
        </w:tc>
        <w:tc>
          <w:tcPr>
            <w:tcW w:w="1980" w:type="dxa"/>
            <w:vAlign w:val="center"/>
          </w:tcPr>
          <w:p w:rsidR="00611440" w:rsidRPr="00EE25F3" w:rsidRDefault="00611440" w:rsidP="005E474B">
            <w:pPr>
              <w:widowControl/>
              <w:jc w:val="center"/>
              <w:rPr>
                <w:rFonts w:ascii="宋体" w:hAnsi="宋体" w:cs="宋体"/>
                <w:kern w:val="0"/>
                <w:sz w:val="24"/>
              </w:rPr>
            </w:pPr>
          </w:p>
        </w:tc>
      </w:tr>
      <w:tr w:rsidR="00611440" w:rsidRPr="00EE25F3" w:rsidTr="005E474B">
        <w:trPr>
          <w:gridAfter w:val="4"/>
          <w:wAfter w:w="7920" w:type="dxa"/>
          <w:trHeight w:val="360"/>
        </w:trPr>
        <w:tc>
          <w:tcPr>
            <w:tcW w:w="1120" w:type="dxa"/>
            <w:gridSpan w:val="2"/>
            <w:vMerge/>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4"/>
              </w:rPr>
            </w:pPr>
          </w:p>
        </w:tc>
        <w:tc>
          <w:tcPr>
            <w:tcW w:w="1240" w:type="dxa"/>
            <w:gridSpan w:val="2"/>
            <w:vMerge/>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4"/>
              </w:rPr>
            </w:pPr>
          </w:p>
        </w:tc>
        <w:tc>
          <w:tcPr>
            <w:tcW w:w="2155" w:type="dxa"/>
            <w:vMerge/>
            <w:tcBorders>
              <w:top w:val="nil"/>
              <w:left w:val="nil"/>
              <w:bottom w:val="single" w:sz="4" w:space="0" w:color="000000"/>
              <w:right w:val="nil"/>
            </w:tcBorders>
            <w:vAlign w:val="center"/>
          </w:tcPr>
          <w:p w:rsidR="00611440" w:rsidRPr="00EE25F3" w:rsidRDefault="00611440" w:rsidP="005E474B">
            <w:pPr>
              <w:widowControl/>
              <w:jc w:val="left"/>
              <w:rPr>
                <w:rFonts w:ascii="宋体" w:hAnsi="宋体" w:cs="宋体"/>
                <w:kern w:val="0"/>
                <w:sz w:val="24"/>
              </w:rPr>
            </w:pPr>
          </w:p>
        </w:tc>
        <w:tc>
          <w:tcPr>
            <w:tcW w:w="1980" w:type="dxa"/>
            <w:vMerge/>
            <w:tcBorders>
              <w:top w:val="nil"/>
              <w:left w:val="single" w:sz="4"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4"/>
              </w:rPr>
            </w:pPr>
          </w:p>
        </w:tc>
        <w:tc>
          <w:tcPr>
            <w:tcW w:w="1980" w:type="dxa"/>
            <w:vMerge/>
            <w:tcBorders>
              <w:top w:val="nil"/>
              <w:left w:val="nil"/>
              <w:bottom w:val="single" w:sz="4" w:space="0" w:color="000000"/>
              <w:right w:val="single" w:sz="8" w:space="0" w:color="000000"/>
            </w:tcBorders>
            <w:vAlign w:val="center"/>
          </w:tcPr>
          <w:p w:rsidR="00611440" w:rsidRPr="00EE25F3" w:rsidRDefault="00611440" w:rsidP="005E474B">
            <w:pPr>
              <w:widowControl/>
              <w:jc w:val="left"/>
              <w:rPr>
                <w:rFonts w:ascii="宋体" w:hAnsi="宋体" w:cs="宋体"/>
                <w:kern w:val="0"/>
                <w:sz w:val="24"/>
              </w:rPr>
            </w:pPr>
          </w:p>
        </w:tc>
        <w:tc>
          <w:tcPr>
            <w:tcW w:w="1980" w:type="dxa"/>
            <w:vAlign w:val="center"/>
          </w:tcPr>
          <w:p w:rsidR="00611440" w:rsidRPr="00EE25F3" w:rsidRDefault="00611440" w:rsidP="005E474B">
            <w:pPr>
              <w:widowControl/>
              <w:jc w:val="left"/>
              <w:rPr>
                <w:rFonts w:ascii="宋体" w:hAnsi="宋体" w:cs="宋体"/>
                <w:kern w:val="0"/>
                <w:sz w:val="24"/>
              </w:rPr>
            </w:pPr>
          </w:p>
        </w:tc>
      </w:tr>
      <w:tr w:rsidR="00611440" w:rsidRPr="00EE25F3" w:rsidTr="005E474B">
        <w:trPr>
          <w:gridAfter w:val="4"/>
          <w:wAfter w:w="7920" w:type="dxa"/>
          <w:trHeight w:val="450"/>
        </w:trPr>
        <w:tc>
          <w:tcPr>
            <w:tcW w:w="1120" w:type="dxa"/>
            <w:gridSpan w:val="2"/>
            <w:vMerge/>
            <w:tcBorders>
              <w:top w:val="nil"/>
              <w:left w:val="single" w:sz="8"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4"/>
              </w:rPr>
            </w:pPr>
          </w:p>
        </w:tc>
        <w:tc>
          <w:tcPr>
            <w:tcW w:w="1240" w:type="dxa"/>
            <w:gridSpan w:val="2"/>
            <w:vMerge/>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4"/>
              </w:rPr>
            </w:pPr>
          </w:p>
        </w:tc>
        <w:tc>
          <w:tcPr>
            <w:tcW w:w="2155" w:type="dxa"/>
            <w:vMerge/>
            <w:tcBorders>
              <w:top w:val="nil"/>
              <w:left w:val="nil"/>
              <w:bottom w:val="single" w:sz="4" w:space="0" w:color="000000"/>
              <w:right w:val="nil"/>
            </w:tcBorders>
            <w:vAlign w:val="center"/>
          </w:tcPr>
          <w:p w:rsidR="00611440" w:rsidRPr="00EE25F3" w:rsidRDefault="00611440" w:rsidP="005E474B">
            <w:pPr>
              <w:widowControl/>
              <w:jc w:val="left"/>
              <w:rPr>
                <w:rFonts w:ascii="宋体" w:hAnsi="宋体" w:cs="宋体"/>
                <w:kern w:val="0"/>
                <w:sz w:val="24"/>
              </w:rPr>
            </w:pPr>
          </w:p>
        </w:tc>
        <w:tc>
          <w:tcPr>
            <w:tcW w:w="1980" w:type="dxa"/>
            <w:vMerge/>
            <w:tcBorders>
              <w:top w:val="nil"/>
              <w:left w:val="single" w:sz="4" w:space="0" w:color="000000"/>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4"/>
              </w:rPr>
            </w:pPr>
          </w:p>
        </w:tc>
        <w:tc>
          <w:tcPr>
            <w:tcW w:w="1980" w:type="dxa"/>
            <w:vMerge/>
            <w:tcBorders>
              <w:top w:val="nil"/>
              <w:left w:val="nil"/>
              <w:bottom w:val="single" w:sz="4" w:space="0" w:color="000000"/>
              <w:right w:val="single" w:sz="8" w:space="0" w:color="000000"/>
            </w:tcBorders>
            <w:vAlign w:val="center"/>
          </w:tcPr>
          <w:p w:rsidR="00611440" w:rsidRPr="00EE25F3" w:rsidRDefault="00611440" w:rsidP="005E474B">
            <w:pPr>
              <w:widowControl/>
              <w:jc w:val="left"/>
              <w:rPr>
                <w:rFonts w:ascii="宋体" w:hAnsi="宋体" w:cs="宋体"/>
                <w:kern w:val="0"/>
                <w:sz w:val="24"/>
              </w:rPr>
            </w:pPr>
          </w:p>
        </w:tc>
        <w:tc>
          <w:tcPr>
            <w:tcW w:w="1980" w:type="dxa"/>
            <w:vAlign w:val="center"/>
          </w:tcPr>
          <w:p w:rsidR="00611440" w:rsidRPr="00EE25F3" w:rsidRDefault="00611440" w:rsidP="005E474B">
            <w:pPr>
              <w:widowControl/>
              <w:jc w:val="left"/>
              <w:rPr>
                <w:rFonts w:ascii="宋体" w:hAnsi="宋体" w:cs="宋体"/>
                <w:kern w:val="0"/>
                <w:sz w:val="24"/>
              </w:rPr>
            </w:pPr>
          </w:p>
        </w:tc>
      </w:tr>
      <w:tr w:rsidR="00611440" w:rsidRPr="00EE25F3" w:rsidTr="005E474B">
        <w:trPr>
          <w:gridAfter w:val="3"/>
          <w:wAfter w:w="5940" w:type="dxa"/>
          <w:trHeight w:val="450"/>
        </w:trPr>
        <w:tc>
          <w:tcPr>
            <w:tcW w:w="2360" w:type="dxa"/>
            <w:gridSpan w:val="4"/>
            <w:tcBorders>
              <w:top w:val="single" w:sz="4" w:space="0" w:color="000000"/>
              <w:left w:val="single" w:sz="8" w:space="0" w:color="000000"/>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sidRPr="00EE25F3">
              <w:rPr>
                <w:rFonts w:ascii="宋体" w:hAnsi="宋体" w:cs="宋体" w:hint="eastAsia"/>
                <w:kern w:val="0"/>
                <w:sz w:val="24"/>
              </w:rPr>
              <w:t>栏次</w:t>
            </w:r>
          </w:p>
        </w:tc>
        <w:tc>
          <w:tcPr>
            <w:tcW w:w="2155" w:type="dxa"/>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sidRPr="00EE25F3">
              <w:rPr>
                <w:rFonts w:ascii="宋体" w:hAnsi="宋体" w:cs="宋体" w:hint="eastAsia"/>
                <w:kern w:val="0"/>
                <w:sz w:val="24"/>
              </w:rPr>
              <w:t>1</w:t>
            </w:r>
          </w:p>
        </w:tc>
        <w:tc>
          <w:tcPr>
            <w:tcW w:w="1980" w:type="dxa"/>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sidRPr="00EE25F3">
              <w:rPr>
                <w:rFonts w:ascii="宋体" w:hAnsi="宋体" w:cs="宋体" w:hint="eastAsia"/>
                <w:kern w:val="0"/>
                <w:sz w:val="24"/>
              </w:rPr>
              <w:t>2</w:t>
            </w:r>
          </w:p>
        </w:tc>
        <w:tc>
          <w:tcPr>
            <w:tcW w:w="1980" w:type="dxa"/>
            <w:tcBorders>
              <w:top w:val="nil"/>
              <w:left w:val="nil"/>
              <w:bottom w:val="single" w:sz="4" w:space="0" w:color="000000"/>
              <w:right w:val="single" w:sz="8" w:space="0" w:color="000000"/>
            </w:tcBorders>
            <w:vAlign w:val="center"/>
          </w:tcPr>
          <w:p w:rsidR="00611440" w:rsidRPr="00EE25F3" w:rsidRDefault="00611440" w:rsidP="005E474B">
            <w:pPr>
              <w:widowControl/>
              <w:jc w:val="center"/>
              <w:rPr>
                <w:rFonts w:ascii="宋体" w:hAnsi="宋体" w:cs="宋体"/>
                <w:kern w:val="0"/>
                <w:sz w:val="24"/>
              </w:rPr>
            </w:pPr>
            <w:r w:rsidRPr="00EE25F3">
              <w:rPr>
                <w:rFonts w:ascii="宋体" w:hAnsi="宋体" w:cs="宋体" w:hint="eastAsia"/>
                <w:kern w:val="0"/>
                <w:sz w:val="24"/>
              </w:rPr>
              <w:t>3</w:t>
            </w:r>
          </w:p>
        </w:tc>
        <w:tc>
          <w:tcPr>
            <w:tcW w:w="1980" w:type="dxa"/>
          </w:tcPr>
          <w:p w:rsidR="00611440" w:rsidRPr="00EE25F3" w:rsidRDefault="00611440" w:rsidP="005E474B">
            <w:pPr>
              <w:widowControl/>
              <w:jc w:val="left"/>
              <w:rPr>
                <w:kern w:val="0"/>
                <w:sz w:val="20"/>
                <w:szCs w:val="20"/>
              </w:rPr>
            </w:pPr>
          </w:p>
        </w:tc>
        <w:tc>
          <w:tcPr>
            <w:tcW w:w="1980" w:type="dxa"/>
            <w:vAlign w:val="center"/>
          </w:tcPr>
          <w:p w:rsidR="00611440" w:rsidRPr="00EE25F3" w:rsidRDefault="00611440" w:rsidP="005E474B">
            <w:pPr>
              <w:widowControl/>
              <w:jc w:val="left"/>
              <w:rPr>
                <w:rFonts w:ascii="宋体" w:hAnsi="宋体" w:cs="宋体"/>
                <w:kern w:val="0"/>
                <w:sz w:val="24"/>
              </w:rPr>
            </w:pPr>
          </w:p>
        </w:tc>
      </w:tr>
      <w:tr w:rsidR="00611440" w:rsidRPr="00EE25F3" w:rsidTr="005E474B">
        <w:trPr>
          <w:gridAfter w:val="3"/>
          <w:wAfter w:w="5940" w:type="dxa"/>
          <w:trHeight w:val="450"/>
        </w:trPr>
        <w:tc>
          <w:tcPr>
            <w:tcW w:w="2360" w:type="dxa"/>
            <w:gridSpan w:val="4"/>
            <w:tcBorders>
              <w:top w:val="single" w:sz="4" w:space="0" w:color="000000"/>
              <w:left w:val="single" w:sz="8" w:space="0" w:color="000000"/>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sidRPr="00EE25F3">
              <w:rPr>
                <w:rFonts w:ascii="宋体" w:hAnsi="宋体" w:cs="宋体" w:hint="eastAsia"/>
                <w:kern w:val="0"/>
                <w:sz w:val="24"/>
              </w:rPr>
              <w:t>合计</w:t>
            </w:r>
          </w:p>
        </w:tc>
        <w:tc>
          <w:tcPr>
            <w:tcW w:w="2155" w:type="dxa"/>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Pr>
                <w:rFonts w:ascii="宋体" w:hAnsi="宋体" w:cs="宋体" w:hint="eastAsia"/>
                <w:kern w:val="0"/>
                <w:sz w:val="24"/>
              </w:rPr>
              <w:t>609.79</w:t>
            </w:r>
          </w:p>
        </w:tc>
        <w:tc>
          <w:tcPr>
            <w:tcW w:w="1980" w:type="dxa"/>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Pr>
                <w:rFonts w:ascii="宋体" w:hAnsi="宋体" w:cs="宋体" w:hint="eastAsia"/>
                <w:kern w:val="0"/>
                <w:sz w:val="24"/>
              </w:rPr>
              <w:t>259.64</w:t>
            </w:r>
          </w:p>
        </w:tc>
        <w:tc>
          <w:tcPr>
            <w:tcW w:w="1980" w:type="dxa"/>
            <w:tcBorders>
              <w:top w:val="nil"/>
              <w:left w:val="nil"/>
              <w:bottom w:val="single" w:sz="4" w:space="0" w:color="000000"/>
              <w:right w:val="single" w:sz="8" w:space="0" w:color="000000"/>
            </w:tcBorders>
            <w:vAlign w:val="center"/>
          </w:tcPr>
          <w:p w:rsidR="00611440" w:rsidRPr="00EE25F3" w:rsidRDefault="00611440" w:rsidP="005E474B">
            <w:pPr>
              <w:widowControl/>
              <w:jc w:val="center"/>
              <w:rPr>
                <w:rFonts w:ascii="宋体" w:hAnsi="宋体" w:cs="宋体"/>
                <w:kern w:val="0"/>
                <w:sz w:val="24"/>
              </w:rPr>
            </w:pPr>
            <w:r>
              <w:rPr>
                <w:rFonts w:ascii="宋体" w:hAnsi="宋体" w:cs="宋体" w:hint="eastAsia"/>
                <w:kern w:val="0"/>
                <w:sz w:val="24"/>
              </w:rPr>
              <w:t>344.87</w:t>
            </w:r>
          </w:p>
        </w:tc>
        <w:tc>
          <w:tcPr>
            <w:tcW w:w="1980" w:type="dxa"/>
          </w:tcPr>
          <w:p w:rsidR="00611440" w:rsidRPr="00EE25F3" w:rsidRDefault="00611440" w:rsidP="005E474B">
            <w:pPr>
              <w:widowControl/>
              <w:jc w:val="left"/>
              <w:rPr>
                <w:kern w:val="0"/>
                <w:sz w:val="20"/>
                <w:szCs w:val="20"/>
              </w:rPr>
            </w:pPr>
          </w:p>
        </w:tc>
        <w:tc>
          <w:tcPr>
            <w:tcW w:w="1980" w:type="dxa"/>
            <w:vAlign w:val="center"/>
          </w:tcPr>
          <w:p w:rsidR="00611440" w:rsidRPr="00EE25F3" w:rsidRDefault="00611440" w:rsidP="005E474B">
            <w:pPr>
              <w:widowControl/>
              <w:jc w:val="center"/>
              <w:rPr>
                <w:rFonts w:ascii="宋体" w:hAnsi="宋体" w:cs="宋体"/>
                <w:kern w:val="0"/>
                <w:sz w:val="24"/>
              </w:rPr>
            </w:pPr>
            <w:r w:rsidRPr="00EE25F3">
              <w:rPr>
                <w:rFonts w:ascii="宋体" w:hAnsi="宋体" w:cs="宋体" w:hint="eastAsia"/>
                <w:kern w:val="0"/>
                <w:sz w:val="24"/>
              </w:rPr>
              <w:t>2</w:t>
            </w:r>
          </w:p>
        </w:tc>
      </w:tr>
      <w:tr w:rsidR="00611440" w:rsidRPr="00EE25F3" w:rsidTr="005E474B">
        <w:trPr>
          <w:gridAfter w:val="4"/>
          <w:wAfter w:w="7920" w:type="dxa"/>
          <w:trHeight w:val="450"/>
        </w:trPr>
        <w:tc>
          <w:tcPr>
            <w:tcW w:w="1149" w:type="dxa"/>
            <w:gridSpan w:val="3"/>
            <w:tcBorders>
              <w:top w:val="single" w:sz="4" w:space="0" w:color="000000"/>
              <w:left w:val="single" w:sz="8" w:space="0" w:color="000000"/>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Pr>
                <w:rFonts w:ascii="宋体" w:hAnsi="宋体" w:cs="宋体"/>
                <w:kern w:val="0"/>
                <w:sz w:val="24"/>
              </w:rPr>
              <w:t>201</w:t>
            </w:r>
            <w:r w:rsidRPr="00EE25F3">
              <w:rPr>
                <w:rFonts w:ascii="宋体" w:hAnsi="宋体" w:cs="宋体" w:hint="eastAsia"/>
                <w:kern w:val="0"/>
                <w:sz w:val="24"/>
              </w:rPr>
              <w:t xml:space="preserve">　</w:t>
            </w:r>
          </w:p>
        </w:tc>
        <w:tc>
          <w:tcPr>
            <w:tcW w:w="1211"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Pr>
                <w:rFonts w:ascii="宋体" w:hAnsi="宋体" w:cs="宋体" w:hint="eastAsia"/>
                <w:kern w:val="0"/>
                <w:sz w:val="20"/>
                <w:szCs w:val="20"/>
              </w:rPr>
              <w:t>一般公共服务</w:t>
            </w:r>
          </w:p>
        </w:tc>
        <w:tc>
          <w:tcPr>
            <w:tcW w:w="2155" w:type="dxa"/>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Pr>
                <w:rFonts w:ascii="宋体" w:hAnsi="宋体" w:cs="宋体" w:hint="eastAsia"/>
                <w:kern w:val="0"/>
                <w:sz w:val="24"/>
              </w:rPr>
              <w:t>178.65</w:t>
            </w:r>
          </w:p>
        </w:tc>
        <w:tc>
          <w:tcPr>
            <w:tcW w:w="1980" w:type="dxa"/>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Pr>
                <w:rFonts w:ascii="宋体" w:hAnsi="宋体" w:cs="宋体" w:hint="eastAsia"/>
                <w:kern w:val="0"/>
                <w:sz w:val="24"/>
              </w:rPr>
              <w:t>178.65</w:t>
            </w:r>
          </w:p>
        </w:tc>
        <w:tc>
          <w:tcPr>
            <w:tcW w:w="1980" w:type="dxa"/>
            <w:tcBorders>
              <w:top w:val="nil"/>
              <w:left w:val="nil"/>
              <w:bottom w:val="single" w:sz="4" w:space="0" w:color="000000"/>
              <w:right w:val="single" w:sz="8" w:space="0" w:color="000000"/>
            </w:tcBorders>
            <w:vAlign w:val="center"/>
          </w:tcPr>
          <w:p w:rsidR="00611440" w:rsidRPr="00EE25F3" w:rsidRDefault="00611440" w:rsidP="005E474B">
            <w:pPr>
              <w:widowControl/>
              <w:jc w:val="center"/>
              <w:rPr>
                <w:rFonts w:ascii="宋体" w:hAnsi="宋体" w:cs="宋体"/>
                <w:kern w:val="0"/>
                <w:sz w:val="24"/>
              </w:rPr>
            </w:pPr>
            <w:r>
              <w:rPr>
                <w:rFonts w:ascii="宋体" w:hAnsi="宋体" w:cs="宋体" w:hint="eastAsia"/>
                <w:kern w:val="0"/>
                <w:sz w:val="24"/>
              </w:rPr>
              <w:t>329.99</w:t>
            </w:r>
          </w:p>
        </w:tc>
        <w:tc>
          <w:tcPr>
            <w:tcW w:w="1980" w:type="dxa"/>
            <w:vAlign w:val="center"/>
          </w:tcPr>
          <w:p w:rsidR="00611440" w:rsidRPr="00EE25F3" w:rsidRDefault="00611440" w:rsidP="005E474B">
            <w:pPr>
              <w:widowControl/>
              <w:jc w:val="center"/>
              <w:rPr>
                <w:rFonts w:ascii="宋体" w:hAnsi="宋体" w:cs="宋体"/>
                <w:kern w:val="0"/>
                <w:sz w:val="24"/>
              </w:rPr>
            </w:pPr>
          </w:p>
        </w:tc>
      </w:tr>
      <w:tr w:rsidR="00611440" w:rsidRPr="00EE25F3" w:rsidTr="005E474B">
        <w:trPr>
          <w:gridAfter w:val="4"/>
          <w:wAfter w:w="7920" w:type="dxa"/>
          <w:trHeight w:val="450"/>
        </w:trPr>
        <w:tc>
          <w:tcPr>
            <w:tcW w:w="1149" w:type="dxa"/>
            <w:gridSpan w:val="3"/>
            <w:tcBorders>
              <w:top w:val="single" w:sz="4" w:space="0" w:color="000000"/>
              <w:left w:val="single" w:sz="8" w:space="0" w:color="000000"/>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Pr>
                <w:rFonts w:ascii="宋体" w:hAnsi="宋体" w:cs="宋体" w:hint="eastAsia"/>
                <w:kern w:val="0"/>
                <w:sz w:val="24"/>
              </w:rPr>
              <w:t>205</w:t>
            </w:r>
            <w:r w:rsidRPr="00EE25F3">
              <w:rPr>
                <w:rFonts w:ascii="宋体" w:hAnsi="宋体" w:cs="宋体" w:hint="eastAsia"/>
                <w:kern w:val="0"/>
                <w:sz w:val="24"/>
              </w:rPr>
              <w:t xml:space="preserve">　</w:t>
            </w:r>
          </w:p>
        </w:tc>
        <w:tc>
          <w:tcPr>
            <w:tcW w:w="1211"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4"/>
              </w:rPr>
            </w:pPr>
            <w:r w:rsidRPr="00EE25F3">
              <w:rPr>
                <w:rFonts w:ascii="宋体" w:hAnsi="宋体" w:cs="宋体" w:hint="eastAsia"/>
                <w:kern w:val="0"/>
                <w:sz w:val="24"/>
              </w:rPr>
              <w:t xml:space="preserve">　</w:t>
            </w:r>
            <w:r>
              <w:rPr>
                <w:rFonts w:ascii="宋体" w:hAnsi="宋体" w:cs="宋体" w:hint="eastAsia"/>
                <w:kern w:val="0"/>
                <w:sz w:val="24"/>
              </w:rPr>
              <w:t>教育</w:t>
            </w:r>
          </w:p>
        </w:tc>
        <w:tc>
          <w:tcPr>
            <w:tcW w:w="2155" w:type="dxa"/>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Pr>
                <w:rFonts w:ascii="宋体" w:hAnsi="宋体" w:cs="宋体" w:hint="eastAsia"/>
                <w:kern w:val="0"/>
                <w:sz w:val="24"/>
              </w:rPr>
              <w:t>0</w:t>
            </w:r>
          </w:p>
        </w:tc>
        <w:tc>
          <w:tcPr>
            <w:tcW w:w="1980" w:type="dxa"/>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Pr>
                <w:rFonts w:ascii="宋体" w:hAnsi="宋体" w:cs="宋体" w:hint="eastAsia"/>
                <w:kern w:val="0"/>
                <w:sz w:val="24"/>
              </w:rPr>
              <w:t>0</w:t>
            </w:r>
          </w:p>
        </w:tc>
        <w:tc>
          <w:tcPr>
            <w:tcW w:w="1980" w:type="dxa"/>
            <w:tcBorders>
              <w:top w:val="nil"/>
              <w:left w:val="nil"/>
              <w:bottom w:val="single" w:sz="4" w:space="0" w:color="000000"/>
              <w:right w:val="single" w:sz="8" w:space="0" w:color="000000"/>
            </w:tcBorders>
            <w:vAlign w:val="center"/>
          </w:tcPr>
          <w:p w:rsidR="00611440" w:rsidRPr="00EE25F3" w:rsidRDefault="00611440" w:rsidP="005E474B">
            <w:pPr>
              <w:widowControl/>
              <w:jc w:val="center"/>
              <w:rPr>
                <w:rFonts w:ascii="宋体" w:hAnsi="宋体" w:cs="宋体"/>
                <w:kern w:val="0"/>
                <w:sz w:val="24"/>
              </w:rPr>
            </w:pPr>
            <w:r>
              <w:rPr>
                <w:rFonts w:ascii="宋体" w:hAnsi="宋体" w:cs="宋体" w:hint="eastAsia"/>
                <w:kern w:val="0"/>
                <w:sz w:val="24"/>
              </w:rPr>
              <w:t>14.88</w:t>
            </w:r>
          </w:p>
        </w:tc>
        <w:tc>
          <w:tcPr>
            <w:tcW w:w="1980" w:type="dxa"/>
            <w:vAlign w:val="center"/>
          </w:tcPr>
          <w:p w:rsidR="00611440" w:rsidRPr="00EE25F3" w:rsidRDefault="00611440" w:rsidP="005E474B">
            <w:pPr>
              <w:widowControl/>
              <w:jc w:val="center"/>
              <w:rPr>
                <w:rFonts w:ascii="宋体" w:hAnsi="宋体" w:cs="宋体"/>
                <w:kern w:val="0"/>
                <w:sz w:val="24"/>
              </w:rPr>
            </w:pPr>
          </w:p>
        </w:tc>
      </w:tr>
      <w:tr w:rsidR="00611440" w:rsidRPr="00EE25F3" w:rsidTr="005E474B">
        <w:trPr>
          <w:gridAfter w:val="4"/>
          <w:wAfter w:w="7920" w:type="dxa"/>
          <w:trHeight w:val="450"/>
        </w:trPr>
        <w:tc>
          <w:tcPr>
            <w:tcW w:w="1149" w:type="dxa"/>
            <w:gridSpan w:val="3"/>
            <w:tcBorders>
              <w:top w:val="single" w:sz="4" w:space="0" w:color="000000"/>
              <w:left w:val="single" w:sz="8" w:space="0" w:color="000000"/>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Pr>
                <w:rFonts w:ascii="宋体" w:hAnsi="宋体" w:cs="宋体" w:hint="eastAsia"/>
                <w:kern w:val="0"/>
                <w:sz w:val="24"/>
              </w:rPr>
              <w:t>208</w:t>
            </w:r>
            <w:r w:rsidRPr="00EE25F3">
              <w:rPr>
                <w:rFonts w:ascii="宋体" w:hAnsi="宋体" w:cs="宋体" w:hint="eastAsia"/>
                <w:kern w:val="0"/>
                <w:sz w:val="24"/>
              </w:rPr>
              <w:t xml:space="preserve">　</w:t>
            </w:r>
          </w:p>
        </w:tc>
        <w:tc>
          <w:tcPr>
            <w:tcW w:w="1211" w:type="dxa"/>
            <w:tcBorders>
              <w:top w:val="nil"/>
              <w:left w:val="nil"/>
              <w:bottom w:val="single" w:sz="4" w:space="0" w:color="000000"/>
              <w:right w:val="single" w:sz="4" w:space="0" w:color="000000"/>
            </w:tcBorders>
            <w:vAlign w:val="center"/>
          </w:tcPr>
          <w:p w:rsidR="00611440" w:rsidRPr="00EE25F3" w:rsidRDefault="00611440" w:rsidP="005E474B">
            <w:pPr>
              <w:widowControl/>
              <w:jc w:val="left"/>
              <w:rPr>
                <w:rFonts w:ascii="宋体" w:hAnsi="宋体" w:cs="宋体"/>
                <w:kern w:val="0"/>
                <w:sz w:val="20"/>
                <w:szCs w:val="20"/>
              </w:rPr>
            </w:pPr>
            <w:r w:rsidRPr="00EE25F3">
              <w:rPr>
                <w:rFonts w:ascii="宋体" w:hAnsi="宋体" w:cs="宋体" w:hint="eastAsia"/>
                <w:kern w:val="0"/>
                <w:sz w:val="20"/>
                <w:szCs w:val="20"/>
              </w:rPr>
              <w:t xml:space="preserve">　</w:t>
            </w:r>
            <w:r>
              <w:rPr>
                <w:rFonts w:ascii="宋体" w:hAnsi="宋体" w:cs="宋体" w:hint="eastAsia"/>
                <w:kern w:val="0"/>
                <w:sz w:val="20"/>
                <w:szCs w:val="20"/>
              </w:rPr>
              <w:t>社会保障和就业</w:t>
            </w:r>
          </w:p>
        </w:tc>
        <w:tc>
          <w:tcPr>
            <w:tcW w:w="2155" w:type="dxa"/>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Pr>
                <w:rFonts w:ascii="宋体" w:hAnsi="宋体" w:cs="宋体" w:hint="eastAsia"/>
                <w:kern w:val="0"/>
                <w:sz w:val="24"/>
              </w:rPr>
              <w:t>79.99</w:t>
            </w:r>
          </w:p>
        </w:tc>
        <w:tc>
          <w:tcPr>
            <w:tcW w:w="1980" w:type="dxa"/>
            <w:tcBorders>
              <w:top w:val="nil"/>
              <w:left w:val="nil"/>
              <w:bottom w:val="single" w:sz="4" w:space="0" w:color="000000"/>
              <w:right w:val="single" w:sz="4" w:space="0" w:color="000000"/>
            </w:tcBorders>
            <w:vAlign w:val="center"/>
          </w:tcPr>
          <w:p w:rsidR="00611440" w:rsidRPr="00EE25F3" w:rsidRDefault="00611440" w:rsidP="005E474B">
            <w:pPr>
              <w:widowControl/>
              <w:jc w:val="center"/>
              <w:rPr>
                <w:rFonts w:ascii="宋体" w:hAnsi="宋体" w:cs="宋体"/>
                <w:kern w:val="0"/>
                <w:sz w:val="24"/>
              </w:rPr>
            </w:pPr>
            <w:r>
              <w:rPr>
                <w:rFonts w:ascii="宋体" w:hAnsi="宋体" w:cs="宋体" w:hint="eastAsia"/>
                <w:kern w:val="0"/>
                <w:sz w:val="24"/>
              </w:rPr>
              <w:t>79.99</w:t>
            </w:r>
          </w:p>
        </w:tc>
        <w:tc>
          <w:tcPr>
            <w:tcW w:w="1980" w:type="dxa"/>
            <w:tcBorders>
              <w:top w:val="nil"/>
              <w:left w:val="nil"/>
              <w:bottom w:val="single" w:sz="4" w:space="0" w:color="000000"/>
              <w:right w:val="single" w:sz="8" w:space="0" w:color="000000"/>
            </w:tcBorders>
            <w:vAlign w:val="center"/>
          </w:tcPr>
          <w:p w:rsidR="00611440" w:rsidRPr="00EE25F3" w:rsidRDefault="00611440" w:rsidP="005E474B">
            <w:pPr>
              <w:widowControl/>
              <w:jc w:val="center"/>
              <w:rPr>
                <w:rFonts w:ascii="宋体" w:hAnsi="宋体" w:cs="宋体"/>
                <w:kern w:val="0"/>
                <w:sz w:val="24"/>
              </w:rPr>
            </w:pPr>
            <w:r>
              <w:rPr>
                <w:rFonts w:ascii="宋体" w:hAnsi="宋体" w:cs="宋体" w:hint="eastAsia"/>
                <w:kern w:val="0"/>
                <w:sz w:val="24"/>
              </w:rPr>
              <w:t>0</w:t>
            </w:r>
          </w:p>
        </w:tc>
        <w:tc>
          <w:tcPr>
            <w:tcW w:w="1980" w:type="dxa"/>
            <w:vAlign w:val="center"/>
          </w:tcPr>
          <w:p w:rsidR="00611440" w:rsidRPr="00EE25F3" w:rsidRDefault="00611440" w:rsidP="005E474B">
            <w:pPr>
              <w:widowControl/>
              <w:jc w:val="center"/>
              <w:rPr>
                <w:rFonts w:ascii="宋体" w:hAnsi="宋体" w:cs="宋体"/>
                <w:kern w:val="0"/>
                <w:sz w:val="24"/>
              </w:rPr>
            </w:pPr>
          </w:p>
        </w:tc>
      </w:tr>
      <w:tr w:rsidR="00611440" w:rsidRPr="00EE25F3" w:rsidTr="005E474B">
        <w:trPr>
          <w:trHeight w:val="645"/>
        </w:trPr>
        <w:tc>
          <w:tcPr>
            <w:tcW w:w="8475" w:type="dxa"/>
            <w:gridSpan w:val="7"/>
            <w:tcBorders>
              <w:top w:val="single" w:sz="8" w:space="0" w:color="000000"/>
              <w:left w:val="nil"/>
              <w:bottom w:val="nil"/>
              <w:right w:val="nil"/>
            </w:tcBorders>
            <w:vAlign w:val="center"/>
          </w:tcPr>
          <w:p w:rsidR="00611440" w:rsidRPr="00EE25F3" w:rsidRDefault="00611440" w:rsidP="005E474B">
            <w:pPr>
              <w:widowControl/>
              <w:jc w:val="left"/>
              <w:rPr>
                <w:rFonts w:ascii="宋体" w:hAnsi="宋体" w:cs="宋体"/>
                <w:kern w:val="0"/>
                <w:sz w:val="24"/>
              </w:rPr>
            </w:pPr>
            <w:r w:rsidRPr="00EE25F3">
              <w:rPr>
                <w:rFonts w:ascii="宋体" w:hAnsi="宋体" w:cs="宋体" w:hint="eastAsia"/>
                <w:kern w:val="0"/>
                <w:sz w:val="24"/>
              </w:rPr>
              <w:t>注：本表反映部门本年度公共预算财政拨款实际支出情况。</w:t>
            </w:r>
            <w:r w:rsidRPr="00EE25F3">
              <w:rPr>
                <w:rFonts w:ascii="宋体" w:hAnsi="宋体" w:cs="宋体" w:hint="eastAsia"/>
                <w:kern w:val="0"/>
                <w:sz w:val="24"/>
              </w:rPr>
              <w:br/>
              <w:t xml:space="preserve">    1栏＝（2+3）栏。</w:t>
            </w:r>
          </w:p>
        </w:tc>
        <w:tc>
          <w:tcPr>
            <w:tcW w:w="1980" w:type="dxa"/>
          </w:tcPr>
          <w:p w:rsidR="00611440" w:rsidRPr="00EE25F3" w:rsidRDefault="00611440" w:rsidP="005E474B">
            <w:pPr>
              <w:widowControl/>
              <w:jc w:val="left"/>
              <w:rPr>
                <w:kern w:val="0"/>
                <w:sz w:val="20"/>
                <w:szCs w:val="20"/>
              </w:rPr>
            </w:pPr>
          </w:p>
        </w:tc>
        <w:tc>
          <w:tcPr>
            <w:tcW w:w="1980" w:type="dxa"/>
          </w:tcPr>
          <w:p w:rsidR="00611440" w:rsidRPr="00EE25F3" w:rsidRDefault="00611440" w:rsidP="005E474B">
            <w:pPr>
              <w:widowControl/>
              <w:jc w:val="left"/>
              <w:rPr>
                <w:kern w:val="0"/>
                <w:sz w:val="20"/>
                <w:szCs w:val="20"/>
              </w:rPr>
            </w:pPr>
          </w:p>
        </w:tc>
        <w:tc>
          <w:tcPr>
            <w:tcW w:w="1980" w:type="dxa"/>
          </w:tcPr>
          <w:p w:rsidR="00611440" w:rsidRPr="00EE25F3" w:rsidRDefault="00611440" w:rsidP="005E474B">
            <w:pPr>
              <w:widowControl/>
              <w:jc w:val="left"/>
              <w:rPr>
                <w:kern w:val="0"/>
                <w:sz w:val="20"/>
                <w:szCs w:val="20"/>
              </w:rPr>
            </w:pPr>
          </w:p>
        </w:tc>
        <w:tc>
          <w:tcPr>
            <w:tcW w:w="1980" w:type="dxa"/>
          </w:tcPr>
          <w:p w:rsidR="00611440" w:rsidRPr="00EE25F3" w:rsidRDefault="00611440" w:rsidP="005E474B">
            <w:pPr>
              <w:widowControl/>
              <w:jc w:val="left"/>
              <w:rPr>
                <w:kern w:val="0"/>
                <w:sz w:val="20"/>
                <w:szCs w:val="20"/>
              </w:rPr>
            </w:pPr>
          </w:p>
        </w:tc>
        <w:tc>
          <w:tcPr>
            <w:tcW w:w="1980" w:type="dxa"/>
            <w:vAlign w:val="center"/>
          </w:tcPr>
          <w:p w:rsidR="00611440" w:rsidRPr="00EE25F3" w:rsidRDefault="00611440" w:rsidP="005E474B">
            <w:pPr>
              <w:widowControl/>
              <w:jc w:val="center"/>
              <w:rPr>
                <w:rFonts w:ascii="宋体" w:hAnsi="宋体" w:cs="宋体"/>
                <w:kern w:val="0"/>
                <w:sz w:val="24"/>
              </w:rPr>
            </w:pPr>
            <w:r>
              <w:rPr>
                <w:rFonts w:ascii="宋体" w:hAnsi="宋体" w:cs="宋体" w:hint="eastAsia"/>
                <w:kern w:val="0"/>
                <w:sz w:val="24"/>
              </w:rPr>
              <w:t>79.99</w:t>
            </w:r>
          </w:p>
        </w:tc>
      </w:tr>
    </w:tbl>
    <w:p w:rsidR="00611440" w:rsidRPr="00EE25F3" w:rsidRDefault="00611440" w:rsidP="00611440">
      <w:pPr>
        <w:widowControl/>
        <w:spacing w:line="620" w:lineRule="atLeast"/>
        <w:jc w:val="center"/>
        <w:rPr>
          <w:rFonts w:ascii="仿宋_GB2312" w:eastAsia="仿宋_GB2312" w:hAnsi="宋体" w:cs="宋体"/>
          <w:kern w:val="0"/>
          <w:sz w:val="32"/>
          <w:szCs w:val="32"/>
        </w:rPr>
      </w:pPr>
    </w:p>
    <w:p w:rsidR="00611440" w:rsidRPr="00611440" w:rsidRDefault="00611440"/>
    <w:sectPr w:rsidR="00611440" w:rsidRPr="00611440" w:rsidSect="00B17B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191" w:rsidRDefault="004B5191" w:rsidP="00611440">
      <w:r>
        <w:separator/>
      </w:r>
    </w:p>
  </w:endnote>
  <w:endnote w:type="continuationSeparator" w:id="1">
    <w:p w:rsidR="004B5191" w:rsidRDefault="004B5191" w:rsidP="006114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191" w:rsidRDefault="004B5191" w:rsidP="00611440">
      <w:r>
        <w:separator/>
      </w:r>
    </w:p>
  </w:footnote>
  <w:footnote w:type="continuationSeparator" w:id="1">
    <w:p w:rsidR="004B5191" w:rsidRDefault="004B5191" w:rsidP="006114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1440"/>
    <w:rsid w:val="004B5191"/>
    <w:rsid w:val="00611440"/>
    <w:rsid w:val="008A68F2"/>
    <w:rsid w:val="00B17BFA"/>
    <w:rsid w:val="00B84894"/>
    <w:rsid w:val="00DA1988"/>
    <w:rsid w:val="00EB6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14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11440"/>
    <w:rPr>
      <w:sz w:val="18"/>
      <w:szCs w:val="18"/>
    </w:rPr>
  </w:style>
  <w:style w:type="paragraph" w:styleId="a4">
    <w:name w:val="footer"/>
    <w:basedOn w:val="a"/>
    <w:link w:val="Char0"/>
    <w:uiPriority w:val="99"/>
    <w:semiHidden/>
    <w:unhideWhenUsed/>
    <w:rsid w:val="006114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114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2014-10-30T07:44:00Z</dcterms:created>
  <dcterms:modified xsi:type="dcterms:W3CDTF">2014-10-30T08:16:00Z</dcterms:modified>
</cp:coreProperties>
</file>