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pStyle w:val="3"/>
        <w:widowControl/>
        <w:spacing w:beforeAutospacing="0" w:afterAutospacing="0" w:line="570" w:lineRule="atLeast"/>
        <w:jc w:val="center"/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eastAsia="zh-CN"/>
        </w:rPr>
        <w:t>关于</w:t>
      </w: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</w:rPr>
        <w:t>深圳市福田区政府投资项目工程</w:t>
      </w:r>
    </w:p>
    <w:p>
      <w:pPr>
        <w:pStyle w:val="3"/>
        <w:widowControl/>
        <w:spacing w:beforeAutospacing="0" w:afterAutospacing="0" w:line="570" w:lineRule="atLeast"/>
        <w:jc w:val="center"/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</w:rPr>
        <w:t>变更管理办法</w:t>
      </w: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eastAsia="zh-CN"/>
        </w:rPr>
        <w:t>起草说明</w:t>
      </w:r>
    </w:p>
    <w:p>
      <w:pPr>
        <w:pStyle w:val="3"/>
        <w:widowControl/>
        <w:spacing w:beforeAutospacing="0" w:afterAutospacing="0" w:line="570" w:lineRule="atLeast"/>
        <w:jc w:val="left"/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eastAsia="zh-CN"/>
        </w:rPr>
      </w:pPr>
    </w:p>
    <w:p>
      <w:pPr>
        <w:pStyle w:val="3"/>
        <w:widowControl/>
        <w:spacing w:beforeAutospacing="0" w:afterAutospacing="0" w:line="570" w:lineRule="atLeast"/>
        <w:ind w:firstLine="640" w:firstLineChars="200"/>
        <w:jc w:val="left"/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</w:rPr>
        <w:t>为进一步规范福田</w:t>
      </w:r>
      <w:r>
        <w:rPr>
          <w:rStyle w:val="5"/>
          <w:rFonts w:hint="eastAsia" w:ascii="仿宋" w:hAnsi="仿宋" w:eastAsia="仿宋" w:cs="仿宋"/>
          <w:b w:val="0"/>
          <w:bCs/>
          <w:color w:val="040404"/>
          <w:sz w:val="32"/>
          <w:szCs w:val="32"/>
          <w:shd w:val="clear" w:color="auto" w:fill="FFFFFF"/>
        </w:rPr>
        <w:t>区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</w:rPr>
        <w:t>政府投资项目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eastAsia="zh-CN"/>
        </w:rPr>
        <w:t>建设中的</w:t>
      </w:r>
      <w:r>
        <w:rPr>
          <w:rFonts w:hint="eastAsia" w:ascii="仿宋" w:hAnsi="仿宋" w:eastAsia="仿宋" w:cs="仿宋"/>
          <w:sz w:val="32"/>
          <w:szCs w:val="32"/>
        </w:rPr>
        <w:t>变更行为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，完善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</w:rPr>
        <w:t>工程变更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eastAsia="zh-CN"/>
        </w:rPr>
        <w:t>审批程序，加强项目监督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</w:rPr>
        <w:t>管理，</w:t>
      </w:r>
      <w:r>
        <w:rPr>
          <w:rFonts w:hint="eastAsia" w:ascii="仿宋" w:hAnsi="仿宋" w:eastAsia="仿宋" w:cs="仿宋"/>
          <w:sz w:val="32"/>
          <w:szCs w:val="32"/>
        </w:rPr>
        <w:t>有效控制工程投资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</w:rPr>
        <w:t>成本，提高政府投资效益，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eastAsia="zh-CN"/>
        </w:rPr>
        <w:t>根据区领导的指示，在区相关部门的大力支持下，我署在充分调研和征求意见的基础上，起草了《</w:t>
      </w: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</w:rPr>
        <w:t>福田区政府投资项目工程变更管理办法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eastAsia="zh-CN"/>
        </w:rPr>
        <w:t>》</w:t>
      </w: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eastAsia="zh-CN"/>
        </w:rPr>
        <w:t>，有关情况说明如下：</w:t>
      </w:r>
    </w:p>
    <w:p>
      <w:pPr>
        <w:pStyle w:val="3"/>
        <w:widowControl/>
        <w:numPr>
          <w:ilvl w:val="0"/>
          <w:numId w:val="0"/>
        </w:numPr>
        <w:spacing w:beforeAutospacing="0" w:afterAutospacing="0" w:line="570" w:lineRule="atLeast"/>
        <w:ind w:firstLine="640" w:firstLineChars="200"/>
        <w:jc w:val="left"/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eastAsia="zh-CN"/>
        </w:rPr>
        <w:t>一、编制的必要性</w:t>
      </w:r>
    </w:p>
    <w:p>
      <w:pPr>
        <w:pStyle w:val="3"/>
        <w:widowControl/>
        <w:numPr>
          <w:ilvl w:val="0"/>
          <w:numId w:val="0"/>
        </w:numPr>
        <w:spacing w:beforeAutospacing="0" w:afterAutospacing="0" w:line="570" w:lineRule="atLeast"/>
        <w:jc w:val="left"/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  <w:t xml:space="preserve">    目前福田区工程建设项目越来越多，工程规模也越来越大，参与项目的管理单位较多，形式也趋于多样化，在项目管理中工程变更一直没有出台统一的规章制度。工程管理单位各自为政，审批方式也是多样化，根据近几年的审计督查结果，出现了一些项目管理失控的现象，存在工程变更随意、形式多样，不及时申报审批的问题，造成项目结决算超合同价、超投资计划的情况。因此，为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</w:rPr>
        <w:t>规范福田</w:t>
      </w:r>
      <w:r>
        <w:rPr>
          <w:rStyle w:val="5"/>
          <w:rFonts w:hint="eastAsia" w:ascii="仿宋" w:hAnsi="仿宋" w:eastAsia="仿宋" w:cs="仿宋"/>
          <w:b w:val="0"/>
          <w:bCs/>
          <w:color w:val="040404"/>
          <w:sz w:val="32"/>
          <w:szCs w:val="32"/>
          <w:shd w:val="clear" w:color="auto" w:fill="FFFFFF"/>
        </w:rPr>
        <w:t>区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</w:rPr>
        <w:t>政府投资项目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eastAsia="zh-CN"/>
        </w:rPr>
        <w:t>建设中的</w:t>
      </w:r>
      <w:r>
        <w:rPr>
          <w:rFonts w:hint="eastAsia" w:ascii="仿宋" w:hAnsi="仿宋" w:eastAsia="仿宋" w:cs="仿宋"/>
          <w:sz w:val="32"/>
          <w:szCs w:val="32"/>
        </w:rPr>
        <w:t>变更行为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，完善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</w:rPr>
        <w:t>工程变更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eastAsia="zh-CN"/>
        </w:rPr>
        <w:t>审批程序，加强项目监督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</w:rPr>
        <w:t>管理，</w:t>
      </w:r>
      <w:r>
        <w:rPr>
          <w:rFonts w:hint="eastAsia" w:ascii="仿宋" w:hAnsi="仿宋" w:eastAsia="仿宋" w:cs="仿宋"/>
          <w:sz w:val="32"/>
          <w:szCs w:val="32"/>
        </w:rPr>
        <w:t>有效控制工程投资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</w:rPr>
        <w:t>成本，</w:t>
      </w: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  <w:t>出台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eastAsia="zh-CN"/>
        </w:rPr>
        <w:t>《</w:t>
      </w: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</w:rPr>
        <w:t>福田区政府投资项目工程变更管理办法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eastAsia="zh-CN"/>
        </w:rPr>
        <w:t>》是必要的。</w:t>
      </w:r>
    </w:p>
    <w:p>
      <w:pPr>
        <w:pStyle w:val="3"/>
        <w:widowControl/>
        <w:numPr>
          <w:ilvl w:val="0"/>
          <w:numId w:val="1"/>
        </w:numPr>
        <w:spacing w:beforeAutospacing="0" w:afterAutospacing="0" w:line="570" w:lineRule="atLeast"/>
        <w:ind w:firstLine="640" w:firstLineChars="200"/>
        <w:jc w:val="left"/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  <w:t>编制过程</w:t>
      </w:r>
    </w:p>
    <w:p>
      <w:pPr>
        <w:pStyle w:val="3"/>
        <w:widowControl/>
        <w:numPr>
          <w:ilvl w:val="0"/>
          <w:numId w:val="0"/>
        </w:numPr>
        <w:spacing w:beforeAutospacing="0" w:afterAutospacing="0" w:line="570" w:lineRule="atLeast"/>
        <w:ind w:firstLine="640" w:firstLineChars="200"/>
        <w:jc w:val="left"/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eastAsia="zh-CN"/>
        </w:rPr>
        <w:t>充分调研和征求意见：四次征求区相关审批部门、各主管部门的意见：如发改局、审计局、住建局、环水局、财政局、区城管执法局等。学习市建筑工务署、光明区工务署、坪山区政府等其他区相关管理制度文件；还邀请了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val="en-US" w:eastAsia="zh-CN"/>
        </w:rPr>
        <w:t>7位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eastAsia="zh-CN"/>
        </w:rPr>
        <w:t>相关领域的专家对管理办法进行论证，同时将修改完善的征求意见稿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val="en-US" w:eastAsia="zh-CN"/>
        </w:rPr>
        <w:t>5次交给我署法律顾问审阅。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  <w:lang w:eastAsia="zh-CN"/>
        </w:rPr>
        <w:t>结合福田区的实际，取长补短博采众长，力求使管理办法在福田区各个建设领域覆盖和通用。</w:t>
      </w:r>
    </w:p>
    <w:p>
      <w:pPr>
        <w:pStyle w:val="3"/>
        <w:widowControl/>
        <w:numPr>
          <w:ilvl w:val="0"/>
          <w:numId w:val="0"/>
        </w:numPr>
        <w:spacing w:beforeAutospacing="0" w:afterAutospacing="0" w:line="570" w:lineRule="atLeast"/>
        <w:ind w:firstLine="640" w:firstLineChars="200"/>
        <w:jc w:val="left"/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  <w:t>三、编制思路和主要内容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480" w:firstLineChars="15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40404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  <w:t>根据工程量清单计价规范，结合市住建局的施工合同范本，比较全面的明确了工程变更的定义、范围和分类，同时紧紧围绕</w:t>
      </w:r>
      <w:r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</w:rPr>
        <w:t>《深圳</w:t>
      </w:r>
      <w:r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  <w:lang w:eastAsia="zh-CN"/>
        </w:rPr>
        <w:t>经济特区</w:t>
      </w:r>
      <w:r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</w:rPr>
        <w:t>政府投资项目管理条例》</w:t>
      </w:r>
      <w:r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  <w:lang w:val="en-US" w:eastAsia="zh-CN"/>
        </w:rPr>
        <w:t>2019修正</w:t>
      </w:r>
      <w:r>
        <w:rPr>
          <w:rFonts w:hint="eastAsia" w:ascii="仿宋" w:hAnsi="仿宋" w:eastAsia="仿宋" w:cs="仿宋"/>
          <w:color w:val="FF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《福田区政府投资全过程管理办法》及其实施细则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（福府规[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]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5号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40404"/>
          <w:sz w:val="32"/>
          <w:szCs w:val="32"/>
          <w:shd w:val="clear" w:color="auto" w:fill="FFFFFF"/>
        </w:rPr>
        <w:t>等相关法规规章的规定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  <w:t>详细明确了工程参建各方的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职责与分工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040404"/>
          <w:sz w:val="32"/>
          <w:szCs w:val="32"/>
          <w:shd w:val="clear" w:color="auto" w:fill="FFFFFF"/>
        </w:rPr>
        <w:t>工程变更的</w:t>
      </w:r>
      <w:r>
        <w:rPr>
          <w:rFonts w:hint="eastAsia" w:ascii="仿宋" w:hAnsi="仿宋" w:eastAsia="仿宋" w:cs="仿宋"/>
          <w:b/>
          <w:bCs/>
          <w:color w:val="040404"/>
          <w:sz w:val="32"/>
          <w:szCs w:val="32"/>
          <w:shd w:val="clear" w:color="auto" w:fill="FFFFFF"/>
          <w:lang w:eastAsia="zh-CN"/>
        </w:rPr>
        <w:t>审批</w:t>
      </w:r>
      <w:r>
        <w:rPr>
          <w:rFonts w:hint="eastAsia" w:ascii="仿宋" w:hAnsi="仿宋" w:eastAsia="仿宋" w:cs="仿宋"/>
          <w:b/>
          <w:bCs/>
          <w:color w:val="040404"/>
          <w:sz w:val="32"/>
          <w:szCs w:val="32"/>
          <w:shd w:val="clear" w:color="auto" w:fill="FFFFFF"/>
        </w:rPr>
        <w:t>程序</w:t>
      </w:r>
      <w:r>
        <w:rPr>
          <w:rFonts w:hint="eastAsia" w:ascii="仿宋" w:hAnsi="仿宋" w:eastAsia="仿宋" w:cs="仿宋"/>
          <w:b/>
          <w:bCs/>
          <w:color w:val="040404"/>
          <w:sz w:val="32"/>
          <w:szCs w:val="32"/>
          <w:shd w:val="clear" w:color="auto" w:fill="FFFFFF"/>
          <w:lang w:eastAsia="zh-CN"/>
        </w:rPr>
        <w:t>。并阐述了对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  <w:t>参建各方的</w:t>
      </w:r>
      <w:r>
        <w:rPr>
          <w:rFonts w:hint="eastAsia" w:ascii="仿宋" w:hAnsi="仿宋" w:eastAsia="仿宋" w:cs="仿宋"/>
          <w:sz w:val="32"/>
          <w:szCs w:val="32"/>
        </w:rPr>
        <w:t>奖惩及责任追究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办法。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进一步明确</w:t>
      </w:r>
      <w:r>
        <w:rPr>
          <w:rFonts w:hint="eastAsia" w:ascii="仿宋" w:hAnsi="仿宋" w:eastAsia="仿宋" w:cs="仿宋"/>
          <w:sz w:val="32"/>
          <w:szCs w:val="32"/>
        </w:rPr>
        <w:t xml:space="preserve">工程变更管理应遵循“高效透明、合理合规、严格审核、先批后建、责任明确”的原则。严禁弄虚作假、拆解变更规避审批、未经批准擅自实施等行为。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 w:firstLine="480" w:firstLineChars="15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widowControl/>
        <w:numPr>
          <w:ilvl w:val="0"/>
          <w:numId w:val="2"/>
        </w:numPr>
        <w:spacing w:beforeAutospacing="0" w:afterAutospacing="0" w:line="570" w:lineRule="atLeast"/>
        <w:ind w:firstLine="640" w:firstLineChars="200"/>
        <w:jc w:val="left"/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  <w:t>主要提升方面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工程变更为加快审批效率，工程变更实行分步审批，先进行变更事项审批（应提出变更预估金额），再进行变更费用审核，变更事项审批后即可组织实施。</w:t>
      </w:r>
      <w:r>
        <w:rPr>
          <w:rFonts w:hint="eastAsia" w:ascii="仿宋" w:hAnsi="仿宋" w:eastAsia="仿宋" w:cs="仿宋"/>
          <w:sz w:val="30"/>
          <w:szCs w:val="30"/>
          <w:lang w:val="zh-TW" w:eastAsia="zh-CN"/>
        </w:rPr>
        <w:t>细化分类，实施分级管理授权审批。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0" w:rightChars="0" w:firstLine="600" w:firstLineChars="200"/>
        <w:textAlignment w:val="auto"/>
        <w:outlineLvl w:val="9"/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工程变更审批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的多样化；</w:t>
      </w:r>
      <w:r>
        <w:rPr>
          <w:rFonts w:hint="eastAsia" w:ascii="仿宋" w:hAnsi="仿宋" w:eastAsia="仿宋" w:cs="仿宋"/>
          <w:sz w:val="30"/>
          <w:szCs w:val="30"/>
        </w:rPr>
        <w:t>包括技术评审、造价审核、综合审批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。审批程序简单明了，易于理解和操作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3"/>
        <w:widowControl/>
        <w:numPr>
          <w:ilvl w:val="0"/>
          <w:numId w:val="0"/>
        </w:numPr>
        <w:spacing w:beforeAutospacing="0" w:afterAutospacing="0" w:line="570" w:lineRule="atLeast"/>
        <w:ind w:firstLine="640" w:firstLineChars="200"/>
        <w:jc w:val="left"/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40404"/>
          <w:sz w:val="32"/>
          <w:szCs w:val="32"/>
          <w:shd w:val="clear" w:color="auto" w:fill="FFFFFF"/>
          <w:lang w:val="en-US" w:eastAsia="zh-CN"/>
        </w:rPr>
        <w:t>五、主要创新点</w:t>
      </w:r>
    </w:p>
    <w:p>
      <w:pPr>
        <w:pStyle w:val="3"/>
        <w:widowControl/>
        <w:spacing w:beforeAutospacing="0" w:afterAutospacing="0" w:line="570" w:lineRule="atLeast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明确了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区政府代建项目应当履行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政府投资项目工程变更管理办法的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审批程序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对变更累计金额实行动态管理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pStyle w:val="3"/>
        <w:widowControl/>
        <w:spacing w:beforeAutospacing="0" w:afterAutospacing="0" w:line="57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变更按累计增加金额（变更减少金额可参与累计）分别设置黄色、红色预警，累计增加金额达到合同价</w:t>
      </w:r>
      <w:r>
        <w:rPr>
          <w:rFonts w:hint="eastAsia" w:ascii="仿宋" w:hAnsi="仿宋" w:eastAsia="仿宋" w:cs="仿宋"/>
          <w:sz w:val="32"/>
          <w:szCs w:val="32"/>
        </w:rPr>
        <w:t>5%</w:t>
      </w:r>
      <w:r>
        <w:rPr>
          <w:rFonts w:hint="eastAsia" w:ascii="仿宋" w:hAnsi="仿宋" w:eastAsia="仿宋" w:cs="仿宋"/>
          <w:sz w:val="32"/>
          <w:szCs w:val="32"/>
        </w:rPr>
        <w:t>时，启动黄色预警，累计增加金额达到合同价</w:t>
      </w:r>
      <w:r>
        <w:rPr>
          <w:rFonts w:hint="eastAsia" w:ascii="仿宋" w:hAnsi="仿宋" w:eastAsia="仿宋" w:cs="仿宋"/>
          <w:sz w:val="32"/>
          <w:szCs w:val="32"/>
        </w:rPr>
        <w:t>8%</w:t>
      </w:r>
      <w:r>
        <w:rPr>
          <w:rFonts w:hint="eastAsia" w:ascii="仿宋" w:hAnsi="仿宋" w:eastAsia="仿宋" w:cs="仿宋"/>
          <w:sz w:val="32"/>
          <w:szCs w:val="32"/>
        </w:rPr>
        <w:t>时，启动红色预警。预警信息在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智慧</w:t>
      </w:r>
      <w:r>
        <w:rPr>
          <w:rFonts w:hint="eastAsia" w:ascii="仿宋" w:hAnsi="仿宋" w:eastAsia="仿宋" w:cs="仿宋"/>
          <w:sz w:val="32"/>
          <w:szCs w:val="32"/>
        </w:rPr>
        <w:t>管理平台公开。</w:t>
      </w:r>
    </w:p>
    <w:p>
      <w:pPr>
        <w:pStyle w:val="3"/>
        <w:widowControl/>
        <w:spacing w:beforeAutospacing="0" w:afterAutospacing="0" w:line="570" w:lineRule="atLeast"/>
        <w:ind w:firstLine="60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zh-TW" w:eastAsia="zh-CN"/>
        </w:rPr>
        <w:t>提倡采取信息化管理平台审批，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能促使变更申报审批及时并留痕。</w:t>
      </w:r>
    </w:p>
    <w:p>
      <w:pPr>
        <w:pStyle w:val="3"/>
        <w:widowControl/>
        <w:spacing w:beforeAutospacing="0" w:afterAutospacing="0" w:line="570" w:lineRule="atLeas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鼓励项目各参建方优化技术方案，对于节省投资和缩短工期的变更，应在合同中予以明确奖励方式。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3D670"/>
    <w:multiLevelType w:val="singleLevel"/>
    <w:tmpl w:val="5E83D670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E83D686"/>
    <w:multiLevelType w:val="singleLevel"/>
    <w:tmpl w:val="5E83D68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D09AA"/>
    <w:rsid w:val="1A400296"/>
    <w:rsid w:val="1BA12862"/>
    <w:rsid w:val="23296AE3"/>
    <w:rsid w:val="2C411304"/>
    <w:rsid w:val="2EF411F6"/>
    <w:rsid w:val="363D09AA"/>
    <w:rsid w:val="42B813D1"/>
    <w:rsid w:val="49AB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2020-03-31T23:33:00Z</dcterms:created>
  <dc:creator>黄永平</dc:creator>
  <cp:lastModifiedBy>王荣莉</cp:lastModifiedBy>
  <dcterms:modified xsi:type="dcterms:W3CDTF">2020-04-29T13:20:26Z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