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 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执法检查发现问题清单</w:t>
      </w:r>
    </w:p>
    <w:tbl>
      <w:tblPr>
        <w:tblStyle w:val="6"/>
        <w:tblW w:w="13455" w:type="dxa"/>
        <w:jc w:val="center"/>
        <w:tblInd w:w="-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0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类    别</w:t>
            </w:r>
          </w:p>
        </w:tc>
        <w:tc>
          <w:tcPr>
            <w:tcW w:w="10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普法宣传需要加强</w:t>
            </w:r>
          </w:p>
        </w:tc>
        <w:tc>
          <w:tcPr>
            <w:tcW w:w="10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1、市民群众对《条例》知晓度低，市民群众对《条例》的了解不够全面，其内容尚未被周知，参与度有待提高。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阅读设施布局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不均衡</w:t>
            </w:r>
          </w:p>
        </w:tc>
        <w:tc>
          <w:tcPr>
            <w:tcW w:w="10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2、大型企业和楼宇、园区职工集中且阅读需求多样，但较少或缺少如自助借书机、楼宇图书室等公共阅读资源。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3、部分大型小区无专门的小区图书馆，32.8%的调查对象没发现新建小区有相关配套阅读设施，难以满足周边居民阅读需求。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阅读推广形式不够丰富</w:t>
            </w:r>
          </w:p>
        </w:tc>
        <w:tc>
          <w:tcPr>
            <w:tcW w:w="10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4、当前我区开展的阅读促进活动主要集中在校园和社区，超过9成的调查对象通过图书馆、学校参加读者交流活动，仅7.8%调查对象参加“阅读进企业”活动，且大多集中在“读书月”期间，以讲座、分享会的形式为主，形式单一长久以往难以持续吸引居民群众，参与积极性不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5、电子阅读碎片化问题突出，公众通过电子产品系统性获取知识的渠道方法不多，亟需政府相关部门予以引导和推动。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eastAsia="zh-CN"/>
              </w:rPr>
              <w:t>阅读服务水平有待提高</w:t>
            </w:r>
          </w:p>
        </w:tc>
        <w:tc>
          <w:tcPr>
            <w:tcW w:w="10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、全区公共图书馆服务水平不平衡，总馆和分馆服务效能水平差距明显。部分社区图书馆存在“重建设轻服务”现象，未以居民需求为导向找准功能定位，藏书数量较少、类别单一、更新不够及时，对周边居民的影响力比较有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7、在图书馆队伍建设方面，专业技术人员短缺，部分街道、社区图书馆的管理人员多为义工或临聘人员等非专业人士，不擅长书籍管理和阅读推广工作，整体服务效能亟待提升。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zh-CN" w:eastAsia="zh-CN"/>
              </w:rPr>
              <w:t>阅读质量有待提升</w:t>
            </w:r>
          </w:p>
        </w:tc>
        <w:tc>
          <w:tcPr>
            <w:tcW w:w="10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8、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zh-CN" w:eastAsia="zh-CN"/>
              </w:rPr>
              <w:t>分类指导不足。对不同读者群体的阅读需求调研了解不够，未能有针对性地细化阅读指导，一定程度上影响了阅读质量。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9、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zh-CN" w:eastAsia="zh-CN"/>
              </w:rPr>
              <w:t>阅读成果转化不够。目前参与全民阅读的市民群体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基数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zh-CN" w:eastAsia="zh-CN"/>
              </w:rPr>
              <w:t>大，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但对阅读更多的只停留在“兴趣”层面，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zh-CN" w:eastAsia="zh-CN"/>
              </w:rPr>
              <w:t>在阅读基础上的创作、成果转化较少，阅读的成果、创作的作品需要进一步地激发和引导，推动成果转化的机制体制仍需进一步建立健全。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en-US" w:eastAsia="zh-CN"/>
              </w:rPr>
              <w:t>10、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FFFFFF"/>
                <w:rtl w:val="0"/>
                <w:lang w:val="zh-CN" w:eastAsia="zh-CN"/>
              </w:rPr>
              <w:t>目前已经组织开展区中小学生阅读调查，但尚未开展阅读水平测试和向社会发布中小学生阅读水平情况报告。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286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光通心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黑变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光超粗黑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粗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00117"/>
    <w:rsid w:val="2C436EC7"/>
    <w:rsid w:val="5D0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/>
      <w:ind w:firstLine="200" w:firstLineChars="200"/>
      <w:outlineLvl w:val="0"/>
    </w:pPr>
    <w:rPr>
      <w:rFonts w:ascii="Cambria" w:hAnsi="Cambria" w:eastAsia="宋体" w:cs="Times New Roman"/>
      <w:color w:val="365F91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2020-08-13T06:34:00Z</dcterms:created>
  <dc:creator>杨静铭</dc:creator>
  <cp:lastModifiedBy>杨静铭</cp:lastModifiedBy>
  <dcterms:modified xsi:type="dcterms:W3CDTF">2020-08-13T06:34:22Z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