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autoSpaceDE/>
        <w:autoSpaceDN/>
        <w:bidi w:val="0"/>
        <w:adjustRightInd/>
        <w:snapToGrid/>
        <w:spacing w:before="0" w:beforeLines="0" w:after="0" w:afterLines="0" w:line="579" w:lineRule="exact"/>
        <w:ind w:left="0" w:leftChars="0" w:right="0" w:rightChars="0" w:firstLine="0" w:firstLineChars="0"/>
        <w:jc w:val="both"/>
        <w:textAlignment w:val="auto"/>
        <w:outlineLvl w:val="9"/>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eastAsia="zh-CN"/>
        </w:rPr>
        <w:t>附件：</w:t>
      </w:r>
    </w:p>
    <w:p>
      <w:pPr>
        <w:pStyle w:val="8"/>
        <w:keepNext w:val="0"/>
        <w:keepLines w:val="0"/>
        <w:pageBreakBefore w:val="0"/>
        <w:kinsoku/>
        <w:wordWrap/>
        <w:overflowPunct/>
        <w:topLinePunct w:val="0"/>
        <w:autoSpaceDE/>
        <w:autoSpaceDN/>
        <w:bidi w:val="0"/>
        <w:adjustRightInd/>
        <w:snapToGrid/>
        <w:spacing w:before="0" w:beforeLines="0" w:after="0" w:afterLines="0" w:line="579" w:lineRule="exact"/>
        <w:ind w:left="0" w:leftChars="0" w:right="0" w:rightChars="0" w:firstLine="0" w:firstLineChars="0"/>
        <w:jc w:val="both"/>
        <w:textAlignment w:val="auto"/>
        <w:outlineLvl w:val="9"/>
        <w:rPr>
          <w:rFonts w:hint="default" w:ascii="Times New Roman" w:hAnsi="Times New Roman" w:eastAsia="宋体"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line="579" w:lineRule="exact"/>
        <w:ind w:left="0" w:leftChars="0" w:right="0" w:rightChars="0"/>
        <w:jc w:val="center"/>
        <w:textAlignment w:val="auto"/>
        <w:outlineLvl w:val="9"/>
        <w:rPr>
          <w:rFonts w:hint="default" w:ascii="Times New Roman" w:hAnsi="Times New Roman" w:eastAsia="方正小标宋_GBK" w:cs="Times New Roman"/>
          <w:b w:val="0"/>
          <w:bCs w:val="0"/>
          <w:sz w:val="44"/>
          <w:szCs w:val="44"/>
          <w:lang w:eastAsia="zh-CN"/>
        </w:rPr>
      </w:pPr>
      <w:bookmarkStart w:id="0" w:name="_GoBack"/>
      <w:r>
        <w:rPr>
          <w:rFonts w:hint="default" w:ascii="Times New Roman" w:hAnsi="Times New Roman" w:eastAsia="方正小标宋_GBK" w:cs="Times New Roman"/>
          <w:b w:val="0"/>
          <w:bCs w:val="0"/>
          <w:sz w:val="44"/>
          <w:szCs w:val="44"/>
        </w:rPr>
        <w:t>关于</w:t>
      </w:r>
      <w:r>
        <w:rPr>
          <w:rFonts w:hint="default" w:ascii="Times New Roman" w:hAnsi="Times New Roman" w:eastAsia="方正小标宋_GBK" w:cs="Times New Roman"/>
          <w:b w:val="0"/>
          <w:bCs w:val="0"/>
          <w:sz w:val="44"/>
          <w:szCs w:val="44"/>
          <w:lang w:eastAsia="zh-CN"/>
        </w:rPr>
        <w:t>《福田区人民政府</w:t>
      </w:r>
      <w:r>
        <w:rPr>
          <w:rFonts w:hint="default" w:ascii="Times New Roman" w:hAnsi="Times New Roman" w:eastAsia="方正小标宋_GBK" w:cs="Times New Roman"/>
          <w:b w:val="0"/>
          <w:bCs w:val="0"/>
          <w:sz w:val="44"/>
          <w:szCs w:val="44"/>
          <w:lang w:val="en-US" w:eastAsia="zh-CN"/>
        </w:rPr>
        <w:t>&lt;</w:t>
      </w:r>
      <w:r>
        <w:rPr>
          <w:rFonts w:hint="default" w:ascii="Times New Roman" w:hAnsi="Times New Roman" w:eastAsia="方正小标宋_GBK" w:cs="Times New Roman"/>
          <w:b w:val="0"/>
          <w:bCs w:val="0"/>
          <w:sz w:val="44"/>
          <w:szCs w:val="44"/>
          <w:lang w:eastAsia="zh-CN"/>
        </w:rPr>
        <w:t>关于提请审议爱华</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leftChars="0" w:right="0" w:rightChars="0"/>
        <w:jc w:val="center"/>
        <w:textAlignment w:val="auto"/>
        <w:outlineLvl w:val="9"/>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t>小学建设工程项目建议书</w:t>
      </w:r>
      <w:r>
        <w:rPr>
          <w:rFonts w:hint="default" w:ascii="Times New Roman" w:hAnsi="Times New Roman" w:eastAsia="方正小标宋_GBK" w:cs="Times New Roman"/>
          <w:b w:val="0"/>
          <w:bCs w:val="0"/>
          <w:sz w:val="44"/>
          <w:szCs w:val="44"/>
          <w:lang w:val="en-US" w:eastAsia="zh-CN"/>
        </w:rPr>
        <w:t>&gt;</w:t>
      </w:r>
      <w:r>
        <w:rPr>
          <w:rFonts w:hint="default" w:ascii="Times New Roman" w:hAnsi="Times New Roman" w:eastAsia="方正小标宋_GBK" w:cs="Times New Roman"/>
          <w:b w:val="0"/>
          <w:bCs w:val="0"/>
          <w:sz w:val="44"/>
          <w:szCs w:val="44"/>
          <w:lang w:eastAsia="zh-CN"/>
        </w:rPr>
        <w:t>的议案》</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leftChars="0" w:right="0" w:rightChars="0"/>
        <w:jc w:val="center"/>
        <w:textAlignment w:val="auto"/>
        <w:outlineLvl w:val="9"/>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val="en-US" w:eastAsia="zh-CN"/>
        </w:rPr>
        <w:t>等10项议案</w:t>
      </w:r>
      <w:r>
        <w:rPr>
          <w:rFonts w:hint="default" w:ascii="Times New Roman" w:hAnsi="Times New Roman" w:eastAsia="方正小标宋_GBK" w:cs="Times New Roman"/>
          <w:b w:val="0"/>
          <w:bCs w:val="0"/>
          <w:sz w:val="44"/>
          <w:szCs w:val="44"/>
        </w:rPr>
        <w:t>的初审报告</w:t>
      </w:r>
    </w:p>
    <w:bookmarkEnd w:id="0"/>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6"/>
        <w:jc w:val="both"/>
        <w:textAlignment w:val="auto"/>
        <w:outlineLvl w:val="9"/>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区人大常委会财政经济和城建环资工作委员会于</w:t>
      </w:r>
      <w:r>
        <w:rPr>
          <w:rFonts w:hint="default" w:ascii="Times New Roman" w:hAnsi="Times New Roman" w:eastAsia="仿宋_GB2312" w:cs="Times New Roman"/>
          <w:sz w:val="32"/>
          <w:lang w:val="en-US" w:eastAsia="zh-CN"/>
        </w:rPr>
        <w:t>2020年6月22日召开工作会议，</w:t>
      </w:r>
      <w:r>
        <w:rPr>
          <w:rFonts w:hint="default" w:ascii="Times New Roman" w:hAnsi="Times New Roman" w:eastAsia="仿宋_GB2312" w:cs="Times New Roman"/>
          <w:sz w:val="32"/>
          <w:lang w:eastAsia="zh-CN"/>
        </w:rPr>
        <w:t>对区人民政府关于提请审议《爱华小学建设工程项目建议书的议案》《</w:t>
      </w:r>
      <w:r>
        <w:rPr>
          <w:rFonts w:hint="default" w:ascii="Times New Roman" w:hAnsi="Times New Roman" w:eastAsia="仿宋_GB2312" w:cs="Times New Roman"/>
          <w:sz w:val="32"/>
          <w:lang w:val="en-US" w:eastAsia="zh-CN"/>
        </w:rPr>
        <w:t>福田区实验学校项目项目建议书的议案</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区二院门诊住院大楼及综合楼拆除重建工程项目建议书的议案</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易涝风险区整治工程（2020年）项目建议书的议案》《彩田路交通与空间环境综合提升工程项目建议书的议案》《福强路（彩田路-金田路段）交通与空间环境综合提升工程项目建议书的议案》《上步路交通与空间环境综合提升工程项目建议书的议案》《福田区福利中心二期建设项目项目建议书的议案》《梅林29-02地块保障房建设项目建议书的议案》《回购市住建局移交物业项目建议书的议案》</w:t>
      </w:r>
      <w:r>
        <w:rPr>
          <w:rFonts w:hint="default" w:ascii="Times New Roman" w:hAnsi="Times New Roman" w:eastAsia="仿宋_GB2312" w:cs="Times New Roman"/>
          <w:sz w:val="32"/>
          <w:lang w:eastAsia="zh-CN"/>
        </w:rPr>
        <w:t>进行了初审。现将审查情况报告如下：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default" w:ascii="Times New Roman" w:hAnsi="Times New Roman" w:eastAsia="黑体" w:cs="Times New Roman"/>
          <w:color w:val="000000"/>
          <w:kern w:val="0"/>
          <w:sz w:val="32"/>
          <w:lang w:eastAsia="zh-CN"/>
        </w:rPr>
      </w:pPr>
      <w:r>
        <w:rPr>
          <w:rFonts w:hint="default" w:ascii="Times New Roman" w:hAnsi="Times New Roman" w:eastAsia="黑体" w:cs="Times New Roman"/>
          <w:color w:val="000000"/>
          <w:kern w:val="0"/>
          <w:sz w:val="32"/>
          <w:lang w:eastAsia="zh-CN"/>
        </w:rPr>
        <w:t>一、总体情况</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6"/>
        <w:jc w:val="both"/>
        <w:textAlignment w:val="auto"/>
        <w:outlineLvl w:val="9"/>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今年以来，福田区人民政府以更大力度、更强举措推进项目建设，深入谋划了一批政府投资项目，开展了大量前期工作。截至目前，由区教育局负责实施的爱华小学建设工程、福田区实验学校项目，区卫健局负责实施的区二院门诊住院大楼及综合楼拆除重建工程，区水务局负责实施的福田区易涝风险区整治工程（</w:t>
      </w:r>
      <w:r>
        <w:rPr>
          <w:rFonts w:hint="default" w:ascii="Times New Roman" w:hAnsi="Times New Roman" w:eastAsia="仿宋_GB2312" w:cs="Times New Roman"/>
          <w:sz w:val="32"/>
          <w:lang w:val="en-US" w:eastAsia="zh-CN"/>
        </w:rPr>
        <w:t>2020年</w:t>
      </w:r>
      <w:r>
        <w:rPr>
          <w:rFonts w:hint="default" w:ascii="Times New Roman" w:hAnsi="Times New Roman" w:eastAsia="仿宋_GB2312" w:cs="Times New Roman"/>
          <w:sz w:val="32"/>
          <w:lang w:eastAsia="zh-CN"/>
        </w:rPr>
        <w:t>），市交通运输局福田管理局负责实施的彩田路交通与空间环境综合提升工程、福强路（彩田路-金田路段）交通与空间环境综合提升工程、上步路交通与空间环境综合提升工程，区民政局负责实施的福田区社会福利中心二期建设项目，区住建局负责实施的梅林</w:t>
      </w:r>
      <w:r>
        <w:rPr>
          <w:rFonts w:hint="default" w:ascii="Times New Roman" w:hAnsi="Times New Roman" w:eastAsia="仿宋_GB2312" w:cs="Times New Roman"/>
          <w:sz w:val="32"/>
          <w:lang w:val="en-US" w:eastAsia="zh-CN"/>
        </w:rPr>
        <w:t>29-02地块保障房项目，</w:t>
      </w:r>
      <w:r>
        <w:rPr>
          <w:rFonts w:hint="default" w:ascii="Times New Roman" w:hAnsi="Times New Roman" w:eastAsia="仿宋_GB2312" w:cs="Times New Roman"/>
          <w:sz w:val="32"/>
          <w:lang w:eastAsia="zh-CN"/>
        </w:rPr>
        <w:t>区物业中心负责实施的回购市住建局移交物业项目</w:t>
      </w:r>
      <w:r>
        <w:rPr>
          <w:rFonts w:hint="default" w:ascii="Times New Roman" w:hAnsi="Times New Roman" w:eastAsia="仿宋_GB2312" w:cs="Times New Roman"/>
          <w:sz w:val="32"/>
          <w:lang w:val="en-US" w:eastAsia="zh-CN"/>
        </w:rPr>
        <w:t>10个项目已完成项目建议书编制，启动立项程序。</w:t>
      </w:r>
      <w:r>
        <w:rPr>
          <w:rFonts w:hint="default" w:ascii="Times New Roman" w:hAnsi="Times New Roman" w:eastAsia="仿宋_GB2312" w:cs="Times New Roman"/>
          <w:sz w:val="32"/>
          <w:lang w:eastAsia="zh-CN"/>
        </w:rPr>
        <w:t>根据《深圳市福田区人民代表大会常务委员会政府投资项目审查监督办法》的要求，调整年度政府投资总额</w:t>
      </w:r>
      <w:r>
        <w:rPr>
          <w:rFonts w:hint="default" w:ascii="Times New Roman" w:hAnsi="Times New Roman" w:eastAsia="仿宋_GB2312" w:cs="Times New Roman"/>
          <w:sz w:val="32"/>
          <w:lang w:val="en-US" w:eastAsia="zh-CN"/>
        </w:rPr>
        <w:t>1亿元（含本数）以上的政府投资项目或增减新开工项目政府投资总额1亿元（含本数）以上的政府投资项目须列作分项表决项目，由区人民政府提请区人民代表大会常务委员会审查批准。</w:t>
      </w:r>
    </w:p>
    <w:p>
      <w:pPr>
        <w:keepNext w:val="0"/>
        <w:keepLines w:val="0"/>
        <w:pageBreakBefore w:val="0"/>
        <w:widowControl w:val="0"/>
        <w:kinsoku/>
        <w:wordWrap/>
        <w:overflowPunct/>
        <w:topLinePunct w:val="0"/>
        <w:autoSpaceDE/>
        <w:autoSpaceDN/>
        <w:bidi w:val="0"/>
        <w:spacing w:line="579" w:lineRule="exact"/>
        <w:ind w:left="0" w:lef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二、审查意见</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6"/>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上述10个项目均已经区政府常务会议审议通过。区发改局分别核定爱华小学建设工程投资匡算36684万元、福田实验学校项目投资匡算</w:t>
      </w:r>
      <w:r>
        <w:rPr>
          <w:rFonts w:hint="default" w:ascii="Times New Roman" w:hAnsi="Times New Roman" w:eastAsia="仿宋_GB2312" w:cs="Times New Roman"/>
          <w:sz w:val="32"/>
          <w:lang w:eastAsia="zh-CN"/>
        </w:rPr>
        <w:t>123692</w:t>
      </w:r>
      <w:r>
        <w:rPr>
          <w:rFonts w:hint="default" w:ascii="Times New Roman" w:hAnsi="Times New Roman" w:eastAsia="仿宋_GB2312" w:cs="Times New Roman"/>
          <w:sz w:val="32"/>
          <w:lang w:val="en-US" w:eastAsia="zh-CN"/>
        </w:rPr>
        <w:t>万元、</w:t>
      </w:r>
      <w:r>
        <w:rPr>
          <w:rFonts w:hint="default" w:ascii="Times New Roman" w:hAnsi="Times New Roman" w:eastAsia="仿宋_GB2312" w:cs="Times New Roman"/>
          <w:sz w:val="32"/>
          <w:lang w:eastAsia="zh-CN"/>
        </w:rPr>
        <w:t>区二院门诊住院大楼及综合楼拆除重建工程投资匡算74445万元、福田区易涝风险区整治工程（</w:t>
      </w:r>
      <w:r>
        <w:rPr>
          <w:rFonts w:hint="default" w:ascii="Times New Roman" w:hAnsi="Times New Roman" w:eastAsia="仿宋_GB2312" w:cs="Times New Roman"/>
          <w:sz w:val="32"/>
          <w:lang w:val="en-US" w:eastAsia="zh-CN"/>
        </w:rPr>
        <w:t>2020年</w:t>
      </w:r>
      <w:r>
        <w:rPr>
          <w:rFonts w:hint="default" w:ascii="Times New Roman" w:hAnsi="Times New Roman" w:eastAsia="仿宋_GB2312" w:cs="Times New Roman"/>
          <w:sz w:val="32"/>
          <w:lang w:eastAsia="zh-CN"/>
        </w:rPr>
        <w:t>）投资匡算</w:t>
      </w:r>
      <w:r>
        <w:rPr>
          <w:rFonts w:hint="default" w:ascii="Times New Roman" w:hAnsi="Times New Roman" w:eastAsia="仿宋_GB2312" w:cs="Times New Roman"/>
          <w:sz w:val="32"/>
          <w:lang w:val="en-US" w:eastAsia="zh-CN"/>
        </w:rPr>
        <w:t>88566万元、</w:t>
      </w:r>
      <w:r>
        <w:rPr>
          <w:rFonts w:hint="default" w:ascii="Times New Roman" w:hAnsi="Times New Roman" w:eastAsia="仿宋_GB2312" w:cs="Times New Roman"/>
          <w:sz w:val="32"/>
          <w:lang w:eastAsia="zh-CN"/>
        </w:rPr>
        <w:t>彩田路交通与空间环境综合提升工程投资匡算</w:t>
      </w:r>
      <w:r>
        <w:rPr>
          <w:rFonts w:hint="default" w:ascii="Times New Roman" w:hAnsi="Times New Roman" w:eastAsia="仿宋_GB2312" w:cs="Times New Roman"/>
          <w:sz w:val="32"/>
          <w:lang w:val="en-US" w:eastAsia="zh-CN"/>
        </w:rPr>
        <w:t>41119万元、</w:t>
      </w:r>
      <w:r>
        <w:rPr>
          <w:rFonts w:hint="default" w:ascii="Times New Roman" w:hAnsi="Times New Roman" w:eastAsia="仿宋_GB2312" w:cs="Times New Roman"/>
          <w:sz w:val="32"/>
          <w:lang w:eastAsia="zh-CN"/>
        </w:rPr>
        <w:t>福强路（彩田路-金田路段）交通与空间环境综合提升工程投资匡算</w:t>
      </w:r>
      <w:r>
        <w:rPr>
          <w:rFonts w:hint="default" w:ascii="Times New Roman" w:hAnsi="Times New Roman" w:eastAsia="仿宋_GB2312" w:cs="Times New Roman"/>
          <w:sz w:val="32"/>
          <w:lang w:val="en-US" w:eastAsia="zh-CN"/>
        </w:rPr>
        <w:t>15538万元、</w:t>
      </w:r>
      <w:r>
        <w:rPr>
          <w:rFonts w:hint="default" w:ascii="Times New Roman" w:hAnsi="Times New Roman" w:eastAsia="仿宋_GB2312" w:cs="Times New Roman"/>
          <w:sz w:val="32"/>
          <w:lang w:eastAsia="zh-CN"/>
        </w:rPr>
        <w:t>上步路交通与空间环境综合提升工程投资匡算</w:t>
      </w:r>
      <w:r>
        <w:rPr>
          <w:rFonts w:hint="default" w:ascii="Times New Roman" w:hAnsi="Times New Roman" w:eastAsia="仿宋_GB2312" w:cs="Times New Roman"/>
          <w:sz w:val="32"/>
          <w:lang w:val="en-US" w:eastAsia="zh-CN"/>
        </w:rPr>
        <w:t>25612万元、</w:t>
      </w:r>
      <w:r>
        <w:rPr>
          <w:rFonts w:hint="default" w:ascii="Times New Roman" w:hAnsi="Times New Roman" w:eastAsia="仿宋_GB2312" w:cs="Times New Roman"/>
          <w:sz w:val="32"/>
          <w:lang w:eastAsia="zh-CN"/>
        </w:rPr>
        <w:t>福田区社会福利中心二期建设项目投资匡算64765.57万元</w:t>
      </w:r>
      <w:r>
        <w:rPr>
          <w:rFonts w:hint="default" w:ascii="Times New Roman" w:hAnsi="Times New Roman" w:eastAsia="仿宋_GB2312" w:cs="Times New Roman"/>
          <w:sz w:val="32"/>
          <w:lang w:val="en-US" w:eastAsia="zh-CN"/>
        </w:rPr>
        <w:t>、梅林29-02地块保障房建设项目投资匡算37168万元、</w:t>
      </w:r>
      <w:r>
        <w:rPr>
          <w:rFonts w:hint="default" w:ascii="Times New Roman" w:hAnsi="Times New Roman" w:eastAsia="仿宋_GB2312" w:cs="Times New Roman"/>
          <w:sz w:val="32"/>
          <w:lang w:eastAsia="zh-CN"/>
        </w:rPr>
        <w:t>回购市住建局移交物业项目投资匡算</w:t>
      </w:r>
      <w:r>
        <w:rPr>
          <w:rFonts w:hint="default" w:ascii="Times New Roman" w:hAnsi="Times New Roman" w:eastAsia="仿宋_GB2312" w:cs="Times New Roman"/>
          <w:sz w:val="32"/>
          <w:lang w:val="en-US" w:eastAsia="zh-CN"/>
        </w:rPr>
        <w:t>10976万元，10个项目核定投资匡算合计为518565.57万元。</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6"/>
        <w:jc w:val="both"/>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审查认为，区政府提出的</w:t>
      </w:r>
      <w:r>
        <w:rPr>
          <w:rFonts w:hint="default" w:ascii="Times New Roman" w:hAnsi="Times New Roman" w:eastAsia="仿宋_GB2312" w:cs="Times New Roman"/>
          <w:sz w:val="32"/>
          <w:lang w:eastAsia="zh-CN"/>
        </w:rPr>
        <w:t>《爱华小学建设工程项目建议书的议案》</w:t>
      </w:r>
      <w:r>
        <w:rPr>
          <w:rFonts w:hint="default" w:ascii="Times New Roman" w:hAnsi="Times New Roman" w:eastAsia="仿宋_GB2312" w:cs="Times New Roman"/>
          <w:sz w:val="32"/>
          <w:lang w:val="en-US" w:eastAsia="zh-CN"/>
        </w:rPr>
        <w:t>10项新增投资项目客观反映了政府投资项目对保障医疗卫生、提升基础教育保障能力、完善城市基础建设、促进医养结合等补齐民生短板的投资意图，切实发挥政府投资在拉动经济增长的同时，优化投资结构、惠及民生、提高财政资金使用及投资效率的作用。从整体上看此次投资计划方案符合“六稳”“六保”工作部署要求，投资方案合理有效，项目规划科学可行。区人大财经城资工委建议区人大常委会批准区政府提出的</w:t>
      </w:r>
      <w:r>
        <w:rPr>
          <w:rFonts w:hint="default" w:ascii="Times New Roman" w:hAnsi="Times New Roman" w:eastAsia="仿宋_GB2312" w:cs="Times New Roman"/>
          <w:sz w:val="32"/>
          <w:lang w:eastAsia="zh-CN"/>
        </w:rPr>
        <w:t>《爱华小学建设工程项目建议书的议案》等</w:t>
      </w:r>
      <w:r>
        <w:rPr>
          <w:rFonts w:hint="default" w:ascii="Times New Roman" w:hAnsi="Times New Roman" w:eastAsia="仿宋_GB2312" w:cs="Times New Roman"/>
          <w:sz w:val="32"/>
          <w:lang w:val="en-US" w:eastAsia="zh-CN"/>
        </w:rPr>
        <w:t>10项</w:t>
      </w:r>
      <w:r>
        <w:rPr>
          <w:rFonts w:hint="default" w:ascii="Times New Roman" w:hAnsi="Times New Roman" w:eastAsia="仿宋_GB2312" w:cs="Times New Roman"/>
          <w:sz w:val="32"/>
          <w:lang w:eastAsia="zh-CN"/>
        </w:rPr>
        <w:t>议案。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default" w:ascii="Times New Roman" w:hAnsi="Times New Roman" w:eastAsia="黑体" w:cs="Times New Roman"/>
          <w:color w:val="000000"/>
          <w:kern w:val="0"/>
          <w:sz w:val="32"/>
          <w:lang w:eastAsia="zh-CN"/>
        </w:rPr>
      </w:pPr>
      <w:r>
        <w:rPr>
          <w:rFonts w:hint="default" w:ascii="Times New Roman" w:hAnsi="Times New Roman" w:eastAsia="黑体" w:cs="Times New Roman"/>
          <w:color w:val="000000"/>
          <w:kern w:val="0"/>
          <w:sz w:val="32"/>
          <w:lang w:eastAsia="zh-CN"/>
        </w:rPr>
        <w:t>三、工作建议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eastAsia="仿宋_GB2312" w:cs="Times New Roman"/>
          <w:sz w:val="32"/>
          <w:szCs w:val="32"/>
          <w:lang w:eastAsia="zh-CN"/>
        </w:rPr>
        <w:t>为了进一步推动政府投资项目的建设与管理，保障政府投资稳步落地并体现投资效益，</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20"/>
        </w:rPr>
        <w:t>人大</w:t>
      </w:r>
      <w:r>
        <w:rPr>
          <w:rFonts w:hint="eastAsia" w:ascii="Times New Roman" w:hAnsi="Times New Roman" w:eastAsia="仿宋_GB2312" w:cs="Times New Roman"/>
          <w:sz w:val="32"/>
          <w:szCs w:val="20"/>
          <w:lang w:eastAsia="zh-CN"/>
        </w:rPr>
        <w:t>常委会</w:t>
      </w:r>
      <w:r>
        <w:rPr>
          <w:rFonts w:hint="default" w:ascii="Times New Roman" w:hAnsi="Times New Roman" w:eastAsia="仿宋_GB2312" w:cs="Times New Roman"/>
          <w:sz w:val="32"/>
          <w:szCs w:val="20"/>
        </w:rPr>
        <w:t>财政经济和城建环资</w:t>
      </w:r>
      <w:r>
        <w:rPr>
          <w:rFonts w:hint="eastAsia" w:ascii="Times New Roman" w:hAnsi="Times New Roman" w:eastAsia="仿宋_GB2312" w:cs="Times New Roman"/>
          <w:sz w:val="32"/>
          <w:szCs w:val="20"/>
          <w:lang w:eastAsia="zh-CN"/>
        </w:rPr>
        <w:t>工作</w:t>
      </w:r>
      <w:r>
        <w:rPr>
          <w:rFonts w:hint="default" w:ascii="Times New Roman" w:hAnsi="Times New Roman" w:eastAsia="仿宋_GB2312" w:cs="Times New Roman"/>
          <w:sz w:val="32"/>
          <w:szCs w:val="20"/>
        </w:rPr>
        <w:t>委员会</w:t>
      </w:r>
      <w:r>
        <w:rPr>
          <w:rFonts w:hint="default" w:ascii="Times New Roman" w:hAnsi="Times New Roman" w:eastAsia="仿宋_GB2312" w:cs="Times New Roman"/>
          <w:sz w:val="32"/>
          <w:szCs w:val="32"/>
        </w:rPr>
        <w:t>提出如下建议：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是政府投资行为必须贯彻落实与经济社会发展水平和财政收支状况相适应的原则，符合国民经济和社会发展的政策要求。要加强政府投资项目的计划性，科学、全面、发展地综合衡量，建立政府投资项目库。区政府投资项目的计划调整或新开工项目的增减要严格执行年度投资预算安排。对于调整增减的政府投资项目必须明确资金来源或资金新的使用方向，涉及使用政府专项债的项目必须明确债务举借情况及偿还能力评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sz w:val="32"/>
          <w:szCs w:val="32"/>
          <w:lang w:eastAsia="zh-CN"/>
        </w:rPr>
        <w:t>二是区政府要依法依规</w:t>
      </w:r>
      <w:r>
        <w:rPr>
          <w:rFonts w:hint="default" w:ascii="Times New Roman" w:hAnsi="Times New Roman" w:eastAsia="仿宋_GB2312" w:cs="Times New Roman"/>
          <w:kern w:val="0"/>
          <w:sz w:val="32"/>
          <w:szCs w:val="32"/>
          <w:lang w:eastAsia="zh-CN"/>
        </w:rPr>
        <w:t>组织政府投资项目的管理、建设及监督工作，细化投资</w:t>
      </w:r>
      <w:r>
        <w:rPr>
          <w:rFonts w:hint="default" w:ascii="Times New Roman" w:hAnsi="Times New Roman" w:eastAsia="仿宋_GB2312" w:cs="Times New Roman"/>
          <w:sz w:val="32"/>
          <w:szCs w:val="32"/>
          <w:lang w:eastAsia="zh-CN"/>
        </w:rPr>
        <w:t>计划编制工作，科学统筹年度计划、调整方案及新增加项目的总体规划，合理协调三者关系，</w:t>
      </w:r>
      <w:r>
        <w:rPr>
          <w:rFonts w:hint="default" w:ascii="Times New Roman" w:hAnsi="Times New Roman" w:eastAsia="仿宋_GB2312" w:cs="Times New Roman"/>
          <w:kern w:val="0"/>
          <w:sz w:val="32"/>
          <w:szCs w:val="32"/>
          <w:lang w:val="en-US" w:eastAsia="zh-CN" w:bidi="ar-SA"/>
        </w:rPr>
        <w:t>科学调度资金使用，优化项目储备及管理。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sz w:val="32"/>
          <w:szCs w:val="32"/>
          <w:lang w:eastAsia="zh-CN"/>
        </w:rPr>
        <w:t>三是要按照</w:t>
      </w:r>
      <w:r>
        <w:rPr>
          <w:rFonts w:hint="default" w:ascii="Times New Roman" w:hAnsi="Times New Roman" w:eastAsia="仿宋_GB2312" w:cs="Times New Roman"/>
          <w:kern w:val="0"/>
          <w:sz w:val="32"/>
          <w:szCs w:val="32"/>
          <w:lang w:eastAsia="zh-CN"/>
        </w:rPr>
        <w:t>《深圳市福田区人民代表大会常务委员会政府投资项目审查监督办法》的要求，相关议案必须依时依序提请福田区人大常委会审查评议，听取意见建议，发挥人大的审查监督作用，规范政府投资行为。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四是要加强民生项目的投资与推进力度，优化、转变投资理念，做到</w:t>
      </w:r>
      <w:r>
        <w:rPr>
          <w:rFonts w:hint="default" w:ascii="Times New Roman" w:hAnsi="Times New Roman" w:eastAsia="仿宋_GB2312" w:cs="Times New Roman"/>
          <w:sz w:val="32"/>
          <w:szCs w:val="32"/>
          <w:lang w:eastAsia="zh-CN"/>
        </w:rPr>
        <w:t>综合平衡，保障投资资金使用切合民意、项目惠及民生。</w:t>
      </w:r>
      <w:r>
        <w:rPr>
          <w:rFonts w:hint="default" w:ascii="Times New Roman" w:hAnsi="Times New Roman" w:eastAsia="仿宋_GB2312" w:cs="Times New Roman"/>
          <w:kern w:val="0"/>
          <w:sz w:val="32"/>
          <w:szCs w:val="32"/>
          <w:lang w:eastAsia="zh-CN"/>
        </w:rPr>
        <w:t>增强项目惠及民生的辐射范围，如“福田区福利中心二期建设项目”建议综合考虑功能、定位及建成后的运营方式和医疗保障等；新建学校项目建议尽量预留扩建发展空间、实验学校项目是否考虑完全用于解决高中学位问题，促进政府投资项目与更好满足辖区居民需求紧密结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五是合理规划政府投资项目的施工建设任务，加强监督管理工作，</w:t>
      </w:r>
      <w:r>
        <w:rPr>
          <w:rFonts w:hint="default" w:ascii="Times New Roman" w:hAnsi="Times New Roman" w:eastAsia="仿宋_GB2312" w:cs="Times New Roman"/>
          <w:sz w:val="32"/>
          <w:szCs w:val="32"/>
          <w:lang w:eastAsia="zh-CN"/>
        </w:rPr>
        <w:t>推动项目早落地、早发力、早见效。比如，水务和交通改造的几个项目，都是利民工程，要最大限度减少扰民，</w:t>
      </w:r>
      <w:r>
        <w:rPr>
          <w:rFonts w:hint="default" w:ascii="Times New Roman" w:hAnsi="Times New Roman" w:eastAsia="仿宋_GB2312" w:cs="Times New Roman"/>
          <w:kern w:val="0"/>
          <w:sz w:val="32"/>
          <w:szCs w:val="32"/>
          <w:lang w:val="en-US" w:eastAsia="zh-CN" w:bidi="ar-SA"/>
        </w:rPr>
        <w:t>在按时保质完成项目建设的前提下，提高安全意识，做好事故防范工作，避免施工作业对群众带来困扰。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六是要加强代建项目的监管力度，代建单位要严格按照相关法规开展建设工作。项目责任单位依法督促代建单位严格遵守相关程序规定，定期、不定期开展代建项目检查工作，保障代建质量，对违反法律法规的代建责任单位予以追责。</w:t>
      </w:r>
    </w:p>
    <w:p>
      <w:pPr>
        <w:pStyle w:val="2"/>
        <w:keepNext/>
        <w:keepLines/>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outlineLvl w:val="2"/>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七是区财政部门要加强政府投资行为的资金监管，确保投资效益。区审计部门要加强政府投资行为的审计监督，加大审计发现问题整改情况的跟踪落实。</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both"/>
        <w:textAlignment w:val="auto"/>
        <w:outlineLvl w:val="9"/>
        <w:rPr>
          <w:rFonts w:hint="default" w:ascii="Times New Roman" w:hAnsi="Times New Roman" w:eastAsia="仿宋_GB2312" w:cs="Times New Roman"/>
          <w:b w:val="0"/>
          <w:bCs w:val="0"/>
          <w:color w:val="000000"/>
          <w:kern w:val="2"/>
          <w:sz w:val="32"/>
          <w:szCs w:val="32"/>
          <w:lang w:val="en-US" w:eastAsia="zh-CN" w:bidi="ar-SA"/>
        </w:rPr>
      </w:pPr>
    </w:p>
    <w:p/>
    <w:sectPr>
      <w:footerReference r:id="rId3" w:type="default"/>
      <w:footerReference r:id="rId4" w:type="even"/>
      <w:pgSz w:w="11906" w:h="16838"/>
      <w:pgMar w:top="1361" w:right="1361" w:bottom="1361" w:left="1361" w:header="851" w:footer="992" w:gutter="0"/>
      <w:pgNumType w:fmt="numberInDash"/>
      <w:cols w:space="720" w:num="1"/>
      <w:titlePg/>
      <w:docGrid w:type="lines" w:linePitch="312" w:charSpace="5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光通心圆_CNKI">
    <w:panose1 w:val="02000500000000000000"/>
    <w:charset w:val="86"/>
    <w:family w:val="auto"/>
    <w:pitch w:val="default"/>
    <w:sig w:usb0="A00002BF" w:usb1="38CF7CFA" w:usb2="00000016" w:usb3="00000000" w:csb0="0004000F" w:csb1="00000000"/>
  </w:font>
  <w:font w:name="华光隶书_CNKI">
    <w:panose1 w:val="02000500000000000000"/>
    <w:charset w:val="86"/>
    <w:family w:val="auto"/>
    <w:pitch w:val="default"/>
    <w:sig w:usb0="A00002BF" w:usb1="38CF7CFA" w:usb2="00000016" w:usb3="00000000" w:csb0="0004000F" w:csb1="00000000"/>
  </w:font>
  <w:font w:name="华光隶变_CNKI">
    <w:panose1 w:val="02000500000000000000"/>
    <w:charset w:val="86"/>
    <w:family w:val="auto"/>
    <w:pitch w:val="default"/>
    <w:sig w:usb0="800002BF" w:usb1="38CF7CFA" w:usb2="00000016" w:usb3="00000000" w:csb0="0004000F" w:csb1="00000000"/>
  </w:font>
  <w:font w:name="华光魏体_CNKI">
    <w:panose1 w:val="02000500000000000000"/>
    <w:charset w:val="86"/>
    <w:family w:val="auto"/>
    <w:pitch w:val="default"/>
    <w:sig w:usb0="A00002BF" w:usb1="18CF7CFA" w:usb2="00000016" w:usb3="00000000" w:csb0="0004000F" w:csb1="00000000"/>
  </w:font>
  <w:font w:name="华光黑体_CNKI">
    <w:panose1 w:val="02000500000000000000"/>
    <w:charset w:val="86"/>
    <w:family w:val="auto"/>
    <w:pitch w:val="default"/>
    <w:sig w:usb0="A00002BF" w:usb1="38CF7CFA" w:usb2="00000016" w:usb3="00000000" w:csb0="0004000F" w:csb1="00000000"/>
  </w:font>
  <w:font w:name="华光黑变_CNKI">
    <w:panose1 w:val="02000500000000000000"/>
    <w:charset w:val="86"/>
    <w:family w:val="auto"/>
    <w:pitch w:val="default"/>
    <w:sig w:usb0="A00002BF" w:usb1="1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仿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华光超粗黑_CNKI">
    <w:panose1 w:val="02000500000000000000"/>
    <w:charset w:val="86"/>
    <w:family w:val="auto"/>
    <w:pitch w:val="default"/>
    <w:sig w:usb0="A00002BF" w:usb1="18CF7CFA" w:usb2="00000016" w:usb3="00000000" w:csb0="0004000F" w:csb1="00000000"/>
  </w:font>
  <w:font w:name="华光行书_CNKI">
    <w:panose1 w:val="02000500000000000000"/>
    <w:charset w:val="86"/>
    <w:family w:val="auto"/>
    <w:pitch w:val="default"/>
    <w:sig w:usb0="A00002BF" w:usb1="18CF7CFA" w:usb2="00000016" w:usb3="00000000" w:csb0="0004000F" w:csb1="00000000"/>
  </w:font>
  <w:font w:name="华光粗黑_CNKI">
    <w:panose1 w:val="02000500000000000000"/>
    <w:charset w:val="86"/>
    <w:family w:val="auto"/>
    <w:pitch w:val="default"/>
    <w:sig w:usb0="A00002BF" w:usb1="38CF7CFA" w:usb2="00000016" w:usb3="00000000" w:csb0="0004000F" w:csb1="00000000"/>
  </w:font>
  <w:font w:name="华光粗圆_CNKI">
    <w:panose1 w:val="02000500000000000000"/>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全新硬笔行书简">
    <w:panose1 w:val="02010600040101010101"/>
    <w:charset w:val="86"/>
    <w:family w:val="auto"/>
    <w:pitch w:val="default"/>
    <w:sig w:usb0="00000001" w:usb1="080E0000" w:usb2="00000000" w:usb3="00000000" w:csb0="00040000" w:csb1="00000000"/>
  </w:font>
  <w:font w:name="华光中圆_CNKI">
    <w:panose1 w:val="02000500000000000000"/>
    <w:charset w:val="86"/>
    <w:family w:val="auto"/>
    <w:pitch w:val="default"/>
    <w:sig w:usb0="A00002BF" w:usb1="1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496" w:y="7"/>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- 2 -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- 2 -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03C3F"/>
    <w:rsid w:val="2C436EC7"/>
    <w:rsid w:val="76703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4">
    <w:name w:val="Default Paragraph Font"/>
    <w:link w:val="5"/>
    <w:semiHidden/>
    <w:uiPriority w:val="0"/>
    <w:rPr>
      <w:szCs w:val="22"/>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customStyle="1" w:styleId="5">
    <w:name w:val="_Style 7"/>
    <w:basedOn w:val="1"/>
    <w:link w:val="4"/>
    <w:qFormat/>
    <w:uiPriority w:val="0"/>
    <w:pPr>
      <w:widowControl/>
      <w:spacing w:after="160" w:line="240" w:lineRule="exact"/>
      <w:jc w:val="left"/>
    </w:pPr>
    <w:rPr>
      <w:szCs w:val="22"/>
    </w:rPr>
  </w:style>
  <w:style w:type="character" w:styleId="6">
    <w:name w:val="page number"/>
    <w:basedOn w:val="4"/>
    <w:uiPriority w:val="0"/>
  </w:style>
  <w:style w:type="paragraph" w:customStyle="1" w:styleId="8">
    <w:name w:val="p0"/>
    <w:basedOn w:val="1"/>
    <w:qFormat/>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2020-08-17T08:43:00Z</dcterms:created>
  <dc:creator>杨静铭</dc:creator>
  <cp:lastModifiedBy>杨静铭</cp:lastModifiedBy>
  <dcterms:modified xsi:type="dcterms:W3CDTF">2020-08-17T08:45:11Z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