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sz w:val="44"/>
          <w:szCs w:val="44"/>
        </w:rPr>
        <w:t>福田区</w:t>
      </w:r>
      <w:r>
        <w:rPr>
          <w:rFonts w:hint="eastAsia"/>
          <w:sz w:val="44"/>
          <w:szCs w:val="44"/>
          <w:lang w:eastAsia="zh-CN"/>
        </w:rPr>
        <w:t>统计</w:t>
      </w:r>
      <w:r>
        <w:rPr>
          <w:rFonts w:hint="eastAsia"/>
          <w:sz w:val="44"/>
          <w:szCs w:val="44"/>
        </w:rPr>
        <w:t>局2020年“双随机、一公开”跨部门联合抽查结果公示</w:t>
      </w:r>
    </w:p>
    <w:bookmarkEnd w:id="0"/>
    <w:p/>
    <w:tbl>
      <w:tblPr>
        <w:tblStyle w:val="2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988"/>
        <w:gridCol w:w="1974"/>
        <w:gridCol w:w="2719"/>
        <w:gridCol w:w="2326"/>
        <w:gridCol w:w="2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2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抽查人员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深圳福青龙华天假日酒店有限公司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1.限额以上住宿业企业统计数据检查；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2.商事主体公示信息抽查。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朱景山005416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王伟洪004816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高日香004817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深圳闽江宾馆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深圳国丰酒店有限公司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深圳市昌盛投资发展有限公司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深圳市爱琴海浪漫艺术酒店有限公司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深圳市君临天下酒店管理有限公司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1.限额以上住宿业企业统计数据检查；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2.商事主体公示信息抽查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超005422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朱景山005416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舒011037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王俊伟016288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深圳市福田区华侨城锦华宾馆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深圳市滨河时代酒店管理有限公司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5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1、统计</w:t>
            </w:r>
            <w:r>
              <w:rPr>
                <w:rStyle w:val="5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未发现问题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5"/>
                <w:szCs w:val="15"/>
                <w:lang w:val="en-US" w:eastAsia="zh-CN" w:bidi="ar"/>
              </w:rPr>
              <w:t>2、通过登记的住所（经营场所）无法联系，已责令改正。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深圳市绿景酒店有限公司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深圳市新大洲酒店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2020年8月13日</w:t>
            </w:r>
          </w:p>
        </w:tc>
        <w:tc>
          <w:tcPr>
            <w:tcW w:w="27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未发现问题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5BCF"/>
    <w:rsid w:val="2E497E9B"/>
    <w:rsid w:val="516D7E42"/>
    <w:rsid w:val="63B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2020-08-17T08:42:00Z</dcterms:created>
  <dc:creator>金超</dc:creator>
  <cp:lastModifiedBy>金超</cp:lastModifiedBy>
  <dcterms:modified xsi:type="dcterms:W3CDTF">2020-12-03T07:06:15Z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