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asciiTheme="minorEastAsia" w:hAnsiTheme="minorEastAsia"/>
          <w:bCs/>
          <w:sz w:val="44"/>
          <w:szCs w:val="44"/>
        </w:rPr>
      </w:pPr>
    </w:p>
    <w:p>
      <w:pPr>
        <w:widowControl/>
        <w:wordWrap w:val="0"/>
        <w:jc w:val="left"/>
        <w:rPr>
          <w:rFonts w:asciiTheme="minorEastAsia" w:hAnsiTheme="minorEastAsia"/>
          <w:bCs/>
          <w:sz w:val="44"/>
          <w:szCs w:val="44"/>
        </w:rPr>
      </w:pPr>
    </w:p>
    <w:p>
      <w:pPr>
        <w:widowControl/>
        <w:wordWrap w:val="0"/>
        <w:jc w:val="left"/>
        <w:rPr>
          <w:rFonts w:asciiTheme="minorEastAsia" w:hAnsiTheme="minorEastAsia"/>
          <w:bCs/>
          <w:sz w:val="44"/>
          <w:szCs w:val="44"/>
        </w:rPr>
      </w:pPr>
    </w:p>
    <w:p>
      <w:pPr>
        <w:widowControl/>
        <w:wordWrap w:val="0"/>
        <w:jc w:val="left"/>
        <w:rPr>
          <w:rFonts w:asciiTheme="minorEastAsia" w:hAnsiTheme="minorEastAsia"/>
          <w:bCs/>
          <w:sz w:val="44"/>
          <w:szCs w:val="44"/>
        </w:rPr>
      </w:pPr>
      <w:r>
        <w:rPr>
          <w:rFonts w:asciiTheme="minorEastAsia" w:hAnsiTheme="minorEastAsia"/>
          <w:bCs/>
          <w:sz w:val="44"/>
          <w:szCs w:val="44"/>
        </w:rPr>
        <w:t>深圳市</w:t>
      </w:r>
      <w:r>
        <w:rPr>
          <w:rFonts w:hint="eastAsia" w:asciiTheme="minorEastAsia" w:hAnsiTheme="minorEastAsia"/>
          <w:bCs/>
          <w:sz w:val="44"/>
          <w:szCs w:val="44"/>
        </w:rPr>
        <w:t>福田区妇女联合会</w:t>
      </w:r>
      <w:r>
        <w:rPr>
          <w:rFonts w:asciiTheme="minorEastAsia" w:hAnsiTheme="minorEastAsia"/>
          <w:bCs/>
          <w:sz w:val="44"/>
          <w:szCs w:val="44"/>
        </w:rPr>
        <w:t>2013年度部门</w:t>
      </w:r>
    </w:p>
    <w:p>
      <w:pPr>
        <w:widowControl/>
        <w:wordWrap w:val="0"/>
        <w:ind w:firstLine="880" w:firstLineChars="200"/>
        <w:jc w:val="left"/>
        <w:rPr>
          <w:rFonts w:asciiTheme="minorEastAsia" w:hAnsiTheme="minorEastAsia"/>
          <w:bCs/>
          <w:sz w:val="44"/>
          <w:szCs w:val="44"/>
        </w:rPr>
      </w:pPr>
      <w:r>
        <w:rPr>
          <w:rFonts w:asciiTheme="minorEastAsia" w:hAnsiTheme="minorEastAsia"/>
          <w:bCs/>
          <w:sz w:val="44"/>
          <w:szCs w:val="44"/>
        </w:rPr>
        <w:t>决算信息及“三公”经费信息</w:t>
      </w:r>
    </w:p>
    <w:p>
      <w:pPr>
        <w:widowControl/>
        <w:wordWrap w:val="0"/>
        <w:ind w:firstLine="1320" w:firstLineChars="300"/>
        <w:jc w:val="left"/>
        <w:rPr>
          <w:rFonts w:cs="宋体" w:asciiTheme="minorEastAsia" w:hAnsiTheme="minorEastAsia"/>
          <w:kern w:val="0"/>
          <w:sz w:val="44"/>
          <w:szCs w:val="44"/>
        </w:rPr>
      </w:pPr>
    </w:p>
    <w:p>
      <w:pPr>
        <w:widowControl/>
        <w:jc w:val="center"/>
        <w:rPr>
          <w:rFonts w:ascii="仿宋" w:hAnsi="仿宋" w:eastAsia="仿宋"/>
          <w:sz w:val="32"/>
          <w:szCs w:val="32"/>
        </w:rPr>
      </w:pPr>
      <w:r>
        <w:rPr>
          <w:rFonts w:ascii="仿宋" w:hAnsi="仿宋" w:eastAsia="仿宋"/>
          <w:sz w:val="32"/>
          <w:szCs w:val="32"/>
        </w:rPr>
        <w:t xml:space="preserve">第一部分 </w:t>
      </w:r>
      <w:r>
        <w:rPr>
          <w:rFonts w:hint="eastAsia" w:ascii="仿宋" w:hAnsi="仿宋" w:eastAsia="仿宋"/>
          <w:sz w:val="32"/>
          <w:szCs w:val="32"/>
        </w:rPr>
        <w:t>福田区妇联</w:t>
      </w:r>
      <w:r>
        <w:rPr>
          <w:rFonts w:ascii="仿宋" w:hAnsi="仿宋" w:eastAsia="仿宋"/>
          <w:sz w:val="32"/>
          <w:szCs w:val="32"/>
        </w:rPr>
        <w:t>主要职能、机构设置等</w:t>
      </w:r>
    </w:p>
    <w:p>
      <w:pPr>
        <w:widowControl/>
        <w:wordWrap w:val="0"/>
        <w:ind w:firstLine="640" w:firstLineChars="200"/>
        <w:jc w:val="left"/>
        <w:rPr>
          <w:rFonts w:ascii="仿宋" w:hAnsi="仿宋" w:eastAsia="仿宋"/>
          <w:sz w:val="32"/>
          <w:szCs w:val="32"/>
        </w:rPr>
      </w:pPr>
      <w:r>
        <w:rPr>
          <w:rFonts w:ascii="仿宋" w:hAnsi="仿宋" w:eastAsia="仿宋"/>
          <w:sz w:val="32"/>
          <w:szCs w:val="32"/>
        </w:rPr>
        <w:t>一、主要职能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主要职能是：组织、引导全区妇女积极投身福田现代化中心城区建设，促进“首善之区，幸福福田”建设；提高妇女综合素质，促进妇女全面发展；切实代表和维护妇女权益，服务妇女发展、维护社会稳定、推动社会和谐，促进社会主义民主政治；参与社会管理和公共服务，推动服务妇女工作项目化；巩固和扩大妇女的和谐团结，发挥妇联在统战工作中的优势，加强与香港、澳门、台湾和其他妇女组织的联谊。</w:t>
      </w:r>
    </w:p>
    <w:p>
      <w:pPr>
        <w:spacing w:line="560" w:lineRule="exact"/>
        <w:ind w:firstLine="640" w:firstLineChars="200"/>
        <w:rPr>
          <w:rFonts w:ascii="仿宋" w:hAnsi="仿宋" w:eastAsia="仿宋"/>
          <w:sz w:val="32"/>
          <w:szCs w:val="32"/>
        </w:rPr>
      </w:pPr>
      <w:r>
        <w:rPr>
          <w:rFonts w:ascii="仿宋" w:hAnsi="仿宋" w:eastAsia="仿宋"/>
          <w:sz w:val="32"/>
          <w:szCs w:val="32"/>
        </w:rPr>
        <w:t>二、机构编制情况</w:t>
      </w:r>
    </w:p>
    <w:p>
      <w:pPr>
        <w:widowControl/>
        <w:wordWrap w:val="0"/>
        <w:ind w:firstLine="640" w:firstLineChars="200"/>
        <w:jc w:val="left"/>
        <w:rPr>
          <w:rFonts w:ascii="仿宋" w:hAnsi="仿宋" w:eastAsia="仿宋"/>
          <w:sz w:val="32"/>
          <w:szCs w:val="32"/>
        </w:rPr>
      </w:pPr>
      <w:r>
        <w:rPr>
          <w:rFonts w:hint="eastAsia" w:ascii="仿宋" w:hAnsi="仿宋" w:eastAsia="仿宋"/>
          <w:sz w:val="32"/>
          <w:szCs w:val="32"/>
        </w:rPr>
        <w:t>本单位共设两部一室（含办公室），编制内实有人数8人，雇员实有人数3人，协管员实有人数0人，离退休人员6人。</w:t>
      </w:r>
      <w:r>
        <w:rPr>
          <w:rFonts w:ascii="仿宋" w:hAnsi="仿宋" w:eastAsia="仿宋"/>
          <w:sz w:val="32"/>
          <w:szCs w:val="32"/>
        </w:rPr>
        <w:t>　</w:t>
      </w:r>
    </w:p>
    <w:p>
      <w:pPr>
        <w:widowControl/>
        <w:wordWrap w:val="0"/>
        <w:jc w:val="left"/>
        <w:rPr>
          <w:rFonts w:ascii="仿宋" w:hAnsi="仿宋" w:eastAsia="仿宋"/>
          <w:sz w:val="32"/>
          <w:szCs w:val="32"/>
        </w:rPr>
      </w:pPr>
      <w:r>
        <w:rPr>
          <w:rFonts w:ascii="仿宋" w:hAnsi="仿宋" w:eastAsia="仿宋"/>
          <w:sz w:val="32"/>
          <w:szCs w:val="32"/>
        </w:rPr>
        <w:t>　</w:t>
      </w:r>
    </w:p>
    <w:p>
      <w:pPr>
        <w:widowControl/>
        <w:jc w:val="center"/>
        <w:rPr>
          <w:rFonts w:ascii="仿宋" w:hAnsi="仿宋" w:eastAsia="仿宋"/>
          <w:sz w:val="32"/>
          <w:szCs w:val="32"/>
        </w:rPr>
      </w:pPr>
      <w:r>
        <w:rPr>
          <w:rFonts w:ascii="仿宋" w:hAnsi="仿宋" w:eastAsia="仿宋"/>
          <w:sz w:val="32"/>
          <w:szCs w:val="32"/>
        </w:rPr>
        <w:t xml:space="preserve">第二部分 </w:t>
      </w:r>
      <w:r>
        <w:rPr>
          <w:rFonts w:hint="eastAsia" w:ascii="仿宋" w:hAnsi="仿宋" w:eastAsia="仿宋"/>
          <w:sz w:val="32"/>
          <w:szCs w:val="32"/>
        </w:rPr>
        <w:t>福田区妇联</w:t>
      </w:r>
      <w:r>
        <w:rPr>
          <w:rFonts w:ascii="仿宋" w:hAnsi="仿宋" w:eastAsia="仿宋"/>
          <w:sz w:val="32"/>
          <w:szCs w:val="32"/>
        </w:rPr>
        <w:t>2013年度部门决算表</w:t>
      </w:r>
    </w:p>
    <w:p>
      <w:pPr>
        <w:widowControl/>
        <w:wordWrap w:val="0"/>
        <w:ind w:firstLine="640" w:firstLineChars="200"/>
        <w:jc w:val="left"/>
        <w:rPr>
          <w:rFonts w:ascii="仿宋" w:hAnsi="仿宋" w:eastAsia="仿宋"/>
          <w:sz w:val="32"/>
          <w:szCs w:val="32"/>
        </w:rPr>
      </w:pPr>
      <w:r>
        <w:rPr>
          <w:rFonts w:ascii="仿宋" w:hAnsi="仿宋" w:eastAsia="仿宋"/>
          <w:sz w:val="32"/>
          <w:szCs w:val="32"/>
        </w:rPr>
        <w:t>一、公共预算收入支出决算总表（详见附件1）</w:t>
      </w:r>
    </w:p>
    <w:p>
      <w:pPr>
        <w:widowControl/>
        <w:wordWrap w:val="0"/>
        <w:ind w:firstLine="648"/>
        <w:jc w:val="left"/>
        <w:rPr>
          <w:rFonts w:ascii="仿宋" w:hAnsi="仿宋" w:eastAsia="仿宋"/>
          <w:sz w:val="32"/>
          <w:szCs w:val="32"/>
        </w:rPr>
      </w:pPr>
      <w:r>
        <w:rPr>
          <w:rFonts w:ascii="仿宋" w:hAnsi="仿宋" w:eastAsia="仿宋"/>
          <w:sz w:val="32"/>
          <w:szCs w:val="32"/>
        </w:rPr>
        <w:t>二、公共预算财政拨款支出决算表（详见附件2）</w:t>
      </w:r>
    </w:p>
    <w:p>
      <w:pPr>
        <w:widowControl/>
        <w:wordWrap w:val="0"/>
        <w:ind w:firstLine="648"/>
        <w:jc w:val="left"/>
        <w:rPr>
          <w:rFonts w:ascii="仿宋" w:hAnsi="仿宋" w:eastAsia="仿宋"/>
          <w:sz w:val="32"/>
          <w:szCs w:val="32"/>
        </w:rPr>
      </w:pPr>
    </w:p>
    <w:p>
      <w:pPr>
        <w:widowControl/>
        <w:jc w:val="center"/>
        <w:rPr>
          <w:rFonts w:ascii="仿宋" w:hAnsi="仿宋" w:eastAsia="仿宋"/>
          <w:sz w:val="32"/>
          <w:szCs w:val="32"/>
        </w:rPr>
      </w:pPr>
      <w:r>
        <w:rPr>
          <w:rFonts w:ascii="仿宋" w:hAnsi="仿宋" w:eastAsia="仿宋"/>
          <w:sz w:val="32"/>
          <w:szCs w:val="32"/>
        </w:rPr>
        <w:t>第三部分</w:t>
      </w:r>
      <w:r>
        <w:rPr>
          <w:rFonts w:hint="eastAsia" w:ascii="仿宋" w:hAnsi="仿宋" w:eastAsia="仿宋"/>
          <w:sz w:val="32"/>
          <w:szCs w:val="32"/>
        </w:rPr>
        <w:t xml:space="preserve"> 福田区妇联</w:t>
      </w:r>
      <w:r>
        <w:rPr>
          <w:rFonts w:ascii="仿宋" w:hAnsi="仿宋" w:eastAsia="仿宋"/>
          <w:sz w:val="32"/>
          <w:szCs w:val="32"/>
        </w:rPr>
        <w:t>2013年度收入支出预算执行情况</w:t>
      </w:r>
    </w:p>
    <w:p>
      <w:pPr>
        <w:widowControl/>
        <w:wordWrap w:val="0"/>
        <w:jc w:val="left"/>
        <w:rPr>
          <w:rFonts w:ascii="仿宋" w:hAnsi="仿宋" w:eastAsia="仿宋"/>
          <w:sz w:val="32"/>
          <w:szCs w:val="32"/>
        </w:rPr>
      </w:pPr>
      <w:r>
        <w:rPr>
          <w:rFonts w:ascii="仿宋" w:hAnsi="仿宋" w:eastAsia="仿宋"/>
          <w:sz w:val="32"/>
          <w:szCs w:val="32"/>
        </w:rPr>
        <w:t>　　一、收入来源</w:t>
      </w:r>
    </w:p>
    <w:p>
      <w:pPr>
        <w:widowControl/>
        <w:wordWrap w:val="0"/>
        <w:jc w:val="left"/>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福田区妇联</w:t>
      </w:r>
      <w:r>
        <w:rPr>
          <w:rFonts w:ascii="仿宋" w:hAnsi="仿宋" w:eastAsia="仿宋"/>
          <w:sz w:val="32"/>
          <w:szCs w:val="32"/>
        </w:rPr>
        <w:t>2013年部门决算总收入</w:t>
      </w:r>
      <w:r>
        <w:rPr>
          <w:rFonts w:hint="eastAsia" w:ascii="仿宋" w:hAnsi="仿宋" w:eastAsia="仿宋"/>
          <w:sz w:val="32"/>
          <w:szCs w:val="32"/>
        </w:rPr>
        <w:t>669.66</w:t>
      </w:r>
      <w:r>
        <w:rPr>
          <w:rFonts w:ascii="仿宋" w:hAnsi="仿宋" w:eastAsia="仿宋"/>
          <w:sz w:val="32"/>
          <w:szCs w:val="32"/>
        </w:rPr>
        <w:t>万元，其中：财政拨款收入</w:t>
      </w:r>
      <w:r>
        <w:rPr>
          <w:rFonts w:hint="eastAsia" w:ascii="仿宋" w:hAnsi="仿宋" w:eastAsia="仿宋"/>
          <w:sz w:val="32"/>
          <w:szCs w:val="32"/>
        </w:rPr>
        <w:t>599.39</w:t>
      </w:r>
      <w:r>
        <w:rPr>
          <w:rFonts w:ascii="仿宋" w:hAnsi="仿宋" w:eastAsia="仿宋"/>
          <w:sz w:val="32"/>
          <w:szCs w:val="32"/>
        </w:rPr>
        <w:t>万元，占总收入的</w:t>
      </w:r>
      <w:r>
        <w:rPr>
          <w:rFonts w:hint="eastAsia" w:ascii="仿宋" w:hAnsi="仿宋" w:eastAsia="仿宋"/>
          <w:sz w:val="32"/>
          <w:szCs w:val="32"/>
        </w:rPr>
        <w:t>89.51</w:t>
      </w:r>
      <w:r>
        <w:rPr>
          <w:rFonts w:ascii="仿宋" w:hAnsi="仿宋" w:eastAsia="仿宋"/>
          <w:sz w:val="32"/>
          <w:szCs w:val="32"/>
        </w:rPr>
        <w:t>％；其他收入</w:t>
      </w:r>
      <w:r>
        <w:rPr>
          <w:rFonts w:hint="eastAsia" w:ascii="仿宋" w:hAnsi="仿宋" w:eastAsia="仿宋"/>
          <w:sz w:val="32"/>
          <w:szCs w:val="32"/>
        </w:rPr>
        <w:t>10.41</w:t>
      </w:r>
      <w:r>
        <w:rPr>
          <w:rFonts w:ascii="仿宋" w:hAnsi="仿宋" w:eastAsia="仿宋"/>
          <w:sz w:val="32"/>
          <w:szCs w:val="32"/>
        </w:rPr>
        <w:t>万元，占全年收入的</w:t>
      </w:r>
      <w:r>
        <w:rPr>
          <w:rFonts w:hint="eastAsia" w:ascii="仿宋" w:hAnsi="仿宋" w:eastAsia="仿宋"/>
          <w:sz w:val="32"/>
          <w:szCs w:val="32"/>
        </w:rPr>
        <w:t>1.55</w:t>
      </w:r>
      <w:r>
        <w:rPr>
          <w:rFonts w:ascii="仿宋" w:hAnsi="仿宋" w:eastAsia="仿宋"/>
          <w:sz w:val="32"/>
          <w:szCs w:val="32"/>
        </w:rPr>
        <w:t>％</w:t>
      </w:r>
      <w:r>
        <w:rPr>
          <w:rFonts w:hint="eastAsia" w:ascii="仿宋" w:hAnsi="仿宋" w:eastAsia="仿宋"/>
          <w:sz w:val="32"/>
          <w:szCs w:val="32"/>
        </w:rPr>
        <w:t>；上年结转和结余59.87万元，占全年收入的8.94%。</w:t>
      </w:r>
    </w:p>
    <w:p>
      <w:pPr>
        <w:widowControl/>
        <w:wordWrap w:val="0"/>
        <w:jc w:val="left"/>
        <w:rPr>
          <w:rFonts w:ascii="仿宋" w:hAnsi="仿宋" w:eastAsia="仿宋"/>
          <w:sz w:val="32"/>
          <w:szCs w:val="32"/>
        </w:rPr>
      </w:pPr>
      <w:r>
        <w:rPr>
          <w:rFonts w:ascii="仿宋" w:hAnsi="仿宋" w:eastAsia="仿宋"/>
          <w:sz w:val="32"/>
          <w:szCs w:val="32"/>
        </w:rPr>
        <w:t>　　二、支出构成</w:t>
      </w:r>
    </w:p>
    <w:p>
      <w:pPr>
        <w:widowControl/>
        <w:wordWrap w:val="0"/>
        <w:jc w:val="left"/>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福田区妇联</w:t>
      </w:r>
      <w:r>
        <w:rPr>
          <w:rFonts w:ascii="仿宋" w:hAnsi="仿宋" w:eastAsia="仿宋"/>
          <w:sz w:val="32"/>
          <w:szCs w:val="32"/>
        </w:rPr>
        <w:t>2013年部门决算总支出</w:t>
      </w:r>
      <w:r>
        <w:rPr>
          <w:rFonts w:hint="eastAsia" w:ascii="仿宋" w:hAnsi="仿宋" w:eastAsia="仿宋"/>
          <w:sz w:val="32"/>
          <w:szCs w:val="32"/>
        </w:rPr>
        <w:t>669.66</w:t>
      </w:r>
      <w:r>
        <w:rPr>
          <w:rFonts w:ascii="仿宋" w:hAnsi="仿宋" w:eastAsia="仿宋"/>
          <w:sz w:val="32"/>
          <w:szCs w:val="32"/>
        </w:rPr>
        <w:t>万元，其中：财政拨款支出</w:t>
      </w:r>
      <w:r>
        <w:rPr>
          <w:rFonts w:hint="eastAsia" w:ascii="仿宋" w:hAnsi="仿宋" w:eastAsia="仿宋"/>
          <w:sz w:val="32"/>
          <w:szCs w:val="32"/>
        </w:rPr>
        <w:t>603.51</w:t>
      </w:r>
      <w:r>
        <w:rPr>
          <w:rFonts w:ascii="仿宋" w:hAnsi="仿宋" w:eastAsia="仿宋"/>
          <w:sz w:val="32"/>
          <w:szCs w:val="32"/>
        </w:rPr>
        <w:t>万元，占全年支出的</w:t>
      </w:r>
      <w:r>
        <w:rPr>
          <w:rFonts w:hint="eastAsia" w:ascii="仿宋" w:hAnsi="仿宋" w:eastAsia="仿宋"/>
          <w:sz w:val="32"/>
          <w:szCs w:val="32"/>
        </w:rPr>
        <w:t>90.12</w:t>
      </w:r>
      <w:r>
        <w:rPr>
          <w:rFonts w:ascii="仿宋" w:hAnsi="仿宋" w:eastAsia="仿宋"/>
          <w:sz w:val="32"/>
          <w:szCs w:val="32"/>
        </w:rPr>
        <w:t>％。</w:t>
      </w:r>
    </w:p>
    <w:p>
      <w:pPr>
        <w:widowControl/>
        <w:wordWrap w:val="0"/>
        <w:jc w:val="left"/>
        <w:rPr>
          <w:rFonts w:ascii="仿宋" w:hAnsi="仿宋" w:eastAsia="仿宋"/>
          <w:sz w:val="32"/>
          <w:szCs w:val="32"/>
        </w:rPr>
      </w:pPr>
      <w:r>
        <w:rPr>
          <w:rFonts w:ascii="仿宋" w:hAnsi="仿宋" w:eastAsia="仿宋"/>
          <w:sz w:val="32"/>
          <w:szCs w:val="32"/>
        </w:rPr>
        <w:t>　　财政拨款支出中，基本支出</w:t>
      </w:r>
      <w:r>
        <w:rPr>
          <w:rFonts w:hint="eastAsia" w:ascii="仿宋" w:hAnsi="仿宋" w:eastAsia="仿宋"/>
          <w:sz w:val="32"/>
          <w:szCs w:val="32"/>
        </w:rPr>
        <w:t>258.64</w:t>
      </w:r>
      <w:r>
        <w:rPr>
          <w:rFonts w:ascii="仿宋" w:hAnsi="仿宋" w:eastAsia="仿宋"/>
          <w:sz w:val="32"/>
          <w:szCs w:val="32"/>
        </w:rPr>
        <w:t>万元（主要工资福利支出，对个人和家庭的补助支出），占本年财政拨款支出的</w:t>
      </w:r>
      <w:r>
        <w:rPr>
          <w:rFonts w:hint="eastAsia" w:ascii="仿宋" w:hAnsi="仿宋" w:eastAsia="仿宋"/>
          <w:sz w:val="32"/>
          <w:szCs w:val="32"/>
        </w:rPr>
        <w:t>42.86</w:t>
      </w:r>
      <w:r>
        <w:rPr>
          <w:rFonts w:ascii="仿宋" w:hAnsi="仿宋" w:eastAsia="仿宋"/>
          <w:sz w:val="32"/>
          <w:szCs w:val="32"/>
        </w:rPr>
        <w:t>%；项目支出</w:t>
      </w:r>
      <w:r>
        <w:rPr>
          <w:rFonts w:hint="eastAsia" w:ascii="仿宋" w:hAnsi="仿宋" w:eastAsia="仿宋"/>
          <w:sz w:val="32"/>
          <w:szCs w:val="32"/>
        </w:rPr>
        <w:t>344.87</w:t>
      </w:r>
      <w:r>
        <w:rPr>
          <w:rFonts w:ascii="仿宋" w:hAnsi="仿宋" w:eastAsia="仿宋"/>
          <w:sz w:val="32"/>
          <w:szCs w:val="32"/>
        </w:rPr>
        <w:t>万元，占本年财政拨款支出的</w:t>
      </w:r>
      <w:r>
        <w:rPr>
          <w:rFonts w:hint="eastAsia" w:ascii="仿宋" w:hAnsi="仿宋" w:eastAsia="仿宋"/>
          <w:sz w:val="32"/>
          <w:szCs w:val="32"/>
        </w:rPr>
        <w:t>57.14</w:t>
      </w:r>
      <w:r>
        <w:rPr>
          <w:rFonts w:ascii="仿宋" w:hAnsi="仿宋" w:eastAsia="仿宋"/>
          <w:sz w:val="32"/>
          <w:szCs w:val="32"/>
        </w:rPr>
        <w:t>%。</w:t>
      </w:r>
    </w:p>
    <w:p>
      <w:pPr>
        <w:widowControl/>
        <w:wordWrap w:val="0"/>
        <w:jc w:val="left"/>
        <w:rPr>
          <w:rFonts w:ascii="仿宋" w:hAnsi="仿宋" w:eastAsia="仿宋"/>
          <w:sz w:val="32"/>
          <w:szCs w:val="32"/>
        </w:rPr>
      </w:pPr>
      <w:r>
        <w:rPr>
          <w:rFonts w:ascii="仿宋" w:hAnsi="仿宋" w:eastAsia="仿宋"/>
          <w:sz w:val="32"/>
          <w:szCs w:val="32"/>
        </w:rPr>
        <w:t>　　三、2013年度财政拨款项目支出情况说明</w:t>
      </w:r>
    </w:p>
    <w:p>
      <w:pPr>
        <w:widowControl/>
        <w:wordWrap w:val="0"/>
        <w:jc w:val="left"/>
        <w:rPr>
          <w:rFonts w:ascii="仿宋" w:hAnsi="仿宋" w:eastAsia="仿宋"/>
          <w:sz w:val="32"/>
          <w:szCs w:val="32"/>
        </w:rPr>
      </w:pPr>
      <w:r>
        <w:rPr>
          <w:rFonts w:ascii="仿宋" w:hAnsi="仿宋" w:eastAsia="仿宋"/>
          <w:sz w:val="32"/>
          <w:szCs w:val="32"/>
        </w:rPr>
        <w:t>　　2013年财政拨款安排的项目支出共</w:t>
      </w:r>
      <w:r>
        <w:rPr>
          <w:rFonts w:hint="eastAsia" w:ascii="仿宋" w:hAnsi="仿宋" w:eastAsia="仿宋"/>
          <w:sz w:val="32"/>
          <w:szCs w:val="32"/>
        </w:rPr>
        <w:t>344.87</w:t>
      </w:r>
      <w:r>
        <w:rPr>
          <w:rFonts w:ascii="仿宋" w:hAnsi="仿宋" w:eastAsia="仿宋"/>
          <w:sz w:val="32"/>
          <w:szCs w:val="32"/>
        </w:rPr>
        <w:t>万元。,较2012年</w:t>
      </w:r>
      <w:r>
        <w:rPr>
          <w:rFonts w:hint="eastAsia" w:ascii="仿宋" w:hAnsi="仿宋" w:eastAsia="仿宋"/>
          <w:sz w:val="32"/>
          <w:szCs w:val="32"/>
        </w:rPr>
        <w:t>342.31</w:t>
      </w:r>
      <w:r>
        <w:rPr>
          <w:rFonts w:ascii="仿宋" w:hAnsi="仿宋" w:eastAsia="仿宋"/>
          <w:sz w:val="32"/>
          <w:szCs w:val="32"/>
        </w:rPr>
        <w:t>万元</w:t>
      </w:r>
      <w:r>
        <w:rPr>
          <w:rFonts w:hint="eastAsia" w:ascii="仿宋" w:hAnsi="仿宋" w:eastAsia="仿宋"/>
          <w:sz w:val="32"/>
          <w:szCs w:val="32"/>
        </w:rPr>
        <w:t>增加2.56</w:t>
      </w:r>
      <w:r>
        <w:rPr>
          <w:rFonts w:ascii="仿宋" w:hAnsi="仿宋" w:eastAsia="仿宋"/>
          <w:sz w:val="32"/>
          <w:szCs w:val="32"/>
        </w:rPr>
        <w:t>万元，</w:t>
      </w:r>
      <w:r>
        <w:rPr>
          <w:rFonts w:hint="eastAsia" w:ascii="仿宋" w:hAnsi="仿宋" w:eastAsia="仿宋"/>
          <w:sz w:val="32"/>
          <w:szCs w:val="32"/>
        </w:rPr>
        <w:t>增加0.75</w:t>
      </w:r>
      <w:r>
        <w:rPr>
          <w:rFonts w:ascii="仿宋" w:hAnsi="仿宋" w:eastAsia="仿宋"/>
          <w:sz w:val="32"/>
          <w:szCs w:val="32"/>
        </w:rPr>
        <w:t>%。具体情况如下：</w:t>
      </w:r>
    </w:p>
    <w:p>
      <w:pPr>
        <w:widowControl/>
        <w:wordWrap w:val="0"/>
        <w:ind w:firstLine="640" w:firstLineChars="200"/>
        <w:jc w:val="left"/>
        <w:rPr>
          <w:rFonts w:ascii="仿宋" w:hAnsi="仿宋" w:eastAsia="仿宋"/>
          <w:sz w:val="32"/>
          <w:szCs w:val="32"/>
        </w:rPr>
      </w:pPr>
      <w:r>
        <w:rPr>
          <w:rFonts w:hint="eastAsia" w:ascii="仿宋" w:hAnsi="仿宋" w:eastAsia="仿宋"/>
          <w:sz w:val="32"/>
          <w:szCs w:val="32"/>
        </w:rPr>
        <w:t>1.一般行政管理事务</w:t>
      </w:r>
      <w:r>
        <w:rPr>
          <w:rFonts w:ascii="仿宋" w:hAnsi="仿宋" w:eastAsia="仿宋"/>
          <w:sz w:val="32"/>
          <w:szCs w:val="32"/>
        </w:rPr>
        <w:t>支出</w:t>
      </w:r>
      <w:r>
        <w:rPr>
          <w:rFonts w:hint="eastAsia" w:ascii="仿宋" w:hAnsi="仿宋" w:eastAsia="仿宋"/>
          <w:sz w:val="32"/>
          <w:szCs w:val="32"/>
        </w:rPr>
        <w:t>325.83</w:t>
      </w:r>
      <w:r>
        <w:rPr>
          <w:rFonts w:ascii="仿宋" w:hAnsi="仿宋" w:eastAsia="仿宋"/>
          <w:sz w:val="32"/>
          <w:szCs w:val="32"/>
        </w:rPr>
        <w:t>万元。比2012年同口径支出</w:t>
      </w:r>
      <w:r>
        <w:rPr>
          <w:rFonts w:hint="eastAsia" w:ascii="仿宋" w:hAnsi="仿宋" w:eastAsia="仿宋"/>
          <w:sz w:val="32"/>
          <w:szCs w:val="32"/>
        </w:rPr>
        <w:t>327.21</w:t>
      </w:r>
      <w:r>
        <w:rPr>
          <w:rFonts w:ascii="仿宋" w:hAnsi="仿宋" w:eastAsia="仿宋"/>
          <w:sz w:val="32"/>
          <w:szCs w:val="32"/>
        </w:rPr>
        <w:t>万元增加</w:t>
      </w:r>
      <w:r>
        <w:rPr>
          <w:rFonts w:hint="eastAsia" w:ascii="仿宋" w:hAnsi="仿宋" w:eastAsia="仿宋"/>
          <w:sz w:val="32"/>
          <w:szCs w:val="32"/>
        </w:rPr>
        <w:t>1.38</w:t>
      </w:r>
      <w:r>
        <w:rPr>
          <w:rFonts w:ascii="仿宋" w:hAnsi="仿宋" w:eastAsia="仿宋"/>
          <w:sz w:val="32"/>
          <w:szCs w:val="32"/>
        </w:rPr>
        <w:t>万元，增加</w:t>
      </w:r>
      <w:r>
        <w:rPr>
          <w:rFonts w:hint="eastAsia" w:ascii="仿宋" w:hAnsi="仿宋" w:eastAsia="仿宋"/>
          <w:sz w:val="32"/>
          <w:szCs w:val="32"/>
        </w:rPr>
        <w:t>0.42</w:t>
      </w:r>
      <w:r>
        <w:rPr>
          <w:rFonts w:ascii="仿宋" w:hAnsi="仿宋" w:eastAsia="仿宋"/>
          <w:sz w:val="32"/>
          <w:szCs w:val="32"/>
        </w:rPr>
        <w:t>%。增长原因为我</w:t>
      </w:r>
      <w:r>
        <w:rPr>
          <w:rFonts w:hint="eastAsia" w:ascii="仿宋" w:hAnsi="仿宋" w:eastAsia="仿宋"/>
          <w:sz w:val="32"/>
          <w:szCs w:val="32"/>
        </w:rPr>
        <w:t>会</w:t>
      </w:r>
      <w:r>
        <w:rPr>
          <w:rFonts w:ascii="仿宋" w:hAnsi="仿宋" w:eastAsia="仿宋"/>
          <w:sz w:val="32"/>
          <w:szCs w:val="32"/>
        </w:rPr>
        <w:t>2013年</w:t>
      </w:r>
      <w:r>
        <w:rPr>
          <w:rFonts w:hint="eastAsia" w:ascii="仿宋" w:hAnsi="仿宋" w:eastAsia="仿宋"/>
          <w:sz w:val="32"/>
          <w:szCs w:val="32"/>
        </w:rPr>
        <w:t>加强部分活动力度</w:t>
      </w:r>
      <w:r>
        <w:rPr>
          <w:rFonts w:ascii="仿宋" w:hAnsi="仿宋" w:eastAsia="仿宋"/>
          <w:sz w:val="32"/>
          <w:szCs w:val="32"/>
        </w:rPr>
        <w:t>，相应项目支出增加。</w:t>
      </w:r>
    </w:p>
    <w:p>
      <w:pPr>
        <w:widowControl/>
        <w:wordWrap w:val="0"/>
        <w:ind w:firstLine="640" w:firstLineChars="200"/>
        <w:jc w:val="left"/>
        <w:rPr>
          <w:rFonts w:ascii="仿宋" w:hAnsi="仿宋" w:eastAsia="仿宋"/>
          <w:sz w:val="32"/>
          <w:szCs w:val="32"/>
        </w:rPr>
      </w:pPr>
      <w:r>
        <w:rPr>
          <w:rFonts w:hint="eastAsia" w:ascii="仿宋" w:hAnsi="仿宋" w:eastAsia="仿宋"/>
          <w:sz w:val="32"/>
          <w:szCs w:val="32"/>
        </w:rPr>
        <w:t>2.其它群体团体事务支出4.16万元。</w:t>
      </w:r>
      <w:r>
        <w:rPr>
          <w:rFonts w:ascii="仿宋" w:hAnsi="仿宋" w:eastAsia="仿宋"/>
          <w:sz w:val="32"/>
          <w:szCs w:val="32"/>
        </w:rPr>
        <w:t>比2012年同口径支出</w:t>
      </w:r>
      <w:r>
        <w:rPr>
          <w:rFonts w:hint="eastAsia" w:ascii="仿宋" w:hAnsi="仿宋" w:eastAsia="仿宋"/>
          <w:sz w:val="32"/>
          <w:szCs w:val="32"/>
        </w:rPr>
        <w:t>15.09</w:t>
      </w:r>
      <w:r>
        <w:rPr>
          <w:rFonts w:ascii="仿宋" w:hAnsi="仿宋" w:eastAsia="仿宋"/>
          <w:sz w:val="32"/>
          <w:szCs w:val="32"/>
        </w:rPr>
        <w:t>万元</w:t>
      </w:r>
      <w:r>
        <w:rPr>
          <w:rFonts w:hint="eastAsia" w:ascii="仿宋" w:hAnsi="仿宋" w:eastAsia="仿宋"/>
          <w:sz w:val="32"/>
          <w:szCs w:val="32"/>
        </w:rPr>
        <w:t>减少10.93</w:t>
      </w:r>
      <w:r>
        <w:rPr>
          <w:rFonts w:ascii="仿宋" w:hAnsi="仿宋" w:eastAsia="仿宋"/>
          <w:sz w:val="32"/>
          <w:szCs w:val="32"/>
        </w:rPr>
        <w:t>万元，</w:t>
      </w:r>
      <w:r>
        <w:rPr>
          <w:rFonts w:hint="eastAsia" w:ascii="仿宋" w:hAnsi="仿宋" w:eastAsia="仿宋"/>
          <w:sz w:val="32"/>
          <w:szCs w:val="32"/>
        </w:rPr>
        <w:t>减少72.43</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原因贯彻落实中央八项规定</w:t>
      </w:r>
      <w:bookmarkStart w:id="0" w:name="_GoBack"/>
      <w:bookmarkEnd w:id="0"/>
      <w:r>
        <w:rPr>
          <w:rFonts w:ascii="仿宋" w:hAnsi="仿宋" w:eastAsia="仿宋"/>
          <w:sz w:val="32"/>
          <w:szCs w:val="32"/>
        </w:rPr>
        <w:t>精神和厉行节约要求，压减了一般性项目支出，相应项目支出</w:t>
      </w:r>
      <w:r>
        <w:rPr>
          <w:rFonts w:hint="eastAsia" w:ascii="仿宋" w:hAnsi="仿宋" w:eastAsia="仿宋"/>
          <w:sz w:val="32"/>
          <w:szCs w:val="32"/>
        </w:rPr>
        <w:t>减少</w:t>
      </w:r>
      <w:r>
        <w:rPr>
          <w:rFonts w:ascii="仿宋" w:hAnsi="仿宋" w:eastAsia="仿宋"/>
          <w:sz w:val="32"/>
          <w:szCs w:val="32"/>
        </w:rPr>
        <w:t>。</w:t>
      </w:r>
    </w:p>
    <w:p>
      <w:pPr>
        <w:widowControl/>
        <w:wordWrap w:val="0"/>
        <w:jc w:val="left"/>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教育</w:t>
      </w:r>
      <w:r>
        <w:rPr>
          <w:rFonts w:ascii="仿宋" w:hAnsi="仿宋" w:eastAsia="仿宋"/>
          <w:sz w:val="32"/>
          <w:szCs w:val="32"/>
        </w:rPr>
        <w:t>支出</w:t>
      </w:r>
      <w:r>
        <w:rPr>
          <w:rFonts w:hint="eastAsia" w:ascii="仿宋" w:hAnsi="仿宋" w:eastAsia="仿宋"/>
          <w:sz w:val="32"/>
          <w:szCs w:val="32"/>
        </w:rPr>
        <w:t>14.88</w:t>
      </w:r>
      <w:r>
        <w:rPr>
          <w:rFonts w:ascii="仿宋" w:hAnsi="仿宋" w:eastAsia="仿宋"/>
          <w:sz w:val="32"/>
          <w:szCs w:val="32"/>
        </w:rPr>
        <w:t>万元。</w:t>
      </w:r>
      <w:r>
        <w:rPr>
          <w:rFonts w:hint="eastAsia" w:ascii="仿宋" w:hAnsi="仿宋" w:eastAsia="仿宋"/>
          <w:sz w:val="32"/>
          <w:szCs w:val="32"/>
        </w:rPr>
        <w:t>2013年新增项目支出，新增支出14.88万元</w:t>
      </w:r>
      <w:r>
        <w:rPr>
          <w:rFonts w:ascii="仿宋" w:hAnsi="仿宋" w:eastAsia="仿宋"/>
          <w:sz w:val="32"/>
          <w:szCs w:val="32"/>
        </w:rPr>
        <w:t>。</w:t>
      </w:r>
      <w:r>
        <w:rPr>
          <w:rFonts w:hint="eastAsia" w:ascii="仿宋" w:hAnsi="仿宋" w:eastAsia="仿宋"/>
          <w:sz w:val="32"/>
          <w:szCs w:val="32"/>
        </w:rPr>
        <w:t>新增</w:t>
      </w:r>
      <w:r>
        <w:rPr>
          <w:rFonts w:ascii="仿宋" w:hAnsi="仿宋" w:eastAsia="仿宋"/>
          <w:sz w:val="32"/>
          <w:szCs w:val="32"/>
        </w:rPr>
        <w:t>原因为我</w:t>
      </w:r>
      <w:r>
        <w:rPr>
          <w:rFonts w:hint="eastAsia" w:ascii="仿宋" w:hAnsi="仿宋" w:eastAsia="仿宋"/>
          <w:sz w:val="32"/>
          <w:szCs w:val="32"/>
        </w:rPr>
        <w:t>会下属幼儿园新增项目支出</w:t>
      </w:r>
      <w:r>
        <w:rPr>
          <w:rFonts w:ascii="仿宋" w:hAnsi="仿宋" w:eastAsia="仿宋"/>
          <w:sz w:val="32"/>
          <w:szCs w:val="32"/>
        </w:rPr>
        <w:t>，相应项目支出增加。</w:t>
      </w:r>
    </w:p>
    <w:p>
      <w:pPr>
        <w:widowControl/>
        <w:wordWrap w:val="0"/>
        <w:jc w:val="left"/>
        <w:rPr>
          <w:rFonts w:ascii="仿宋" w:hAnsi="仿宋" w:eastAsia="仿宋"/>
          <w:sz w:val="32"/>
          <w:szCs w:val="32"/>
        </w:rPr>
      </w:pPr>
      <w:r>
        <w:rPr>
          <w:rFonts w:ascii="仿宋" w:hAnsi="仿宋" w:eastAsia="仿宋"/>
          <w:sz w:val="32"/>
          <w:szCs w:val="32"/>
        </w:rPr>
        <w:t>　　四、名词解释</w:t>
      </w:r>
    </w:p>
    <w:p>
      <w:pPr>
        <w:widowControl/>
        <w:wordWrap w:val="0"/>
        <w:jc w:val="left"/>
        <w:rPr>
          <w:rFonts w:ascii="仿宋" w:hAnsi="仿宋" w:eastAsia="仿宋"/>
          <w:sz w:val="32"/>
          <w:szCs w:val="32"/>
        </w:rPr>
      </w:pPr>
      <w:r>
        <w:rPr>
          <w:rFonts w:ascii="仿宋" w:hAnsi="仿宋" w:eastAsia="仿宋"/>
          <w:sz w:val="32"/>
          <w:szCs w:val="32"/>
        </w:rPr>
        <w:t>　　1.财政拨款收入：指财政当年拨付的资金。</w:t>
      </w:r>
    </w:p>
    <w:p>
      <w:pPr>
        <w:widowControl/>
        <w:wordWrap w:val="0"/>
        <w:jc w:val="left"/>
        <w:rPr>
          <w:rFonts w:ascii="仿宋" w:hAnsi="仿宋" w:eastAsia="仿宋"/>
          <w:sz w:val="32"/>
          <w:szCs w:val="32"/>
        </w:rPr>
      </w:pPr>
      <w:r>
        <w:rPr>
          <w:rFonts w:ascii="仿宋" w:hAnsi="仿宋" w:eastAsia="仿宋"/>
          <w:sz w:val="32"/>
          <w:szCs w:val="32"/>
        </w:rPr>
        <w:t xml:space="preserve">　　2.其他收入：指预算单位在“财政拨款收入”、“事业收入”、“经营收入”之外取得的收入。 </w:t>
      </w:r>
    </w:p>
    <w:p>
      <w:pPr>
        <w:widowControl/>
        <w:wordWrap w:val="0"/>
        <w:jc w:val="left"/>
        <w:rPr>
          <w:rFonts w:ascii="仿宋" w:hAnsi="仿宋" w:eastAsia="仿宋"/>
          <w:sz w:val="32"/>
          <w:szCs w:val="32"/>
        </w:rPr>
      </w:pPr>
      <w:r>
        <w:rPr>
          <w:rFonts w:ascii="仿宋" w:hAnsi="仿宋" w:eastAsia="仿宋"/>
          <w:sz w:val="32"/>
          <w:szCs w:val="32"/>
        </w:rPr>
        <w:t>　　3.一般公共服务：反映政府提供一般公共服务的支出。</w:t>
      </w:r>
    </w:p>
    <w:p>
      <w:pPr>
        <w:widowControl/>
        <w:wordWrap w:val="0"/>
        <w:jc w:val="left"/>
        <w:rPr>
          <w:rFonts w:ascii="仿宋" w:hAnsi="仿宋" w:eastAsia="仿宋"/>
          <w:sz w:val="32"/>
          <w:szCs w:val="32"/>
        </w:rPr>
      </w:pPr>
      <w:r>
        <w:rPr>
          <w:rFonts w:ascii="仿宋" w:hAnsi="仿宋" w:eastAsia="仿宋"/>
          <w:sz w:val="32"/>
          <w:szCs w:val="32"/>
        </w:rPr>
        <w:t>　　4.医疗卫生：反映政府医疗卫生方面的支出。具体包括医疗卫生管理事务支出、公立医院、基层医疗卫生机构支出、公共卫生、医疗保障、中医药、食品和药品监督管理事务等。</w:t>
      </w:r>
    </w:p>
    <w:p>
      <w:pPr>
        <w:widowControl/>
        <w:wordWrap w:val="0"/>
        <w:jc w:val="left"/>
        <w:rPr>
          <w:rFonts w:ascii="仿宋" w:hAnsi="仿宋" w:eastAsia="仿宋"/>
          <w:sz w:val="32"/>
          <w:szCs w:val="32"/>
        </w:rPr>
      </w:pPr>
      <w:r>
        <w:rPr>
          <w:rFonts w:ascii="仿宋" w:hAnsi="仿宋" w:eastAsia="仿宋"/>
          <w:sz w:val="32"/>
          <w:szCs w:val="32"/>
        </w:rPr>
        <w:t>　　5.住房保障支出：集中反映政府用于住房方面的支出。</w:t>
      </w:r>
    </w:p>
    <w:p>
      <w:pPr>
        <w:widowControl/>
        <w:wordWrap w:val="0"/>
        <w:jc w:val="left"/>
        <w:rPr>
          <w:rFonts w:ascii="仿宋" w:hAnsi="仿宋" w:eastAsia="仿宋"/>
          <w:sz w:val="32"/>
          <w:szCs w:val="32"/>
        </w:rPr>
      </w:pPr>
      <w:r>
        <w:rPr>
          <w:rFonts w:ascii="仿宋" w:hAnsi="仿宋" w:eastAsia="仿宋"/>
          <w:sz w:val="32"/>
          <w:szCs w:val="32"/>
        </w:rPr>
        <w:t>　　6.基本支出：指为保障机构正常运转、完成日常工作任务而发生的人员支出（包括基本工资、津贴补贴等）。</w:t>
      </w:r>
    </w:p>
    <w:p>
      <w:pPr>
        <w:widowControl/>
        <w:wordWrap w:val="0"/>
        <w:ind w:firstLine="640" w:firstLineChars="200"/>
        <w:jc w:val="left"/>
        <w:rPr>
          <w:rFonts w:ascii="仿宋" w:hAnsi="仿宋" w:eastAsia="仿宋"/>
          <w:sz w:val="32"/>
          <w:szCs w:val="32"/>
        </w:rPr>
      </w:pPr>
      <w:r>
        <w:rPr>
          <w:rFonts w:ascii="仿宋" w:hAnsi="仿宋" w:eastAsia="仿宋"/>
          <w:sz w:val="32"/>
          <w:szCs w:val="32"/>
        </w:rPr>
        <w:t>7.项目支出：指在基本支出之外为完成特定行政任务和事业发展目标所发生的支出。 </w:t>
      </w:r>
    </w:p>
    <w:p>
      <w:pPr>
        <w:widowControl/>
        <w:wordWrap w:val="0"/>
        <w:ind w:firstLine="640" w:firstLineChars="200"/>
        <w:jc w:val="left"/>
        <w:rPr>
          <w:rFonts w:ascii="仿宋" w:hAnsi="仿宋" w:eastAsia="仿宋"/>
          <w:sz w:val="32"/>
          <w:szCs w:val="32"/>
        </w:rPr>
      </w:pPr>
      <w:r>
        <w:rPr>
          <w:rFonts w:hint="eastAsia" w:ascii="仿宋" w:hAnsi="仿宋" w:eastAsia="仿宋"/>
          <w:sz w:val="32"/>
          <w:szCs w:val="32"/>
        </w:rPr>
        <w:t>8.教育：下属单位修缮教学设备维护等支出。</w:t>
      </w:r>
    </w:p>
    <w:p>
      <w:pPr>
        <w:widowControl/>
        <w:wordWrap w:val="0"/>
        <w:ind w:firstLine="312"/>
        <w:jc w:val="left"/>
        <w:rPr>
          <w:rFonts w:ascii="仿宋" w:hAnsi="仿宋" w:eastAsia="仿宋"/>
          <w:sz w:val="32"/>
          <w:szCs w:val="32"/>
        </w:rPr>
      </w:pPr>
    </w:p>
    <w:p>
      <w:pPr>
        <w:widowControl/>
        <w:jc w:val="center"/>
        <w:rPr>
          <w:rFonts w:ascii="仿宋" w:hAnsi="仿宋" w:eastAsia="仿宋"/>
          <w:sz w:val="32"/>
          <w:szCs w:val="32"/>
        </w:rPr>
      </w:pPr>
      <w:r>
        <w:rPr>
          <w:rFonts w:ascii="仿宋" w:hAnsi="仿宋" w:eastAsia="仿宋"/>
          <w:sz w:val="32"/>
          <w:szCs w:val="32"/>
        </w:rPr>
        <w:t xml:space="preserve">第四部分 </w:t>
      </w:r>
      <w:r>
        <w:rPr>
          <w:rFonts w:hint="eastAsia" w:ascii="仿宋" w:hAnsi="仿宋" w:eastAsia="仿宋"/>
          <w:sz w:val="32"/>
          <w:szCs w:val="32"/>
        </w:rPr>
        <w:t>福田区妇联</w:t>
      </w:r>
      <w:r>
        <w:rPr>
          <w:rFonts w:ascii="仿宋" w:hAnsi="仿宋" w:eastAsia="仿宋"/>
          <w:sz w:val="32"/>
          <w:szCs w:val="32"/>
        </w:rPr>
        <w:t>2013年度“三公”经费支出决算情况和2014年“三公”经费预算数</w:t>
      </w:r>
    </w:p>
    <w:p>
      <w:pPr>
        <w:widowControl/>
        <w:ind w:firstLine="640"/>
        <w:rPr>
          <w:rFonts w:ascii="仿宋" w:hAnsi="仿宋" w:eastAsia="仿宋"/>
          <w:sz w:val="32"/>
          <w:szCs w:val="32"/>
        </w:rPr>
      </w:pPr>
      <w:r>
        <w:rPr>
          <w:rFonts w:hint="eastAsia" w:ascii="仿宋" w:hAnsi="仿宋" w:eastAsia="仿宋"/>
          <w:sz w:val="32"/>
          <w:szCs w:val="32"/>
        </w:rPr>
        <w:t>一、财政拨款开支“三公”经费的单位范围</w:t>
      </w:r>
    </w:p>
    <w:p>
      <w:pPr>
        <w:widowControl/>
        <w:rPr>
          <w:rFonts w:ascii="仿宋" w:hAnsi="仿宋" w:eastAsia="仿宋"/>
          <w:sz w:val="32"/>
          <w:szCs w:val="32"/>
        </w:rPr>
      </w:pPr>
      <w:r>
        <w:rPr>
          <w:rFonts w:hint="eastAsia" w:ascii="仿宋" w:hAnsi="仿宋" w:eastAsia="仿宋"/>
          <w:sz w:val="32"/>
          <w:szCs w:val="32"/>
        </w:rPr>
        <w:t xml:space="preserve">    福田区妇女联合会单位部门预算中使用财政拨款开支因公出国（境）、公务接待费、公务用车购置及运行费的单位共有1个。</w:t>
      </w:r>
    </w:p>
    <w:p>
      <w:pPr>
        <w:widowControl/>
        <w:ind w:firstLine="640"/>
        <w:rPr>
          <w:rFonts w:ascii="仿宋" w:hAnsi="仿宋" w:eastAsia="仿宋"/>
          <w:sz w:val="32"/>
          <w:szCs w:val="32"/>
        </w:rPr>
      </w:pPr>
      <w:r>
        <w:rPr>
          <w:rFonts w:hint="eastAsia" w:ascii="仿宋" w:hAnsi="仿宋" w:eastAsia="仿宋"/>
          <w:sz w:val="32"/>
          <w:szCs w:val="32"/>
        </w:rPr>
        <w:t>二、2013年财政拨款开支的“三公”经费支出决算情况</w:t>
      </w:r>
    </w:p>
    <w:p>
      <w:pPr>
        <w:widowControl/>
        <w:spacing w:line="360" w:lineRule="auto"/>
        <w:ind w:firstLine="645"/>
        <w:rPr>
          <w:rFonts w:ascii="仿宋" w:hAnsi="仿宋" w:eastAsia="仿宋"/>
          <w:sz w:val="32"/>
          <w:szCs w:val="32"/>
        </w:rPr>
      </w:pPr>
      <w:r>
        <w:rPr>
          <w:rFonts w:hint="eastAsia" w:ascii="仿宋" w:hAnsi="仿宋" w:eastAsia="仿宋"/>
          <w:sz w:val="32"/>
          <w:szCs w:val="32"/>
        </w:rPr>
        <w:t>2013年，妇联单位财政拨款开支的“三公”经费全年支出决算7.96万元，包括使用当年财政拨款和上年财政拨款结转结余资金发生的支出。其中：因公出国（境）费支出决算0元，占0％；公务接待费支出决算0万元，占0％；公务用车购置及运行费支出决算7.96万元，占100％。具体情况如下：</w:t>
      </w:r>
    </w:p>
    <w:p>
      <w:pPr>
        <w:widowControl/>
        <w:ind w:firstLine="645"/>
        <w:rPr>
          <w:rFonts w:ascii="仿宋" w:hAnsi="仿宋" w:eastAsia="仿宋"/>
          <w:sz w:val="32"/>
          <w:szCs w:val="32"/>
        </w:rPr>
      </w:pPr>
      <w:r>
        <w:rPr>
          <w:rFonts w:hint="eastAsia" w:ascii="仿宋" w:hAnsi="仿宋" w:eastAsia="仿宋"/>
          <w:sz w:val="32"/>
          <w:szCs w:val="32"/>
        </w:rPr>
        <w:t xml:space="preserve">(一) 因公出国（境）费支出0万元。 </w:t>
      </w:r>
    </w:p>
    <w:p>
      <w:pPr>
        <w:widowControl/>
        <w:ind w:firstLine="645"/>
        <w:rPr>
          <w:rFonts w:ascii="仿宋" w:hAnsi="仿宋" w:eastAsia="仿宋"/>
          <w:sz w:val="32"/>
          <w:szCs w:val="32"/>
        </w:rPr>
      </w:pPr>
      <w:r>
        <w:rPr>
          <w:rFonts w:hint="eastAsia" w:ascii="仿宋" w:hAnsi="仿宋" w:eastAsia="仿宋"/>
          <w:sz w:val="32"/>
          <w:szCs w:val="32"/>
        </w:rPr>
        <w:t>(二) 公务接待费支出0万元。</w:t>
      </w:r>
    </w:p>
    <w:p>
      <w:pPr>
        <w:widowControl/>
        <w:ind w:firstLine="640"/>
        <w:rPr>
          <w:rFonts w:ascii="仿宋" w:hAnsi="仿宋" w:eastAsia="仿宋"/>
          <w:sz w:val="32"/>
          <w:szCs w:val="32"/>
        </w:rPr>
      </w:pPr>
      <w:r>
        <w:rPr>
          <w:rFonts w:hint="eastAsia" w:ascii="仿宋" w:hAnsi="仿宋" w:eastAsia="仿宋"/>
          <w:sz w:val="32"/>
          <w:szCs w:val="32"/>
        </w:rPr>
        <w:t xml:space="preserve">(三) 公务用车购置及运行费支出7.96万元。具体开支内容包括：一是我会2013年未新购车辆；二是本机关共有公务用车两辆，其中一辆使用超过11年，维护成本较高，全年运行费支出7.96万元，车均经费支出3.98万元。 </w:t>
      </w:r>
    </w:p>
    <w:p>
      <w:pPr>
        <w:widowControl/>
        <w:ind w:firstLine="640"/>
        <w:rPr>
          <w:rFonts w:ascii="仿宋" w:hAnsi="仿宋" w:eastAsia="仿宋"/>
          <w:sz w:val="32"/>
          <w:szCs w:val="32"/>
        </w:rPr>
      </w:pPr>
      <w:r>
        <w:rPr>
          <w:rFonts w:hint="eastAsia" w:ascii="仿宋" w:hAnsi="仿宋" w:eastAsia="仿宋"/>
          <w:sz w:val="32"/>
          <w:szCs w:val="32"/>
        </w:rPr>
        <w:t>三、2014年财政拨款安排的“三公”经费预算情况</w:t>
      </w:r>
    </w:p>
    <w:p>
      <w:pPr>
        <w:widowControl/>
        <w:ind w:firstLine="640"/>
        <w:rPr>
          <w:rFonts w:ascii="仿宋" w:hAnsi="仿宋" w:eastAsia="仿宋"/>
          <w:sz w:val="32"/>
          <w:szCs w:val="32"/>
        </w:rPr>
      </w:pPr>
      <w:r>
        <w:rPr>
          <w:rFonts w:hint="eastAsia" w:ascii="仿宋" w:hAnsi="仿宋" w:eastAsia="仿宋"/>
          <w:sz w:val="32"/>
          <w:szCs w:val="32"/>
        </w:rPr>
        <w:t>妇联单位2014年财政拨款安排的“三公”经费预算8.31万元，比2013年实际支出减少0.35万元，具体情况是：</w:t>
      </w:r>
    </w:p>
    <w:p>
      <w:pPr>
        <w:widowControl/>
        <w:ind w:firstLine="640"/>
        <w:rPr>
          <w:rFonts w:ascii="仿宋" w:hAnsi="仿宋" w:eastAsia="仿宋"/>
          <w:sz w:val="32"/>
          <w:szCs w:val="32"/>
        </w:rPr>
      </w:pPr>
      <w:r>
        <w:rPr>
          <w:rFonts w:hint="eastAsia" w:ascii="仿宋" w:hAnsi="仿宋" w:eastAsia="仿宋"/>
          <w:sz w:val="32"/>
          <w:szCs w:val="32"/>
        </w:rPr>
        <w:t>(一)因公出国（境）费预算0万元，比2013年实际支出数未增加。</w:t>
      </w:r>
    </w:p>
    <w:p>
      <w:pPr>
        <w:widowControl/>
        <w:ind w:firstLine="640"/>
        <w:rPr>
          <w:rFonts w:ascii="仿宋" w:hAnsi="仿宋" w:eastAsia="仿宋"/>
          <w:sz w:val="32"/>
          <w:szCs w:val="32"/>
        </w:rPr>
      </w:pPr>
      <w:r>
        <w:rPr>
          <w:rFonts w:hint="eastAsia" w:ascii="仿宋" w:hAnsi="仿宋" w:eastAsia="仿宋"/>
          <w:sz w:val="32"/>
          <w:szCs w:val="32"/>
        </w:rPr>
        <w:t>(二)公务接待费预算0.51万元，比2013年实际支出数增加0.51万元。</w:t>
      </w:r>
      <w:r>
        <w:rPr>
          <w:rFonts w:ascii="仿宋" w:hAnsi="仿宋" w:eastAsia="仿宋"/>
          <w:sz w:val="32"/>
          <w:szCs w:val="32"/>
        </w:rPr>
        <w:t>根据业务需要，接待相关单位人员公务活动，主要用于相关部门来深交流学习、专题研讨、检查指导工作的接待工作</w:t>
      </w:r>
      <w:r>
        <w:rPr>
          <w:rFonts w:hint="eastAsia" w:ascii="仿宋" w:hAnsi="仿宋" w:eastAsia="仿宋"/>
          <w:sz w:val="32"/>
          <w:szCs w:val="32"/>
        </w:rPr>
        <w:t>，往年本单位产生招待费较少，根据实际需求支出，并未单独列支做预算，2014年财政局要求需单独列支做预算，根据往年支出情况减20%预算0.51万元。</w:t>
      </w:r>
    </w:p>
    <w:p>
      <w:pPr>
        <w:widowControl/>
        <w:ind w:firstLine="640"/>
        <w:rPr>
          <w:rFonts w:ascii="仿宋" w:hAnsi="仿宋" w:eastAsia="仿宋"/>
          <w:sz w:val="32"/>
          <w:szCs w:val="32"/>
        </w:rPr>
      </w:pPr>
      <w:r>
        <w:rPr>
          <w:rFonts w:hint="eastAsia" w:ascii="仿宋" w:hAnsi="仿宋" w:eastAsia="仿宋"/>
          <w:sz w:val="32"/>
          <w:szCs w:val="32"/>
        </w:rPr>
        <w:t xml:space="preserve">(三) 公务用车购置及运行费预算7.8万元，比2013年实际支出数减少0.16万元。 </w:t>
      </w:r>
      <w:r>
        <w:rPr>
          <w:rFonts w:ascii="仿宋" w:hAnsi="仿宋" w:eastAsia="仿宋"/>
          <w:sz w:val="32"/>
          <w:szCs w:val="32"/>
        </w:rPr>
        <w:t>主要原因是为贯彻落实《党政机关厉行节约反对浪费条例》，结合我市严控“三公”经费支出有关要求，相应压减“三公”经费支出</w:t>
      </w:r>
      <w:r>
        <w:rPr>
          <w:rFonts w:hint="eastAsia" w:ascii="仿宋" w:hAnsi="仿宋" w:eastAsia="仿宋"/>
          <w:sz w:val="32"/>
          <w:szCs w:val="32"/>
        </w:rPr>
        <w:t>。</w:t>
      </w:r>
    </w:p>
    <w:p>
      <w:pPr>
        <w:widowControl/>
        <w:wordWrap w:val="0"/>
        <w:snapToGrid w:val="0"/>
        <w:jc w:val="left"/>
        <w:rPr>
          <w:rFonts w:ascii="仿宋" w:hAnsi="仿宋" w:eastAsia="仿宋"/>
          <w:sz w:val="32"/>
          <w:szCs w:val="32"/>
        </w:rPr>
      </w:pPr>
    </w:p>
    <w:p>
      <w:pPr>
        <w:widowControl/>
        <w:wordWrap w:val="0"/>
        <w:jc w:val="left"/>
        <w:rPr>
          <w:rFonts w:ascii="仿宋" w:hAnsi="仿宋" w:eastAsia="仿宋"/>
          <w:sz w:val="32"/>
          <w:szCs w:val="32"/>
        </w:rPr>
      </w:pPr>
      <w:r>
        <w:rPr>
          <w:rFonts w:ascii="仿宋" w:hAnsi="仿宋" w:eastAsia="仿宋"/>
          <w:sz w:val="32"/>
          <w:szCs w:val="32"/>
        </w:rPr>
        <w:t>　　附件：</w:t>
      </w:r>
    </w:p>
    <w:p>
      <w:pPr>
        <w:widowControl/>
        <w:wordWrap w:val="0"/>
        <w:jc w:val="left"/>
        <w:rPr>
          <w:rFonts w:ascii="仿宋" w:hAnsi="仿宋" w:eastAsia="仿宋"/>
          <w:sz w:val="32"/>
          <w:szCs w:val="32"/>
        </w:rPr>
      </w:pPr>
      <w:r>
        <w:rPr>
          <w:rFonts w:ascii="仿宋" w:hAnsi="仿宋" w:eastAsia="仿宋"/>
          <w:sz w:val="32"/>
          <w:szCs w:val="32"/>
        </w:rPr>
        <w:t>　　1.公共预算收入支出决算总表</w:t>
      </w:r>
    </w:p>
    <w:p>
      <w:pPr>
        <w:widowControl/>
        <w:wordWrap w:val="0"/>
        <w:jc w:val="left"/>
        <w:rPr>
          <w:rFonts w:ascii="仿宋" w:hAnsi="仿宋" w:eastAsia="仿宋"/>
          <w:sz w:val="32"/>
          <w:szCs w:val="32"/>
        </w:rPr>
      </w:pPr>
      <w:r>
        <w:rPr>
          <w:rFonts w:ascii="仿宋" w:hAnsi="仿宋" w:eastAsia="仿宋"/>
          <w:sz w:val="32"/>
          <w:szCs w:val="32"/>
        </w:rPr>
        <w:t>　　2.公共预算财政拨款支出决算表</w:t>
      </w:r>
    </w:p>
    <w:p>
      <w:pPr>
        <w:widowControl/>
        <w:wordWrap w:val="0"/>
        <w:ind w:left="960" w:hanging="960" w:hangingChars="300"/>
        <w:jc w:val="left"/>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3</w:t>
      </w:r>
      <w:r>
        <w:rPr>
          <w:rFonts w:ascii="仿宋" w:hAnsi="仿宋" w:eastAsia="仿宋"/>
          <w:sz w:val="32"/>
          <w:szCs w:val="32"/>
        </w:rPr>
        <w:t>.2013年财政拨款开支的“三公”经费支出决算和</w:t>
      </w:r>
    </w:p>
    <w:p>
      <w:pPr>
        <w:widowControl/>
        <w:wordWrap w:val="0"/>
        <w:ind w:left="958" w:leftChars="456"/>
        <w:jc w:val="left"/>
        <w:rPr>
          <w:rFonts w:ascii="仿宋" w:hAnsi="仿宋" w:eastAsia="仿宋"/>
          <w:sz w:val="32"/>
          <w:szCs w:val="32"/>
        </w:rPr>
      </w:pPr>
      <w:r>
        <w:rPr>
          <w:rFonts w:ascii="仿宋" w:hAnsi="仿宋" w:eastAsia="仿宋"/>
          <w:sz w:val="32"/>
          <w:szCs w:val="32"/>
        </w:rPr>
        <w:t>2014年预算情况表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atLeas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附件1        </w:t>
      </w:r>
    </w:p>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公共预算收入支出决算总表：</w:t>
      </w:r>
    </w:p>
    <w:tbl>
      <w:tblPr>
        <w:tblStyle w:val="4"/>
        <w:tblW w:w="8860" w:type="dxa"/>
        <w:tblInd w:w="93" w:type="dxa"/>
        <w:tblLayout w:type="fixed"/>
        <w:tblCellMar>
          <w:top w:w="0" w:type="dxa"/>
          <w:left w:w="108" w:type="dxa"/>
          <w:bottom w:w="0" w:type="dxa"/>
          <w:right w:w="108" w:type="dxa"/>
        </w:tblCellMar>
      </w:tblPr>
      <w:tblGrid>
        <w:gridCol w:w="2992"/>
        <w:gridCol w:w="288"/>
        <w:gridCol w:w="279"/>
        <w:gridCol w:w="201"/>
        <w:gridCol w:w="760"/>
        <w:gridCol w:w="2866"/>
        <w:gridCol w:w="294"/>
        <w:gridCol w:w="273"/>
        <w:gridCol w:w="907"/>
      </w:tblGrid>
      <w:tr>
        <w:tblPrEx>
          <w:tblCellMar>
            <w:top w:w="0" w:type="dxa"/>
            <w:left w:w="108" w:type="dxa"/>
            <w:bottom w:w="0" w:type="dxa"/>
            <w:right w:w="108" w:type="dxa"/>
          </w:tblCellMar>
        </w:tblPrEx>
        <w:trPr>
          <w:trHeight w:val="199" w:hRule="atLeast"/>
        </w:trPr>
        <w:tc>
          <w:tcPr>
            <w:tcW w:w="328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rPr>
            </w:pPr>
            <w:r>
              <w:rPr>
                <w:rFonts w:hint="eastAsia" w:ascii="宋体" w:hAnsi="宋体" w:cs="宋体"/>
                <w:kern w:val="0"/>
                <w:sz w:val="24"/>
              </w:rPr>
              <w:t>　</w:t>
            </w:r>
          </w:p>
        </w:tc>
        <w:tc>
          <w:tcPr>
            <w:tcW w:w="48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rPr>
            </w:pPr>
            <w:r>
              <w:rPr>
                <w:rFonts w:hint="eastAsia" w:ascii="宋体" w:hAnsi="宋体" w:cs="宋体"/>
                <w:kern w:val="0"/>
                <w:sz w:val="24"/>
              </w:rPr>
              <w:t>　</w:t>
            </w:r>
          </w:p>
        </w:tc>
        <w:tc>
          <w:tcPr>
            <w:tcW w:w="760" w:type="dxa"/>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rPr>
            </w:pPr>
            <w:r>
              <w:rPr>
                <w:rFonts w:hint="eastAsia" w:ascii="宋体" w:hAnsi="宋体" w:cs="宋体"/>
                <w:kern w:val="0"/>
                <w:sz w:val="24"/>
              </w:rPr>
              <w:t>　</w:t>
            </w:r>
          </w:p>
        </w:tc>
        <w:tc>
          <w:tcPr>
            <w:tcW w:w="3160"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rPr>
            </w:pPr>
            <w:r>
              <w:rPr>
                <w:rFonts w:hint="eastAsia" w:ascii="宋体" w:hAnsi="宋体" w:cs="宋体"/>
                <w:kern w:val="0"/>
                <w:sz w:val="24"/>
              </w:rPr>
              <w:t>　</w:t>
            </w:r>
          </w:p>
        </w:tc>
        <w:tc>
          <w:tcPr>
            <w:tcW w:w="1180" w:type="dxa"/>
            <w:gridSpan w:val="2"/>
            <w:tcBorders>
              <w:top w:val="nil"/>
              <w:left w:val="nil"/>
              <w:bottom w:val="nil"/>
              <w:right w:val="nil"/>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280" w:type="dxa"/>
            <w:gridSpan w:val="2"/>
            <w:tcBorders>
              <w:top w:val="nil"/>
              <w:left w:val="nil"/>
              <w:bottom w:val="nil"/>
              <w:right w:val="nil"/>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部门：深圳市福田区妇女联合会</w:t>
            </w:r>
          </w:p>
        </w:tc>
        <w:tc>
          <w:tcPr>
            <w:tcW w:w="480" w:type="dxa"/>
            <w:gridSpan w:val="2"/>
            <w:tcBorders>
              <w:top w:val="nil"/>
              <w:left w:val="nil"/>
              <w:bottom w:val="nil"/>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0" w:type="dxa"/>
            <w:tcBorders>
              <w:top w:val="nil"/>
              <w:left w:val="nil"/>
              <w:bottom w:val="nil"/>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3160" w:type="dxa"/>
            <w:gridSpan w:val="2"/>
            <w:tcBorders>
              <w:top w:val="nil"/>
              <w:left w:val="nil"/>
              <w:bottom w:val="nil"/>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80" w:type="dxa"/>
            <w:gridSpan w:val="2"/>
            <w:tcBorders>
              <w:top w:val="nil"/>
              <w:left w:val="nil"/>
              <w:bottom w:val="single" w:color="000000" w:sz="8" w:space="0"/>
              <w:right w:val="nil"/>
            </w:tcBorders>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89" w:hRule="atLeast"/>
        </w:trPr>
        <w:tc>
          <w:tcPr>
            <w:tcW w:w="4520"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收入</w:t>
            </w:r>
          </w:p>
        </w:tc>
        <w:tc>
          <w:tcPr>
            <w:tcW w:w="4340" w:type="dxa"/>
            <w:gridSpan w:val="4"/>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支出</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6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决算数</w:t>
            </w:r>
          </w:p>
        </w:tc>
        <w:tc>
          <w:tcPr>
            <w:tcW w:w="286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907"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    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6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    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7"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一、财政拨款收入</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599.39</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508.64</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二、上级补助收入</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二、外交</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三、事业收入</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四、经营收入</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五、附属单位缴款</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五、教育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14.88</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六、其他收入</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10.41</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七、文化体育与传媒</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79.99</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九、医疗卫生</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61" w:type="dxa"/>
            <w:gridSpan w:val="2"/>
            <w:tcBorders>
              <w:top w:val="nil"/>
              <w:left w:val="nil"/>
              <w:bottom w:val="nil"/>
              <w:right w:val="nil"/>
            </w:tcBorders>
          </w:tcPr>
          <w:p>
            <w:pPr>
              <w:jc w:val="center"/>
            </w:pPr>
            <w:r>
              <w:rPr>
                <w:rFonts w:hint="eastAsia" w:ascii="宋体" w:hAnsi="宋体" w:cs="宋体"/>
                <w:kern w:val="0"/>
                <w:sz w:val="20"/>
                <w:szCs w:val="20"/>
              </w:rPr>
              <w:t>0</w:t>
            </w:r>
          </w:p>
        </w:tc>
        <w:tc>
          <w:tcPr>
            <w:tcW w:w="286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61" w:type="dxa"/>
            <w:gridSpan w:val="2"/>
            <w:tcBorders>
              <w:top w:val="single" w:color="000000" w:sz="4" w:space="0"/>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十四、资源勘探电力信息等事务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十六、金融监管等事务支出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十七、地震灾后恢复重建支出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十八、国土资源气象等事务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二十、粮油物资管理事务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二十一、储备事务支出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961" w:type="dxa"/>
            <w:gridSpan w:val="2"/>
            <w:tcBorders>
              <w:top w:val="nil"/>
              <w:left w:val="nil"/>
              <w:bottom w:val="single" w:color="000000" w:sz="4" w:space="0"/>
              <w:right w:val="single" w:color="000000" w:sz="4" w:space="0"/>
            </w:tcBorders>
          </w:tcPr>
          <w:p>
            <w:pPr>
              <w:jc w:val="cente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二十二、国债还本付息支出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二十三、其他支出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907" w:type="dxa"/>
            <w:tcBorders>
              <w:top w:val="nil"/>
              <w:left w:val="nil"/>
              <w:bottom w:val="single" w:color="000000" w:sz="4" w:space="0"/>
              <w:right w:val="single" w:color="000000" w:sz="8" w:space="0"/>
            </w:tcBorders>
          </w:tcPr>
          <w:p>
            <w:pPr>
              <w:jc w:val="cente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609.79</w:t>
            </w:r>
          </w:p>
        </w:tc>
        <w:tc>
          <w:tcPr>
            <w:tcW w:w="2866" w:type="dxa"/>
            <w:tcBorders>
              <w:top w:val="nil"/>
              <w:left w:val="nil"/>
              <w:bottom w:val="single" w:color="000000" w:sz="4" w:space="0"/>
              <w:right w:val="nil"/>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603.51</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single" w:color="000000"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结余分配</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上年结转和结余</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61" w:type="dxa"/>
            <w:gridSpan w:val="2"/>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59.87</w:t>
            </w:r>
          </w:p>
        </w:tc>
        <w:tc>
          <w:tcPr>
            <w:tcW w:w="2866" w:type="dxa"/>
            <w:tcBorders>
              <w:top w:val="nil"/>
              <w:left w:val="nil"/>
              <w:bottom w:val="single" w:color="000000"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907"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66.15</w:t>
            </w:r>
          </w:p>
        </w:tc>
      </w:tr>
      <w:tr>
        <w:tblPrEx>
          <w:tblCellMar>
            <w:top w:w="0" w:type="dxa"/>
            <w:left w:w="108" w:type="dxa"/>
            <w:bottom w:w="0" w:type="dxa"/>
            <w:right w:w="108" w:type="dxa"/>
          </w:tblCellMar>
        </w:tblPrEx>
        <w:trPr>
          <w:trHeight w:val="289" w:hRule="atLeast"/>
        </w:trPr>
        <w:tc>
          <w:tcPr>
            <w:tcW w:w="2992" w:type="dxa"/>
            <w:tcBorders>
              <w:top w:val="nil"/>
              <w:left w:val="single" w:color="000000" w:sz="8"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961" w:type="dxa"/>
            <w:gridSpan w:val="2"/>
            <w:tcBorders>
              <w:top w:val="nil"/>
              <w:left w:val="nil"/>
              <w:bottom w:val="nil"/>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866"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907" w:type="dxa"/>
            <w:tcBorders>
              <w:top w:val="nil"/>
              <w:left w:val="nil"/>
              <w:bottom w:val="nil"/>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9" w:hRule="atLeast"/>
        </w:trPr>
        <w:tc>
          <w:tcPr>
            <w:tcW w:w="2992"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961" w:type="dxa"/>
            <w:gridSpan w:val="2"/>
            <w:tcBorders>
              <w:top w:val="single" w:color="000000" w:sz="4" w:space="0"/>
              <w:left w:val="nil"/>
              <w:bottom w:val="single" w:color="000000" w:sz="8"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669.66</w:t>
            </w:r>
          </w:p>
        </w:tc>
        <w:tc>
          <w:tcPr>
            <w:tcW w:w="2866" w:type="dxa"/>
            <w:tcBorders>
              <w:top w:val="single" w:color="000000" w:sz="4" w:space="0"/>
              <w:left w:val="nil"/>
              <w:bottom w:val="single" w:color="000000" w:sz="8" w:space="0"/>
              <w:right w:val="nil"/>
            </w:tcBorders>
            <w:shd w:val="clear" w:color="auto"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907" w:type="dxa"/>
            <w:tcBorders>
              <w:top w:val="single" w:color="000000" w:sz="4" w:space="0"/>
              <w:left w:val="nil"/>
              <w:bottom w:val="single" w:color="000000" w:sz="8" w:space="0"/>
              <w:right w:val="single" w:color="000000" w:sz="8"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669.66</w:t>
            </w:r>
          </w:p>
        </w:tc>
      </w:tr>
      <w:tr>
        <w:tblPrEx>
          <w:tblCellMar>
            <w:top w:w="0" w:type="dxa"/>
            <w:left w:w="108" w:type="dxa"/>
            <w:bottom w:w="0" w:type="dxa"/>
            <w:right w:w="108" w:type="dxa"/>
          </w:tblCellMar>
        </w:tblPrEx>
        <w:trPr>
          <w:trHeight w:val="750" w:hRule="atLeast"/>
        </w:trPr>
        <w:tc>
          <w:tcPr>
            <w:tcW w:w="8860" w:type="dxa"/>
            <w:gridSpan w:val="9"/>
            <w:tcBorders>
              <w:top w:val="single" w:color="000000" w:sz="8" w:space="0"/>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注：本表反映部门本年度的总收支和年末结转结余情况(不含政府性基金)。</w:t>
            </w:r>
            <w:r>
              <w:rPr>
                <w:rFonts w:hint="eastAsia" w:ascii="宋体" w:hAnsi="宋体" w:cs="宋体"/>
                <w:kern w:val="0"/>
                <w:sz w:val="20"/>
                <w:szCs w:val="20"/>
              </w:rPr>
              <w:br w:type="textWrapping"/>
            </w:r>
            <w:r>
              <w:rPr>
                <w:rFonts w:hint="eastAsia" w:ascii="宋体" w:hAnsi="宋体" w:cs="宋体"/>
                <w:kern w:val="0"/>
                <w:sz w:val="20"/>
                <w:szCs w:val="20"/>
              </w:rPr>
              <w:t xml:space="preserve">    25行＝（1+2+3+4+5+6）行；29行＝（25+26+27）行；54行＝（30+31+…+52）行；58行＝（54+55+56）行。</w:t>
            </w:r>
          </w:p>
        </w:tc>
      </w:tr>
    </w:tbl>
    <w:p>
      <w:pPr>
        <w:widowControl/>
        <w:spacing w:line="62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widowControl/>
        <w:spacing w:line="62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公共预算财政拨款支出决算表</w:t>
      </w:r>
    </w:p>
    <w:tbl>
      <w:tblPr>
        <w:tblStyle w:val="4"/>
        <w:tblW w:w="18375" w:type="dxa"/>
        <w:tblInd w:w="93" w:type="dxa"/>
        <w:tblLayout w:type="fixed"/>
        <w:tblCellMar>
          <w:top w:w="0" w:type="dxa"/>
          <w:left w:w="108" w:type="dxa"/>
          <w:bottom w:w="0" w:type="dxa"/>
          <w:right w:w="108" w:type="dxa"/>
        </w:tblCellMar>
      </w:tblPr>
      <w:tblGrid>
        <w:gridCol w:w="560"/>
        <w:gridCol w:w="560"/>
        <w:gridCol w:w="29"/>
        <w:gridCol w:w="1211"/>
        <w:gridCol w:w="2155"/>
        <w:gridCol w:w="1980"/>
        <w:gridCol w:w="1980"/>
        <w:gridCol w:w="1980"/>
        <w:gridCol w:w="1980"/>
        <w:gridCol w:w="1980"/>
        <w:gridCol w:w="1980"/>
        <w:gridCol w:w="1980"/>
      </w:tblGrid>
      <w:tr>
        <w:tblPrEx>
          <w:tblCellMar>
            <w:top w:w="0" w:type="dxa"/>
            <w:left w:w="108" w:type="dxa"/>
            <w:bottom w:w="0" w:type="dxa"/>
            <w:right w:w="108" w:type="dxa"/>
          </w:tblCellMar>
        </w:tblPrEx>
        <w:trPr>
          <w:gridAfter w:val="5"/>
          <w:wAfter w:w="9900" w:type="dxa"/>
          <w:trHeight w:val="222" w:hRule="atLeast"/>
        </w:trPr>
        <w:tc>
          <w:tcPr>
            <w:tcW w:w="560" w:type="dxa"/>
            <w:tcBorders>
              <w:top w:val="nil"/>
              <w:left w:val="nil"/>
              <w:bottom w:val="nil"/>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40" w:type="dxa"/>
            <w:gridSpan w:val="2"/>
            <w:tcBorders>
              <w:top w:val="nil"/>
              <w:left w:val="nil"/>
              <w:bottom w:val="nil"/>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55"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nil"/>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nil"/>
              <w:right w:val="nil"/>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gridAfter w:val="5"/>
          <w:wAfter w:w="9900" w:type="dxa"/>
          <w:trHeight w:val="340" w:hRule="atLeast"/>
        </w:trPr>
        <w:tc>
          <w:tcPr>
            <w:tcW w:w="1120" w:type="dxa"/>
            <w:gridSpan w:val="2"/>
            <w:tcBorders>
              <w:top w:val="nil"/>
              <w:left w:val="nil"/>
              <w:bottom w:val="nil"/>
              <w:right w:val="nil"/>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部门：妇联</w:t>
            </w:r>
          </w:p>
        </w:tc>
        <w:tc>
          <w:tcPr>
            <w:tcW w:w="1240" w:type="dxa"/>
            <w:gridSpan w:val="2"/>
            <w:tcBorders>
              <w:top w:val="nil"/>
              <w:left w:val="nil"/>
              <w:bottom w:val="nil"/>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55" w:type="dxa"/>
            <w:tcBorders>
              <w:top w:val="nil"/>
              <w:left w:val="nil"/>
              <w:bottom w:val="single" w:color="000000"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000000"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0" w:type="dxa"/>
            <w:tcBorders>
              <w:top w:val="nil"/>
              <w:left w:val="nil"/>
              <w:bottom w:val="single" w:color="auto" w:sz="4" w:space="0"/>
              <w:right w:val="nil"/>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5"/>
          <w:wAfter w:w="9900" w:type="dxa"/>
          <w:trHeight w:val="405" w:hRule="atLeast"/>
        </w:trPr>
        <w:tc>
          <w:tcPr>
            <w:tcW w:w="236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rPr>
              <w:t xml:space="preserve">   </w:t>
            </w:r>
            <w:r>
              <w:rPr>
                <w:rFonts w:hint="eastAsia" w:ascii="宋体" w:hAnsi="宋体" w:cs="宋体"/>
                <w:kern w:val="0"/>
                <w:sz w:val="24"/>
              </w:rPr>
              <w:t>目</w:t>
            </w:r>
          </w:p>
        </w:tc>
        <w:tc>
          <w:tcPr>
            <w:tcW w:w="2155" w:type="dxa"/>
            <w:vMerge w:val="restart"/>
            <w:tcBorders>
              <w:top w:val="nil"/>
              <w:left w:val="nil"/>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0" w:type="dxa"/>
            <w:vMerge w:val="restart"/>
            <w:tcBorders>
              <w:top w:val="single" w:color="auto" w:sz="4" w:space="0"/>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gridAfter w:val="4"/>
          <w:wAfter w:w="7920" w:type="dxa"/>
          <w:trHeight w:val="495" w:hRule="atLeast"/>
        </w:trPr>
        <w:tc>
          <w:tcPr>
            <w:tcW w:w="1120" w:type="dxa"/>
            <w:gridSpan w:val="2"/>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科目编码</w:t>
            </w:r>
          </w:p>
        </w:tc>
        <w:tc>
          <w:tcPr>
            <w:tcW w:w="1240"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2155" w:type="dxa"/>
            <w:vMerge w:val="continue"/>
            <w:tcBorders>
              <w:top w:val="nil"/>
              <w:left w:val="nil"/>
              <w:bottom w:val="single" w:color="000000" w:sz="4" w:space="0"/>
              <w:right w:val="nil"/>
            </w:tcBorders>
            <w:vAlign w:val="center"/>
          </w:tcPr>
          <w:p>
            <w:pPr>
              <w:widowControl/>
              <w:jc w:val="left"/>
              <w:rPr>
                <w:rFonts w:ascii="宋体" w:hAnsi="宋体" w:cs="宋体"/>
                <w:kern w:val="0"/>
                <w:sz w:val="24"/>
              </w:rPr>
            </w:pPr>
          </w:p>
        </w:tc>
        <w:tc>
          <w:tcPr>
            <w:tcW w:w="19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980" w:type="dxa"/>
            <w:vMerge w:val="continue"/>
            <w:tcBorders>
              <w:top w:val="nil"/>
              <w:left w:val="nil"/>
              <w:bottom w:val="single" w:color="000000" w:sz="4" w:space="0"/>
              <w:right w:val="single" w:color="000000" w:sz="8" w:space="0"/>
            </w:tcBorders>
            <w:vAlign w:val="center"/>
          </w:tcPr>
          <w:p>
            <w:pPr>
              <w:widowControl/>
              <w:jc w:val="left"/>
              <w:rPr>
                <w:rFonts w:ascii="宋体" w:hAnsi="宋体" w:cs="宋体"/>
                <w:kern w:val="0"/>
                <w:sz w:val="24"/>
              </w:rPr>
            </w:pP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360" w:hRule="atLeast"/>
        </w:trPr>
        <w:tc>
          <w:tcPr>
            <w:tcW w:w="1120" w:type="dxa"/>
            <w:gridSpan w:val="2"/>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p>
        </w:tc>
        <w:tc>
          <w:tcPr>
            <w:tcW w:w="12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4"/>
              </w:rPr>
            </w:pPr>
          </w:p>
        </w:tc>
        <w:tc>
          <w:tcPr>
            <w:tcW w:w="2155" w:type="dxa"/>
            <w:vMerge w:val="continue"/>
            <w:tcBorders>
              <w:top w:val="nil"/>
              <w:left w:val="nil"/>
              <w:bottom w:val="single" w:color="000000" w:sz="4" w:space="0"/>
              <w:right w:val="nil"/>
            </w:tcBorders>
            <w:vAlign w:val="center"/>
          </w:tcPr>
          <w:p>
            <w:pPr>
              <w:widowControl/>
              <w:jc w:val="left"/>
              <w:rPr>
                <w:rFonts w:ascii="宋体" w:hAnsi="宋体" w:cs="宋体"/>
                <w:kern w:val="0"/>
                <w:sz w:val="24"/>
              </w:rPr>
            </w:pPr>
          </w:p>
        </w:tc>
        <w:tc>
          <w:tcPr>
            <w:tcW w:w="19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980" w:type="dxa"/>
            <w:vMerge w:val="continue"/>
            <w:tcBorders>
              <w:top w:val="nil"/>
              <w:left w:val="nil"/>
              <w:bottom w:val="single" w:color="000000" w:sz="4" w:space="0"/>
              <w:right w:val="single" w:color="000000" w:sz="8" w:space="0"/>
            </w:tcBorders>
            <w:vAlign w:val="center"/>
          </w:tcPr>
          <w:p>
            <w:pPr>
              <w:widowControl/>
              <w:jc w:val="left"/>
              <w:rPr>
                <w:rFonts w:ascii="宋体" w:hAnsi="宋体" w:cs="宋体"/>
                <w:kern w:val="0"/>
                <w:sz w:val="24"/>
              </w:rPr>
            </w:pPr>
          </w:p>
        </w:tc>
        <w:tc>
          <w:tcPr>
            <w:tcW w:w="1980" w:type="dxa"/>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20" w:type="dxa"/>
            <w:gridSpan w:val="2"/>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p>
        </w:tc>
        <w:tc>
          <w:tcPr>
            <w:tcW w:w="12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4"/>
              </w:rPr>
            </w:pPr>
          </w:p>
        </w:tc>
        <w:tc>
          <w:tcPr>
            <w:tcW w:w="2155" w:type="dxa"/>
            <w:vMerge w:val="continue"/>
            <w:tcBorders>
              <w:top w:val="nil"/>
              <w:left w:val="nil"/>
              <w:bottom w:val="single" w:color="000000" w:sz="4" w:space="0"/>
              <w:right w:val="nil"/>
            </w:tcBorders>
            <w:vAlign w:val="center"/>
          </w:tcPr>
          <w:p>
            <w:pPr>
              <w:widowControl/>
              <w:jc w:val="left"/>
              <w:rPr>
                <w:rFonts w:ascii="宋体" w:hAnsi="宋体" w:cs="宋体"/>
                <w:kern w:val="0"/>
                <w:sz w:val="24"/>
              </w:rPr>
            </w:pPr>
          </w:p>
        </w:tc>
        <w:tc>
          <w:tcPr>
            <w:tcW w:w="19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980" w:type="dxa"/>
            <w:vMerge w:val="continue"/>
            <w:tcBorders>
              <w:top w:val="nil"/>
              <w:left w:val="nil"/>
              <w:bottom w:val="single" w:color="000000" w:sz="4" w:space="0"/>
              <w:right w:val="single" w:color="000000" w:sz="8" w:space="0"/>
            </w:tcBorders>
            <w:vAlign w:val="center"/>
          </w:tcPr>
          <w:p>
            <w:pPr>
              <w:widowControl/>
              <w:jc w:val="left"/>
              <w:rPr>
                <w:rFonts w:ascii="宋体" w:hAnsi="宋体" w:cs="宋体"/>
                <w:kern w:val="0"/>
                <w:sz w:val="24"/>
              </w:rPr>
            </w:pPr>
          </w:p>
        </w:tc>
        <w:tc>
          <w:tcPr>
            <w:tcW w:w="1980" w:type="dxa"/>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3"/>
          <w:wAfter w:w="5940" w:type="dxa"/>
          <w:trHeight w:val="450" w:hRule="atLeast"/>
        </w:trPr>
        <w:tc>
          <w:tcPr>
            <w:tcW w:w="2360" w:type="dxa"/>
            <w:gridSpan w:val="4"/>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980" w:type="dxa"/>
          </w:tcPr>
          <w:p>
            <w:pPr>
              <w:widowControl/>
              <w:jc w:val="left"/>
              <w:rPr>
                <w:kern w:val="0"/>
                <w:sz w:val="20"/>
                <w:szCs w:val="20"/>
              </w:rPr>
            </w:pPr>
          </w:p>
        </w:tc>
        <w:tc>
          <w:tcPr>
            <w:tcW w:w="1980" w:type="dxa"/>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3"/>
          <w:wAfter w:w="5940" w:type="dxa"/>
          <w:trHeight w:val="450" w:hRule="atLeast"/>
        </w:trPr>
        <w:tc>
          <w:tcPr>
            <w:tcW w:w="2360" w:type="dxa"/>
            <w:gridSpan w:val="4"/>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603.51</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258.64</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344.87</w:t>
            </w:r>
          </w:p>
        </w:tc>
        <w:tc>
          <w:tcPr>
            <w:tcW w:w="1980" w:type="dxa"/>
          </w:tcPr>
          <w:p>
            <w:pPr>
              <w:widowControl/>
              <w:jc w:val="left"/>
              <w:rPr>
                <w:kern w:val="0"/>
                <w:sz w:val="20"/>
                <w:szCs w:val="20"/>
              </w:rPr>
            </w:pPr>
          </w:p>
        </w:tc>
        <w:tc>
          <w:tcPr>
            <w:tcW w:w="1980" w:type="dxa"/>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ascii="宋体" w:hAnsi="宋体" w:cs="宋体"/>
                <w:b/>
                <w:kern w:val="0"/>
                <w:sz w:val="24"/>
              </w:rPr>
              <w:t>201</w:t>
            </w:r>
            <w:r>
              <w:rPr>
                <w:rFonts w:hint="eastAsia" w:ascii="宋体" w:hAnsi="宋体" w:cs="宋体"/>
                <w:b/>
                <w:kern w:val="0"/>
                <w:sz w:val="24"/>
              </w:rPr>
              <w:t>　</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一般公共服务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508.64</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178.65</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b/>
                <w:kern w:val="0"/>
                <w:sz w:val="24"/>
              </w:rPr>
            </w:pPr>
            <w:r>
              <w:rPr>
                <w:rFonts w:hint="eastAsia" w:ascii="宋体" w:hAnsi="宋体" w:cs="宋体"/>
                <w:b/>
                <w:kern w:val="0"/>
                <w:sz w:val="24"/>
              </w:rPr>
              <w:t>329.99</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20129</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群体团体事务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508.64</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178.65</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329.99</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2012901</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行政运行</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178.65</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178.65</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2012902</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一般行政管理事务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325.83</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325.83</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2012999</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其他群体团体事务</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4.16</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4.16</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205　</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教育</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14.88</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0</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b/>
                <w:kern w:val="0"/>
                <w:sz w:val="24"/>
              </w:rPr>
            </w:pPr>
            <w:r>
              <w:rPr>
                <w:rFonts w:hint="eastAsia" w:ascii="宋体" w:hAnsi="宋体" w:cs="宋体"/>
                <w:b/>
                <w:kern w:val="0"/>
                <w:sz w:val="24"/>
              </w:rPr>
              <w:t>14.88</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20599</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其他教育支出</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14.88</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0</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b/>
                <w:kern w:val="0"/>
                <w:sz w:val="24"/>
              </w:rPr>
            </w:pPr>
            <w:r>
              <w:rPr>
                <w:rFonts w:hint="eastAsia" w:ascii="宋体" w:hAnsi="宋体" w:cs="宋体"/>
                <w:b/>
                <w:kern w:val="0"/>
                <w:sz w:val="24"/>
              </w:rPr>
              <w:t>14.88</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2059999</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其他教育支出</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14.88</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14.88</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208　</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社会保障和就业</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79.99</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79.99</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b/>
                <w:kern w:val="0"/>
                <w:sz w:val="24"/>
              </w:rPr>
            </w:pPr>
            <w:r>
              <w:rPr>
                <w:rFonts w:hint="eastAsia" w:ascii="宋体" w:hAnsi="宋体" w:cs="宋体"/>
                <w:b/>
                <w:kern w:val="0"/>
                <w:sz w:val="24"/>
              </w:rPr>
              <w:t>0</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20805</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行政事业单位离退休</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79.99</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79.99</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b/>
                <w:kern w:val="0"/>
                <w:sz w:val="24"/>
              </w:rPr>
            </w:pPr>
            <w:r>
              <w:rPr>
                <w:rFonts w:hint="eastAsia" w:ascii="宋体" w:hAnsi="宋体" w:cs="宋体"/>
                <w:b/>
                <w:kern w:val="0"/>
                <w:sz w:val="24"/>
              </w:rPr>
              <w:t>0</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4"/>
          <w:wAfter w:w="7920" w:type="dxa"/>
          <w:trHeight w:val="450" w:hRule="atLeast"/>
        </w:trPr>
        <w:tc>
          <w:tcPr>
            <w:tcW w:w="1149"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2080501</w:t>
            </w:r>
          </w:p>
        </w:tc>
        <w:tc>
          <w:tcPr>
            <w:tcW w:w="1211" w:type="dxa"/>
            <w:tcBorders>
              <w:top w:val="nil"/>
              <w:left w:val="nil"/>
              <w:bottom w:val="single" w:color="000000" w:sz="4" w:space="0"/>
              <w:right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归口管理的行政单位离退休</w:t>
            </w:r>
          </w:p>
        </w:tc>
        <w:tc>
          <w:tcPr>
            <w:tcW w:w="2155"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79.99</w:t>
            </w:r>
          </w:p>
        </w:tc>
        <w:tc>
          <w:tcPr>
            <w:tcW w:w="198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79.99</w:t>
            </w:r>
          </w:p>
        </w:tc>
        <w:tc>
          <w:tcPr>
            <w:tcW w:w="1980"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980" w:type="dxa"/>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45" w:hRule="atLeast"/>
        </w:trPr>
        <w:tc>
          <w:tcPr>
            <w:tcW w:w="8475" w:type="dxa"/>
            <w:gridSpan w:val="7"/>
            <w:tcBorders>
              <w:top w:val="single" w:color="000000" w:sz="8"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注：本表反映部门本年度公共预算财政拨款实际支出情况。</w:t>
            </w:r>
            <w:r>
              <w:rPr>
                <w:rFonts w:hint="eastAsia" w:ascii="宋体" w:hAnsi="宋体" w:cs="宋体"/>
                <w:kern w:val="0"/>
                <w:sz w:val="24"/>
              </w:rPr>
              <w:br w:type="textWrapping"/>
            </w:r>
            <w:r>
              <w:rPr>
                <w:rFonts w:hint="eastAsia" w:ascii="宋体" w:hAnsi="宋体" w:cs="宋体"/>
                <w:kern w:val="0"/>
                <w:sz w:val="24"/>
              </w:rPr>
              <w:t xml:space="preserve">    1栏＝（2+3）栏。</w:t>
            </w:r>
          </w:p>
        </w:tc>
        <w:tc>
          <w:tcPr>
            <w:tcW w:w="1980" w:type="dxa"/>
          </w:tcPr>
          <w:p>
            <w:pPr>
              <w:widowControl/>
              <w:jc w:val="left"/>
              <w:rPr>
                <w:kern w:val="0"/>
                <w:sz w:val="20"/>
                <w:szCs w:val="20"/>
              </w:rPr>
            </w:pPr>
          </w:p>
        </w:tc>
        <w:tc>
          <w:tcPr>
            <w:tcW w:w="1980" w:type="dxa"/>
          </w:tcPr>
          <w:p>
            <w:pPr>
              <w:widowControl/>
              <w:jc w:val="left"/>
              <w:rPr>
                <w:kern w:val="0"/>
                <w:sz w:val="20"/>
                <w:szCs w:val="20"/>
              </w:rPr>
            </w:pPr>
          </w:p>
        </w:tc>
        <w:tc>
          <w:tcPr>
            <w:tcW w:w="1980" w:type="dxa"/>
          </w:tcPr>
          <w:p>
            <w:pPr>
              <w:widowControl/>
              <w:jc w:val="left"/>
              <w:rPr>
                <w:kern w:val="0"/>
                <w:sz w:val="20"/>
                <w:szCs w:val="20"/>
              </w:rPr>
            </w:pPr>
          </w:p>
        </w:tc>
        <w:tc>
          <w:tcPr>
            <w:tcW w:w="1980" w:type="dxa"/>
          </w:tcPr>
          <w:p>
            <w:pPr>
              <w:widowControl/>
              <w:jc w:val="left"/>
              <w:rPr>
                <w:kern w:val="0"/>
                <w:sz w:val="20"/>
                <w:szCs w:val="20"/>
              </w:rPr>
            </w:pPr>
          </w:p>
        </w:tc>
        <w:tc>
          <w:tcPr>
            <w:tcW w:w="1980" w:type="dxa"/>
            <w:vAlign w:val="center"/>
          </w:tcPr>
          <w:p>
            <w:pPr>
              <w:widowControl/>
              <w:jc w:val="center"/>
              <w:rPr>
                <w:rFonts w:ascii="宋体" w:hAnsi="宋体" w:cs="宋体"/>
                <w:kern w:val="0"/>
                <w:sz w:val="24"/>
              </w:rPr>
            </w:pPr>
            <w:r>
              <w:rPr>
                <w:rFonts w:hint="eastAsia" w:ascii="宋体" w:hAnsi="宋体" w:cs="宋体"/>
                <w:kern w:val="0"/>
                <w:sz w:val="24"/>
              </w:rPr>
              <w:t>79.99</w:t>
            </w:r>
          </w:p>
        </w:tc>
      </w:tr>
    </w:tbl>
    <w:p/>
    <w:p>
      <w:pPr>
        <w:rPr>
          <w:rFonts w:hint="eastAsia"/>
        </w:rPr>
      </w:pPr>
    </w:p>
    <w:p>
      <w:pPr>
        <w:rPr>
          <w:rFonts w:hint="eastAsia"/>
        </w:rPr>
      </w:pPr>
    </w:p>
    <w:p>
      <w:pPr>
        <w:rPr>
          <w:rFonts w:hint="eastAsia"/>
        </w:rPr>
      </w:pPr>
    </w:p>
    <w:p>
      <w:pPr>
        <w:widowControl/>
        <w:rPr>
          <w:rFonts w:ascii="仿宋" w:hAnsi="仿宋" w:eastAsia="仿宋" w:cs="宋体"/>
          <w:kern w:val="0"/>
          <w:sz w:val="32"/>
          <w:szCs w:val="32"/>
        </w:rPr>
      </w:pPr>
      <w:r>
        <w:rPr>
          <w:rFonts w:hint="eastAsia" w:ascii="仿宋" w:hAnsi="仿宋" w:eastAsia="仿宋" w:cs="宋体"/>
          <w:kern w:val="0"/>
          <w:sz w:val="32"/>
          <w:szCs w:val="32"/>
        </w:rPr>
        <w:t>附件3</w:t>
      </w:r>
    </w:p>
    <w:p>
      <w:pPr>
        <w:widowControl/>
        <w:rPr>
          <w:rFonts w:ascii="黑体" w:hAnsi="宋体" w:eastAsia="黑体" w:cs="宋体"/>
          <w:kern w:val="0"/>
          <w:sz w:val="28"/>
          <w:szCs w:val="28"/>
        </w:rPr>
      </w:pPr>
      <w:r>
        <w:rPr>
          <w:rFonts w:hint="eastAsia" w:ascii="黑体" w:hAnsi="宋体" w:eastAsia="黑体" w:cs="宋体"/>
          <w:kern w:val="0"/>
          <w:sz w:val="28"/>
          <w:szCs w:val="28"/>
        </w:rPr>
        <w:t>2013年财政拨款开支的“三公”经费支出决算和2014年预算情况表</w:t>
      </w:r>
    </w:p>
    <w:tbl>
      <w:tblPr>
        <w:tblStyle w:val="4"/>
        <w:tblW w:w="9468" w:type="dxa"/>
        <w:tblInd w:w="-176" w:type="dxa"/>
        <w:tblLayout w:type="fixed"/>
        <w:tblCellMar>
          <w:top w:w="0" w:type="dxa"/>
          <w:left w:w="108" w:type="dxa"/>
          <w:bottom w:w="0" w:type="dxa"/>
          <w:right w:w="108" w:type="dxa"/>
        </w:tblCellMar>
      </w:tblPr>
      <w:tblGrid>
        <w:gridCol w:w="1185"/>
        <w:gridCol w:w="1261"/>
        <w:gridCol w:w="1080"/>
        <w:gridCol w:w="1261"/>
        <w:gridCol w:w="900"/>
        <w:gridCol w:w="1080"/>
        <w:gridCol w:w="900"/>
        <w:gridCol w:w="1261"/>
        <w:gridCol w:w="540"/>
      </w:tblGrid>
      <w:tr>
        <w:tblPrEx>
          <w:tblCellMar>
            <w:top w:w="0" w:type="dxa"/>
            <w:left w:w="108" w:type="dxa"/>
            <w:bottom w:w="0" w:type="dxa"/>
            <w:right w:w="108" w:type="dxa"/>
          </w:tblCellMar>
        </w:tblPrEx>
        <w:tc>
          <w:tcPr>
            <w:tcW w:w="4784" w:type="dxa"/>
            <w:gridSpan w:val="4"/>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2013年“三公”经费</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财政拨款决算数</w:t>
            </w:r>
          </w:p>
        </w:tc>
        <w:tc>
          <w:tcPr>
            <w:tcW w:w="4140" w:type="dxa"/>
            <w:gridSpan w:val="4"/>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2014年“三公”经费</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财政拨款预算数</w:t>
            </w:r>
          </w:p>
        </w:tc>
        <w:tc>
          <w:tcPr>
            <w:tcW w:w="54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备注</w:t>
            </w:r>
          </w:p>
        </w:tc>
      </w:tr>
      <w:tr>
        <w:tblPrEx>
          <w:tblCellMar>
            <w:top w:w="0" w:type="dxa"/>
            <w:left w:w="108" w:type="dxa"/>
            <w:bottom w:w="0" w:type="dxa"/>
            <w:right w:w="108" w:type="dxa"/>
          </w:tblCellMar>
        </w:tblPrEx>
        <w:tc>
          <w:tcPr>
            <w:tcW w:w="1184" w:type="dxa"/>
            <w:tcBorders>
              <w:top w:val="single" w:color="000000" w:sz="4" w:space="0"/>
              <w:left w:val="single" w:color="000000" w:sz="4" w:space="0"/>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合计</w:t>
            </w:r>
          </w:p>
        </w:tc>
        <w:tc>
          <w:tcPr>
            <w:tcW w:w="126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因公出国（境）费</w:t>
            </w:r>
          </w:p>
        </w:tc>
        <w:tc>
          <w:tcPr>
            <w:tcW w:w="108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公务接待费</w:t>
            </w:r>
          </w:p>
        </w:tc>
        <w:tc>
          <w:tcPr>
            <w:tcW w:w="126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公务用车购置及运行费</w:t>
            </w:r>
          </w:p>
        </w:tc>
        <w:tc>
          <w:tcPr>
            <w:tcW w:w="90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合计</w:t>
            </w:r>
          </w:p>
        </w:tc>
        <w:tc>
          <w:tcPr>
            <w:tcW w:w="108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因公出国（境）费</w:t>
            </w:r>
          </w:p>
        </w:tc>
        <w:tc>
          <w:tcPr>
            <w:tcW w:w="90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公务接待费</w:t>
            </w:r>
          </w:p>
        </w:tc>
        <w:tc>
          <w:tcPr>
            <w:tcW w:w="126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r>
              <w:rPr>
                <w:rFonts w:hint="eastAsia" w:ascii="仿宋_GB2312" w:hAnsi="宋体" w:eastAsia="仿宋_GB2312" w:cs="宋体"/>
                <w:kern w:val="0"/>
                <w:sz w:val="30"/>
                <w:szCs w:val="30"/>
              </w:rPr>
              <w:t>公务用车购置及运行费</w:t>
            </w:r>
          </w:p>
        </w:tc>
        <w:tc>
          <w:tcPr>
            <w:tcW w:w="54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798"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79625</w:t>
            </w:r>
          </w:p>
        </w:tc>
        <w:tc>
          <w:tcPr>
            <w:tcW w:w="1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79625</w:t>
            </w:r>
          </w:p>
        </w:tc>
        <w:tc>
          <w:tcPr>
            <w:tcW w:w="90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83100</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0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5100</w:t>
            </w:r>
          </w:p>
        </w:tc>
        <w:tc>
          <w:tcPr>
            <w:tcW w:w="126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78000</w:t>
            </w:r>
          </w:p>
        </w:tc>
        <w:tc>
          <w:tcPr>
            <w:tcW w:w="540" w:type="dxa"/>
            <w:tcBorders>
              <w:top w:val="single" w:color="000000" w:sz="4" w:space="0"/>
              <w:left w:val="nil"/>
              <w:bottom w:val="single" w:color="000000" w:sz="4" w:space="0"/>
              <w:right w:val="single" w:color="000000" w:sz="4" w:space="0"/>
            </w:tcBorders>
          </w:tcPr>
          <w:p>
            <w:pPr>
              <w:widowControl/>
              <w:rPr>
                <w:rFonts w:ascii="仿宋_GB2312" w:hAnsi="宋体" w:eastAsia="仿宋_GB2312" w:cs="宋体"/>
                <w:kern w:val="0"/>
                <w:szCs w:val="21"/>
              </w:rPr>
            </w:pPr>
          </w:p>
        </w:tc>
      </w:tr>
    </w:tbl>
    <w:p>
      <w:pPr>
        <w:widowControl/>
        <w:rPr>
          <w:kern w:val="0"/>
          <w:szCs w:val="21"/>
        </w:rPr>
      </w:pPr>
      <w:r>
        <w:rPr>
          <w:rFonts w:hint="eastAsia" w:ascii="仿宋_GB2312" w:hAnsi="宋体" w:eastAsia="仿宋_GB2312" w:cs="宋体"/>
          <w:color w:val="000000"/>
          <w:kern w:val="0"/>
          <w:sz w:val="32"/>
          <w:szCs w:val="32"/>
        </w:rPr>
        <w:t>注：</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1. 因公出国（境）费用：反映单位工作人员公务出国（境）的往返机票费、住宿费、伙食费、培训费等支出。</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2. 公务接待费：反映单位按规定开支的各类公务接待（含外宾接待）支出。</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3. 公务用车购置及运行维护费：反映单位购置公务用车支出及公务用车使用过程中所发生的租用费、燃料费、维修费、过桥过路费、保险费等支出。</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4.2013年“三公”经费财政拨款决算数，是指使用当年财政拨款实际发生的支出和使用上年财政拨款结余结转资金发生的支出。</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5.2014年“三公”经费财政拨款预算数，是指2014年部门预算财政拨款安排的“三公”经费预算。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71E7"/>
    <w:rsid w:val="00007543"/>
    <w:rsid w:val="000907F1"/>
    <w:rsid w:val="00130F0F"/>
    <w:rsid w:val="001562E4"/>
    <w:rsid w:val="001D6473"/>
    <w:rsid w:val="001F1FB4"/>
    <w:rsid w:val="0024760E"/>
    <w:rsid w:val="002B0A64"/>
    <w:rsid w:val="002D4BC6"/>
    <w:rsid w:val="002F47EF"/>
    <w:rsid w:val="004D11E8"/>
    <w:rsid w:val="00506B52"/>
    <w:rsid w:val="0076733D"/>
    <w:rsid w:val="007C6BF4"/>
    <w:rsid w:val="007E29D8"/>
    <w:rsid w:val="008A3B8B"/>
    <w:rsid w:val="008A63BD"/>
    <w:rsid w:val="0093465E"/>
    <w:rsid w:val="009A5723"/>
    <w:rsid w:val="009B2249"/>
    <w:rsid w:val="00A10461"/>
    <w:rsid w:val="00A9505C"/>
    <w:rsid w:val="00AE3168"/>
    <w:rsid w:val="00AF25DD"/>
    <w:rsid w:val="00B058EB"/>
    <w:rsid w:val="00B1726C"/>
    <w:rsid w:val="00BA6FBE"/>
    <w:rsid w:val="00CA46F9"/>
    <w:rsid w:val="00CD0D44"/>
    <w:rsid w:val="00DD05E7"/>
    <w:rsid w:val="00E02D4F"/>
    <w:rsid w:val="00E22616"/>
    <w:rsid w:val="00E471E7"/>
    <w:rsid w:val="00EF4CA3"/>
    <w:rsid w:val="1171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636</Words>
  <Characters>3628</Characters>
  <Lines>30</Lines>
  <Paragraphs>8</Paragraphs>
  <TotalTime>99</TotalTime>
  <ScaleCrop>false</ScaleCrop>
  <LinksUpToDate>false</LinksUpToDate>
  <CharactersWithSpaces>4256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2014-10-31T01:07:00Z</dcterms:created>
  <dc:creator>admin</dc:creator>
  <cp:lastModifiedBy>-Jus</cp:lastModifiedBy>
  <cp:lastPrinted>2014-10-31T01:49:00Z</cp:lastPrinted>
  <dcterms:modified xsi:type="dcterms:W3CDTF">2021-03-30T03:53:12Z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