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bidi w:val="0"/>
        <w:spacing w:line="360" w:lineRule="auto"/>
        <w:ind w:left="0" w:leftChars="0" w:right="0" w:firstLine="0" w:firstLineChars="0"/>
        <w:rPr>
          <w:rFonts w:hint="default" w:ascii="Times New Roman" w:hAnsi="Times New Roman" w:eastAsia="宋体" w:cs="Times New Roman"/>
          <w:sz w:val="21"/>
        </w:rPr>
      </w:pPr>
    </w:p>
    <w:p>
      <w:pPr>
        <w:pageBreakBefore w:val="0"/>
        <w:kinsoku/>
        <w:wordWrap/>
        <w:overflowPunct/>
        <w:topLinePunct/>
        <w:bidi w:val="0"/>
        <w:spacing w:line="360" w:lineRule="auto"/>
        <w:ind w:left="0" w:leftChars="0" w:right="0" w:firstLine="0" w:firstLineChars="0"/>
        <w:jc w:val="center"/>
        <w:rPr>
          <w:rFonts w:hint="eastAsia" w:ascii="宋体" w:hAnsi="宋体" w:eastAsia="宋体" w:cs="宋体"/>
          <w:b/>
          <w:bCs/>
          <w:spacing w:val="-2"/>
          <w:sz w:val="52"/>
          <w:szCs w:val="52"/>
          <w:lang w:eastAsia="zh-CN"/>
        </w:rPr>
      </w:pPr>
    </w:p>
    <w:p>
      <w:pPr>
        <w:pageBreakBefore w:val="0"/>
        <w:kinsoku/>
        <w:wordWrap/>
        <w:overflowPunct/>
        <w:topLinePunct/>
        <w:bidi w:val="0"/>
        <w:spacing w:line="360" w:lineRule="auto"/>
        <w:ind w:left="0" w:leftChars="0" w:right="0" w:firstLine="0" w:firstLineChars="0"/>
        <w:jc w:val="center"/>
        <w:rPr>
          <w:rFonts w:hint="eastAsia" w:ascii="宋体" w:hAnsi="宋体" w:eastAsia="宋体" w:cs="宋体"/>
          <w:b/>
          <w:bCs/>
          <w:spacing w:val="-2"/>
          <w:sz w:val="52"/>
          <w:szCs w:val="52"/>
          <w:lang w:eastAsia="zh-CN"/>
        </w:rPr>
      </w:pPr>
    </w:p>
    <w:p>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0" w:firstLineChars="0"/>
        <w:jc w:val="center"/>
        <w:textAlignment w:val="baseline"/>
        <w:rPr>
          <w:rFonts w:hint="eastAsia" w:ascii="宋体" w:hAnsi="宋体" w:eastAsia="宋体" w:cs="宋体"/>
          <w:b/>
          <w:bCs/>
          <w:spacing w:val="-2"/>
          <w:sz w:val="52"/>
          <w:szCs w:val="52"/>
          <w:lang w:eastAsia="zh-CN"/>
        </w:rPr>
      </w:pPr>
      <w:r>
        <w:rPr>
          <w:rFonts w:hint="eastAsia" w:ascii="宋体" w:hAnsi="宋体" w:eastAsia="宋体" w:cs="宋体"/>
          <w:b/>
          <w:bCs/>
          <w:spacing w:val="-2"/>
          <w:sz w:val="52"/>
          <w:szCs w:val="52"/>
          <w:lang w:eastAsia="zh-CN"/>
        </w:rPr>
        <w:t>福田保税区</w:t>
      </w:r>
    </w:p>
    <w:p>
      <w:pPr>
        <w:pStyle w:val="2"/>
        <w:keepNext w:val="0"/>
        <w:keepLines w:val="0"/>
        <w:pageBreakBefore w:val="0"/>
        <w:widowControl/>
        <w:wordWrap/>
        <w:overflowPunct/>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pacing w:val="-2"/>
          <w:sz w:val="52"/>
          <w:szCs w:val="52"/>
          <w:lang w:val="en-US" w:eastAsia="zh-CN"/>
        </w:rPr>
      </w:pPr>
      <w:r>
        <w:rPr>
          <w:rFonts w:hint="eastAsia" w:ascii="宋体" w:hAnsi="宋体" w:eastAsia="宋体" w:cs="宋体"/>
          <w:b/>
          <w:bCs/>
          <w:spacing w:val="-2"/>
          <w:sz w:val="52"/>
          <w:szCs w:val="52"/>
          <w:lang w:val="en-US" w:eastAsia="zh-CN"/>
        </w:rPr>
        <w:t>（2020年度）</w:t>
      </w:r>
    </w:p>
    <w:p>
      <w:pPr>
        <w:pStyle w:val="2"/>
        <w:keepNext w:val="0"/>
        <w:keepLines w:val="0"/>
        <w:pageBreakBefore w:val="0"/>
        <w:widowControl/>
        <w:wordWrap/>
        <w:overflowPunct/>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bCs/>
          <w:spacing w:val="-2"/>
          <w:sz w:val="52"/>
          <w:szCs w:val="52"/>
          <w:lang w:val="en-US" w:eastAsia="zh-CN"/>
        </w:rPr>
      </w:pPr>
      <w:r>
        <w:rPr>
          <w:rFonts w:hint="eastAsia" w:ascii="宋体" w:hAnsi="宋体" w:eastAsia="宋体" w:cs="宋体"/>
          <w:b/>
          <w:bCs/>
          <w:spacing w:val="-2"/>
          <w:sz w:val="52"/>
          <w:szCs w:val="52"/>
          <w:lang w:val="en-US" w:eastAsia="zh-CN"/>
        </w:rPr>
        <w:t>环境管理评估报告</w:t>
      </w:r>
    </w:p>
    <w:p>
      <w:pPr>
        <w:pStyle w:val="2"/>
        <w:spacing w:line="360" w:lineRule="auto"/>
        <w:ind w:firstLine="2072" w:firstLineChars="400"/>
        <w:rPr>
          <w:rFonts w:hint="eastAsia" w:ascii="宋体" w:hAnsi="宋体" w:eastAsia="宋体" w:cs="宋体"/>
          <w:b/>
          <w:bCs/>
          <w:spacing w:val="-2"/>
          <w:sz w:val="52"/>
          <w:szCs w:val="52"/>
          <w:lang w:val="en-US" w:eastAsia="zh-CN"/>
        </w:rPr>
      </w:pPr>
    </w:p>
    <w:p>
      <w:pPr>
        <w:pStyle w:val="2"/>
        <w:spacing w:line="360" w:lineRule="auto"/>
        <w:ind w:firstLine="2072" w:firstLineChars="400"/>
        <w:rPr>
          <w:rFonts w:hint="eastAsia" w:ascii="宋体" w:hAnsi="宋体" w:eastAsia="宋体" w:cs="宋体"/>
          <w:b/>
          <w:bCs/>
          <w:spacing w:val="-2"/>
          <w:sz w:val="52"/>
          <w:szCs w:val="52"/>
          <w:lang w:val="en-US" w:eastAsia="zh-CN"/>
        </w:rPr>
      </w:pPr>
    </w:p>
    <w:p>
      <w:pPr>
        <w:pStyle w:val="2"/>
        <w:spacing w:line="360" w:lineRule="auto"/>
        <w:ind w:firstLine="2072" w:firstLineChars="400"/>
        <w:rPr>
          <w:rFonts w:hint="eastAsia" w:ascii="宋体" w:hAnsi="宋体" w:eastAsia="宋体" w:cs="宋体"/>
          <w:b/>
          <w:bCs/>
          <w:spacing w:val="-2"/>
          <w:sz w:val="52"/>
          <w:szCs w:val="52"/>
          <w:lang w:val="en-US" w:eastAsia="zh-CN"/>
        </w:rPr>
      </w:pPr>
    </w:p>
    <w:p>
      <w:pPr>
        <w:pStyle w:val="2"/>
        <w:spacing w:line="360" w:lineRule="auto"/>
        <w:ind w:firstLine="2072" w:firstLineChars="400"/>
        <w:rPr>
          <w:rFonts w:hint="eastAsia" w:ascii="宋体" w:hAnsi="宋体" w:eastAsia="宋体" w:cs="宋体"/>
          <w:b/>
          <w:bCs/>
          <w:spacing w:val="-2"/>
          <w:sz w:val="52"/>
          <w:szCs w:val="52"/>
          <w:lang w:val="en-US" w:eastAsia="zh-CN"/>
        </w:rPr>
      </w:pPr>
    </w:p>
    <w:p>
      <w:pPr>
        <w:pStyle w:val="2"/>
        <w:spacing w:line="360" w:lineRule="auto"/>
        <w:ind w:firstLine="0" w:firstLineChars="0"/>
        <w:rPr>
          <w:rFonts w:hint="eastAsia" w:ascii="宋体" w:hAnsi="宋体" w:eastAsia="宋体" w:cs="宋体"/>
          <w:b/>
          <w:bCs/>
          <w:spacing w:val="-2"/>
          <w:sz w:val="52"/>
          <w:szCs w:val="52"/>
          <w:lang w:val="en-US" w:eastAsia="zh-CN"/>
        </w:rPr>
      </w:pPr>
    </w:p>
    <w:p>
      <w:pPr>
        <w:pStyle w:val="2"/>
        <w:spacing w:line="360" w:lineRule="auto"/>
        <w:ind w:firstLine="2072" w:firstLineChars="400"/>
        <w:rPr>
          <w:rFonts w:hint="eastAsia" w:ascii="宋体" w:hAnsi="宋体" w:eastAsia="宋体" w:cs="宋体"/>
          <w:b/>
          <w:bCs/>
          <w:spacing w:val="-2"/>
          <w:sz w:val="52"/>
          <w:szCs w:val="5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default" w:ascii="宋体" w:hAnsi="宋体" w:eastAsia="宋体" w:cs="宋体"/>
          <w:b/>
          <w:bCs/>
          <w:spacing w:val="-2"/>
          <w:sz w:val="52"/>
          <w:szCs w:val="52"/>
          <w:lang w:val="en-US" w:eastAsia="zh-CN"/>
        </w:rPr>
      </w:pPr>
      <w:r>
        <w:rPr>
          <w:rFonts w:hint="eastAsia" w:ascii="宋体" w:hAnsi="宋体" w:eastAsia="宋体" w:cs="宋体"/>
          <w:b w:val="0"/>
          <w:bCs w:val="0"/>
          <w:spacing w:val="-2"/>
          <w:sz w:val="36"/>
          <w:szCs w:val="36"/>
          <w:lang w:val="en-US" w:eastAsia="zh-CN"/>
        </w:rPr>
        <w:t>编制时间：2021年10月</w:t>
      </w:r>
    </w:p>
    <w:p>
      <w:pPr>
        <w:pStyle w:val="2"/>
        <w:rPr>
          <w:rFonts w:hint="default" w:ascii="Times New Roman" w:hAnsi="Times New Roman" w:eastAsia="宋体" w:cs="Times New Roman"/>
          <w:sz w:val="21"/>
        </w:rPr>
      </w:pPr>
    </w:p>
    <w:p>
      <w:pPr>
        <w:pStyle w:val="2"/>
        <w:rPr>
          <w:rFonts w:hint="default" w:ascii="Times New Roman" w:hAnsi="Times New Roman" w:eastAsia="宋体" w:cs="Times New Roman"/>
          <w:sz w:val="21"/>
        </w:rPr>
      </w:pPr>
    </w:p>
    <w:p>
      <w:pPr>
        <w:pStyle w:val="2"/>
        <w:rPr>
          <w:rFonts w:hint="default" w:ascii="Times New Roman" w:hAnsi="Times New Roman" w:eastAsia="宋体" w:cs="Times New Roman"/>
          <w:sz w:val="21"/>
        </w:rPr>
      </w:pPr>
    </w:p>
    <w:p>
      <w:pPr>
        <w:pStyle w:val="2"/>
        <w:rPr>
          <w:rFonts w:hint="default" w:ascii="Times New Roman" w:hAnsi="Times New Roman" w:eastAsia="宋体" w:cs="Times New Roman"/>
          <w:sz w:val="21"/>
        </w:rPr>
      </w:pPr>
    </w:p>
    <w:p>
      <w:pPr>
        <w:pStyle w:val="2"/>
        <w:rPr>
          <w:rFonts w:hint="default" w:ascii="Times New Roman" w:hAnsi="Times New Roman" w:eastAsia="宋体" w:cs="Times New Roman"/>
          <w:sz w:val="21"/>
        </w:rPr>
      </w:pPr>
    </w:p>
    <w:p>
      <w:pPr>
        <w:pStyle w:val="2"/>
        <w:rPr>
          <w:rFonts w:hint="default" w:ascii="Times New Roman" w:hAnsi="Times New Roman" w:eastAsia="宋体" w:cs="Times New Roman"/>
          <w:sz w:val="21"/>
        </w:rPr>
      </w:pPr>
    </w:p>
    <w:p>
      <w:pPr>
        <w:pStyle w:val="2"/>
        <w:rPr>
          <w:rFonts w:hint="default" w:ascii="Times New Roman" w:hAnsi="Times New Roman" w:eastAsia="宋体" w:cs="Times New Roman"/>
          <w:sz w:val="21"/>
        </w:rPr>
      </w:pPr>
    </w:p>
    <w:p>
      <w:pPr>
        <w:pageBreakBefore w:val="0"/>
        <w:kinsoku/>
        <w:wordWrap/>
        <w:overflowPunct/>
        <w:topLinePunct/>
        <w:bidi w:val="0"/>
        <w:spacing w:line="360" w:lineRule="auto"/>
        <w:ind w:left="0" w:leftChars="0" w:right="0" w:firstLine="0" w:firstLineChars="0"/>
        <w:jc w:val="center"/>
        <w:rPr>
          <w:rFonts w:hint="eastAsia" w:ascii="宋体" w:hAnsi="宋体" w:eastAsia="宋体" w:cs="宋体"/>
          <w:spacing w:val="-3"/>
          <w:sz w:val="30"/>
          <w:szCs w:val="30"/>
        </w:rPr>
      </w:pPr>
      <w:r>
        <w:rPr>
          <w:rFonts w:hint="eastAsia" w:ascii="宋体" w:hAnsi="宋体" w:eastAsia="宋体" w:cs="宋体"/>
          <w:b/>
          <w:bCs/>
          <w:spacing w:val="-2"/>
          <w:sz w:val="36"/>
          <w:szCs w:val="36"/>
        </w:rPr>
        <w:t>福田保税区（2020年度）</w:t>
      </w:r>
      <w:r>
        <w:rPr>
          <w:rFonts w:hint="eastAsia" w:ascii="宋体" w:hAnsi="宋体" w:eastAsia="宋体" w:cs="宋体"/>
          <w:b/>
          <w:bCs/>
          <w:spacing w:val="-2"/>
          <w:sz w:val="36"/>
          <w:szCs w:val="36"/>
          <w:lang w:val="en-US" w:eastAsia="zh-CN"/>
        </w:rPr>
        <w:t>环</w:t>
      </w:r>
      <w:r>
        <w:rPr>
          <w:rFonts w:hint="eastAsia" w:ascii="宋体" w:hAnsi="宋体" w:eastAsia="宋体" w:cs="宋体"/>
          <w:b/>
          <w:bCs/>
          <w:spacing w:val="-3"/>
          <w:sz w:val="36"/>
          <w:szCs w:val="36"/>
        </w:rPr>
        <w:t>境管理评估报告</w:t>
      </w:r>
    </w:p>
    <w:p>
      <w:pPr>
        <w:pStyle w:val="5"/>
        <w:rPr>
          <w:rFonts w:hint="eastAsia"/>
        </w:rPr>
      </w:pP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z w:val="28"/>
          <w:szCs w:val="28"/>
        </w:rPr>
      </w:pPr>
      <w:bookmarkStart w:id="0" w:name="_bookmark1"/>
      <w:bookmarkEnd w:id="0"/>
      <w:bookmarkStart w:id="1" w:name="_bookmark2"/>
      <w:bookmarkEnd w:id="1"/>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基于《广东省人民政府办公厅印发关于深化我省环境影响评价制度改革指导意见的 通知》（粤办函[2020]44 号）、《广东省生态环境厅关于进一步做好产业园区规划环境影响评价工作的通知（粤环函[2021]64号)》、《深圳市生态环境局关于开展园区2020年度环境管理状况评估及信息公开工作的函》中要求，深圳市福田区工业和信息化局组织开展了福田保税区 2020 年度环境管理状况评估工作，并编制完成《福田保税区（2020 年度） 环境管理评估报告》。</w:t>
      </w:r>
    </w:p>
    <w:p>
      <w:pPr>
        <w:pageBreakBefore w:val="0"/>
        <w:kinsoku/>
        <w:wordWrap/>
        <w:overflowPunct/>
        <w:topLinePunct/>
        <w:bidi w:val="0"/>
        <w:spacing w:line="360" w:lineRule="auto"/>
        <w:ind w:left="0" w:leftChars="0" w:right="0" w:firstLine="540" w:firstLineChars="200"/>
        <w:outlineLvl w:val="1"/>
        <w:rPr>
          <w:rFonts w:hint="default" w:ascii="Times New Roman" w:hAnsi="Times New Roman" w:eastAsia="宋体" w:cs="Times New Roman"/>
          <w:spacing w:val="-5"/>
          <w:sz w:val="28"/>
          <w:szCs w:val="28"/>
          <w14:textOutline w14:w="5103" w14:cap="sq" w14:cmpd="sng">
            <w14:solidFill>
              <w14:srgbClr w14:val="000000"/>
            </w14:solidFill>
            <w14:prstDash w14:val="solid"/>
            <w14:bevel/>
          </w14:textOutline>
        </w:rPr>
      </w:pPr>
      <w:bookmarkStart w:id="2" w:name="_bookmark3"/>
      <w:bookmarkEnd w:id="2"/>
      <w:bookmarkStart w:id="3" w:name="_bookmark6"/>
      <w:bookmarkEnd w:id="3"/>
      <w:bookmarkStart w:id="4" w:name="_Toc18546"/>
      <w:r>
        <w:rPr>
          <w:rFonts w:hint="eastAsia"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t>1.</w:t>
      </w:r>
      <w:r>
        <w:rPr>
          <w:rFonts w:hint="default" w:ascii="Times New Roman" w:hAnsi="Times New Roman" w:eastAsia="宋体" w:cs="Times New Roman"/>
          <w:spacing w:val="-5"/>
          <w:sz w:val="28"/>
          <w:szCs w:val="28"/>
          <w14:textOutline w14:w="5103" w14:cap="sq" w14:cmpd="sng">
            <w14:solidFill>
              <w14:srgbClr w14:val="000000"/>
            </w14:solidFill>
            <w14:prstDash w14:val="solid"/>
            <w14:bevel/>
          </w14:textOutline>
        </w:rPr>
        <w:t xml:space="preserve"> 园区概况</w:t>
      </w:r>
      <w:bookmarkEnd w:id="4"/>
    </w:p>
    <w:p>
      <w:pPr>
        <w:keepNext w:val="0"/>
        <w:keepLines w:val="0"/>
        <w:pageBreakBefore w:val="0"/>
        <w:widowControl/>
        <w:kinsoku/>
        <w:wordWrap/>
        <w:overflowPunct/>
        <w:topLinePunct/>
        <w:autoSpaceDE w:val="0"/>
        <w:autoSpaceDN w:val="0"/>
        <w:bidi w:val="0"/>
        <w:adjustRightInd w:val="0"/>
        <w:snapToGrid w:val="0"/>
        <w:spacing w:line="360" w:lineRule="auto"/>
        <w:ind w:left="0" w:leftChars="0" w:right="0" w:firstLine="516" w:firstLineChars="200"/>
        <w:textAlignment w:val="baseline"/>
        <w:rPr>
          <w:rFonts w:hint="default" w:ascii="Times New Roman" w:hAnsi="Times New Roman" w:eastAsia="宋体" w:cs="Times New Roman"/>
          <w:snapToGrid w:val="0"/>
          <w:color w:val="000000"/>
          <w:spacing w:val="-11"/>
          <w:kern w:val="0"/>
          <w:sz w:val="28"/>
          <w:szCs w:val="28"/>
          <w:lang w:eastAsia="zh-CN"/>
        </w:rPr>
      </w:pPr>
      <w:r>
        <w:rPr>
          <w:rFonts w:hint="default" w:ascii="Times New Roman" w:hAnsi="Times New Roman" w:eastAsia="宋体" w:cs="Times New Roman"/>
          <w:snapToGrid w:val="0"/>
          <w:color w:val="000000"/>
          <w:spacing w:val="-11"/>
          <w:kern w:val="0"/>
          <w:sz w:val="28"/>
          <w:szCs w:val="28"/>
          <w:lang w:val="en-US" w:eastAsia="zh-CN"/>
        </w:rPr>
        <w:t>福田保税区</w:t>
      </w:r>
      <w:r>
        <w:rPr>
          <w:rFonts w:hint="default" w:ascii="Times New Roman" w:hAnsi="Times New Roman" w:eastAsia="宋体" w:cs="Times New Roman"/>
          <w:snapToGrid w:val="0"/>
          <w:color w:val="000000"/>
          <w:spacing w:val="-11"/>
          <w:kern w:val="0"/>
          <w:sz w:val="28"/>
          <w:szCs w:val="28"/>
          <w:lang w:eastAsia="zh-CN"/>
        </w:rPr>
        <w:t>规划总面积为1.68km</w:t>
      </w:r>
      <w:r>
        <w:rPr>
          <w:rFonts w:hint="default" w:ascii="Times New Roman" w:hAnsi="Times New Roman" w:eastAsia="宋体" w:cs="Times New Roman"/>
          <w:snapToGrid w:val="0"/>
          <w:color w:val="000000"/>
          <w:spacing w:val="-11"/>
          <w:kern w:val="0"/>
          <w:sz w:val="28"/>
          <w:szCs w:val="28"/>
          <w:vertAlign w:val="superscript"/>
          <w:lang w:eastAsia="zh-CN"/>
        </w:rPr>
        <w:t>2</w:t>
      </w:r>
      <w:r>
        <w:rPr>
          <w:rFonts w:hint="default" w:ascii="Times New Roman" w:hAnsi="Times New Roman" w:eastAsia="宋体" w:cs="Times New Roman"/>
          <w:snapToGrid w:val="0"/>
          <w:color w:val="000000"/>
          <w:spacing w:val="-11"/>
          <w:kern w:val="0"/>
          <w:sz w:val="28"/>
          <w:szCs w:val="28"/>
          <w:lang w:eastAsia="zh-CN"/>
        </w:rPr>
        <w:t>，其中围网外配套生活用地面积0.33km</w:t>
      </w:r>
      <w:r>
        <w:rPr>
          <w:rFonts w:hint="default" w:ascii="Times New Roman" w:hAnsi="Times New Roman" w:eastAsia="宋体" w:cs="Times New Roman"/>
          <w:snapToGrid w:val="0"/>
          <w:color w:val="000000"/>
          <w:spacing w:val="-11"/>
          <w:kern w:val="0"/>
          <w:sz w:val="28"/>
          <w:szCs w:val="28"/>
          <w:vertAlign w:val="superscript"/>
          <w:lang w:eastAsia="zh-CN"/>
        </w:rPr>
        <w:t>2</w:t>
      </w:r>
      <w:r>
        <w:rPr>
          <w:rFonts w:hint="default" w:ascii="Times New Roman" w:hAnsi="Times New Roman" w:eastAsia="宋体" w:cs="Times New Roman"/>
          <w:snapToGrid w:val="0"/>
          <w:color w:val="000000"/>
          <w:spacing w:val="-11"/>
          <w:kern w:val="0"/>
          <w:sz w:val="28"/>
          <w:szCs w:val="28"/>
          <w:lang w:eastAsia="zh-CN"/>
        </w:rPr>
        <w:t>，围网内面积1.35km</w:t>
      </w:r>
      <w:r>
        <w:rPr>
          <w:rFonts w:hint="default" w:ascii="Times New Roman" w:hAnsi="Times New Roman" w:eastAsia="宋体" w:cs="Times New Roman"/>
          <w:snapToGrid w:val="0"/>
          <w:color w:val="000000"/>
          <w:spacing w:val="-11"/>
          <w:kern w:val="0"/>
          <w:sz w:val="28"/>
          <w:szCs w:val="28"/>
          <w:vertAlign w:val="superscript"/>
          <w:lang w:eastAsia="zh-CN"/>
        </w:rPr>
        <w:t>2</w:t>
      </w:r>
      <w:r>
        <w:rPr>
          <w:rFonts w:hint="default" w:ascii="Times New Roman" w:hAnsi="Times New Roman" w:eastAsia="宋体" w:cs="Times New Roman"/>
          <w:snapToGrid w:val="0"/>
          <w:color w:val="000000"/>
          <w:spacing w:val="-11"/>
          <w:kern w:val="0"/>
          <w:sz w:val="28"/>
          <w:szCs w:val="28"/>
          <w:lang w:eastAsia="zh-CN"/>
        </w:rPr>
        <w:t>。其范围为东起皇岗口岸边，西止新洲河东岸，南沿深圳河北岸，北至广深高速。根据规划区整体空间特点，本地区的规划布局可概括为“三线一点”。</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(1)三线：整个区域呈狭长型分布，其中南线沿深圳河主要为物流仓储用地，中线主要为一般工业用地，北线为生活配套区和商业区。</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(2)一点：指的是区域东北部的联检场。</w:t>
      </w:r>
      <w:bookmarkStart w:id="5" w:name="_bookmark8"/>
      <w:bookmarkEnd w:id="5"/>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根据广东省环境保护局《关于催办环评手续的通知》（粤环函[2007]278号）的相关规定，原深圳市保税区管理局委托原深圳市环境保护科学研究所承担了《广东福田保税区规划环境影响报告书》的编制工作，并于2008年取得《关于广东沙头角保税区、福田保税区、盐田港保税区及盐田港保税物流园区规划环境影响报告书的审查意见》</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2020年，深圳市商务局委托深圳市汉宇环境科技有限公司对广东福田保税区规划开展环境影响跟踪评价工作，编制完成了《广东福田保税区规划环境影响跟踪评价报告书》。</w:t>
      </w:r>
    </w:p>
    <w:p>
      <w:pPr>
        <w:pageBreakBefore w:val="0"/>
        <w:kinsoku/>
        <w:wordWrap/>
        <w:overflowPunct/>
        <w:topLinePunct/>
        <w:bidi w:val="0"/>
        <w:spacing w:line="360" w:lineRule="auto"/>
        <w:ind w:left="0" w:leftChars="0" w:right="0" w:firstLine="540" w:firstLineChars="200"/>
        <w:outlineLvl w:val="1"/>
        <w:rPr>
          <w:rFonts w:hint="default"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t>2.</w:t>
      </w:r>
      <w:r>
        <w:rPr>
          <w:rFonts w:hint="default"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t xml:space="preserve">  园区产业定位</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pacing w:val="-11"/>
          <w:sz w:val="24"/>
          <w:szCs w:val="24"/>
          <w:lang w:val="en-US" w:eastAsia="zh-CN"/>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2021年，《深圳市国民经济和社会发展第十四个五年规划和二〇三五年远景目标纲要》中定位福田保税区未来功能为：加强深港合作、科技创新，打造更加侧重科技研发支撑和 技术应用带动的深港全面深度合作先导区、河套深港科技创新合作区先行区。</w:t>
      </w:r>
    </w:p>
    <w:p>
      <w:pPr>
        <w:pageBreakBefore w:val="0"/>
        <w:kinsoku/>
        <w:wordWrap/>
        <w:overflowPunct/>
        <w:topLinePunct/>
        <w:bidi w:val="0"/>
        <w:spacing w:line="360" w:lineRule="auto"/>
        <w:ind w:left="0" w:leftChars="0" w:right="0" w:firstLine="540" w:firstLineChars="200"/>
        <w:outlineLvl w:val="1"/>
        <w:rPr>
          <w:rFonts w:hint="default"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pPr>
      <w:bookmarkStart w:id="6" w:name="_Toc17375"/>
      <w:r>
        <w:rPr>
          <w:rFonts w:hint="eastAsia"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t>3.</w:t>
      </w:r>
      <w:r>
        <w:rPr>
          <w:rFonts w:hint="default" w:ascii="Times New Roman" w:hAnsi="Times New Roman" w:eastAsia="宋体" w:cs="Times New Roman"/>
          <w:spacing w:val="-5"/>
          <w:sz w:val="28"/>
          <w:szCs w:val="28"/>
          <w:lang w:val="en-US" w:eastAsia="zh-CN"/>
          <w14:textOutline w14:w="5103" w14:cap="sq" w14:cmpd="sng">
            <w14:solidFill>
              <w14:srgbClr w14:val="000000"/>
            </w14:solidFill>
            <w14:prstDash w14:val="solid"/>
            <w14:bevel/>
          </w14:textOutline>
        </w:rPr>
        <w:t xml:space="preserve"> 园区内建设项目情况</w:t>
      </w:r>
      <w:bookmarkEnd w:id="6"/>
    </w:p>
    <w:p>
      <w:pPr>
        <w:pageBreakBefore w:val="0"/>
        <w:kinsoku/>
        <w:wordWrap/>
        <w:overflowPunct/>
        <w:topLinePunct/>
        <w:bidi w:val="0"/>
        <w:spacing w:line="360" w:lineRule="auto"/>
        <w:ind w:left="0" w:leftChars="0" w:right="0" w:firstLine="500" w:firstLineChars="0"/>
        <w:rPr>
          <w:rFonts w:hint="default" w:ascii="Times New Roman" w:hAnsi="Times New Roman" w:eastAsia="宋体" w:cs="Times New Roman"/>
          <w:spacing w:val="-1"/>
          <w:sz w:val="28"/>
          <w:szCs w:val="28"/>
          <w14:textOutline w14:w="5103" w14:cap="sq" w14:cmpd="sng">
            <w14:solidFill>
              <w14:srgbClr w14:val="000000"/>
            </w14:solidFill>
            <w14:prstDash w14:val="solid"/>
            <w14:bevel/>
          </w14:textOutline>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经查询环评审批系统，福田保税区内有环评审批记录的企业约766家</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，通过查询全国排污许可管理信息平台，保税区内核发排污许可证企业约14家，登记管理企业22家。</w:t>
      </w:r>
      <w:bookmarkStart w:id="7" w:name="_bookmark12"/>
      <w:bookmarkEnd w:id="7"/>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随着深圳市的《深圳保税区域转型升级行动方案（2013-2015）》、《深圳市产业结构调整优化和产业导向目录（2016年修订）》、《深圳市人居环境委员会关于加强深圳市“五大流域”建设项目环评审批管理的通知（深人环〔2018〕461号）》等一系列政策的出台，为园区产业结构改革和升级带来了新的指引，园区在总结发展中取得的经验和教训后，对现有企业加大了管理力度，对部分污染治理不到位的企业进行关停整改，加紧产业升级；在引进项目时，严格把关，坚持发展高起点，发展技术含量高、附加值、技术档次属国内先进水平的项目，优先发展无污染的工业，鼓励符合工业链要求和符合循环经济原则的生态型项目。</w:t>
      </w:r>
    </w:p>
    <w:p>
      <w:pPr>
        <w:pStyle w:val="5"/>
        <w:pageBreakBefore w:val="0"/>
        <w:kinsoku/>
        <w:wordWrap/>
        <w:overflowPunct/>
        <w:topLinePunct/>
        <w:bidi w:val="0"/>
        <w:spacing w:line="360" w:lineRule="auto"/>
        <w:ind w:left="0" w:leftChars="0" w:right="0" w:firstLine="556" w:firstLineChars="200"/>
        <w:outlineLvl w:val="1"/>
        <w:rPr>
          <w:rFonts w:hint="default" w:ascii="Times New Roman" w:hAnsi="Times New Roman" w:eastAsia="宋体" w:cs="Times New Roman"/>
          <w:spacing w:val="-1"/>
          <w:sz w:val="28"/>
          <w:szCs w:val="28"/>
          <w14:textOutline w14:w="5103" w14:cap="sq" w14:cmpd="sng">
            <w14:solidFill>
              <w14:srgbClr w14:val="000000"/>
            </w14:solidFill>
            <w14:prstDash w14:val="solid"/>
            <w14:bevel/>
          </w14:textOutline>
        </w:rPr>
      </w:pPr>
      <w:bookmarkStart w:id="8" w:name="_Toc7787"/>
      <w:r>
        <w:rPr>
          <w:rFonts w:hint="eastAsia"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t>4.</w:t>
      </w:r>
      <w:r>
        <w:rPr>
          <w:rFonts w:hint="default" w:ascii="Times New Roman" w:hAnsi="Times New Roman" w:eastAsia="宋体" w:cs="Times New Roman"/>
          <w:spacing w:val="-1"/>
          <w:sz w:val="28"/>
          <w:szCs w:val="28"/>
          <w14:textOutline w14:w="5103" w14:cap="sq" w14:cmpd="sng">
            <w14:solidFill>
              <w14:srgbClr w14:val="000000"/>
            </w14:solidFill>
            <w14:prstDash w14:val="solid"/>
            <w14:bevel/>
          </w14:textOutline>
        </w:rPr>
        <w:t xml:space="preserve"> 建设项目主要污染物产生和治理情况</w:t>
      </w:r>
      <w:bookmarkEnd w:id="8"/>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 xml:space="preserve">（1） </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污水及其污染物产生和排放情况统计</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工业园区各企业废水包括生活污水和工业废水。生活污水产生于各企业员工及管理人员日常的办公、生活，污水中主要含COD、BOD</w:t>
      </w:r>
      <w:bookmarkStart w:id="14" w:name="_GoBack"/>
      <w:r>
        <w:rPr>
          <w:rFonts w:hint="default" w:ascii="Times New Roman" w:hAnsi="Times New Roman" w:eastAsia="宋体" w:cs="Times New Roman"/>
          <w:snapToGrid/>
          <w:color w:val="000000" w:themeColor="text1"/>
          <w:kern w:val="2"/>
          <w:sz w:val="28"/>
          <w:szCs w:val="28"/>
          <w:vertAlign w:val="subscript"/>
          <w:lang w:val="en-US" w:eastAsia="zh-CN" w:bidi="ar-SA"/>
          <w14:textFill>
            <w14:solidFill>
              <w14:schemeClr w14:val="tx1"/>
            </w14:solidFill>
          </w14:textFill>
        </w:rPr>
        <w:t>5</w:t>
      </w:r>
      <w:bookmarkEnd w:id="14"/>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、SS、氨氮、总磷等污染物。生活污水排放量</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约</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1752000t/a</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经预处理排入福田水质净化厂。</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工业废水主要来自计算机、通信和其他电子设备制造、金属制品制造、珠宝加工等行业排放的工艺废水、电镀废水、清洗废水等，</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根据14家核发排污许可证企业环统信息，</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废水产生总量为</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61.2561</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万t/a，主要含COD、</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氨氮</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等污染物。各企业生产废水经企业自行处理达到一级标准后排入福田水质净化厂。</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（2）废气及其污染物排放统计</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废气主要来自各企业排放的工艺废气。污染物主要有VOCs、SO</w:t>
      </w:r>
      <w:r>
        <w:rPr>
          <w:rFonts w:hint="default" w:ascii="Times New Roman" w:hAnsi="Times New Roman" w:eastAsia="宋体" w:cs="Times New Roman"/>
          <w:snapToGrid/>
          <w:color w:val="000000" w:themeColor="text1"/>
          <w:kern w:val="2"/>
          <w:sz w:val="28"/>
          <w:szCs w:val="28"/>
          <w:vertAlign w:val="subscript"/>
          <w:lang w:val="en-US" w:eastAsia="zh-CN" w:bidi="ar-SA"/>
          <w14:textFill>
            <w14:solidFill>
              <w14:schemeClr w14:val="tx1"/>
            </w14:solidFill>
          </w14:textFill>
        </w:rPr>
        <w:t>2</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、NO</w:t>
      </w:r>
      <w:r>
        <w:rPr>
          <w:rFonts w:hint="eastAsia" w:ascii="Times New Roman" w:hAnsi="Times New Roman" w:eastAsia="宋体" w:cs="Times New Roman"/>
          <w:snapToGrid/>
          <w:color w:val="000000" w:themeColor="text1"/>
          <w:kern w:val="2"/>
          <w:sz w:val="28"/>
          <w:szCs w:val="28"/>
          <w:vertAlign w:val="subscript"/>
          <w:lang w:val="en-US" w:eastAsia="zh-CN" w:bidi="ar-SA"/>
          <w14:textFill>
            <w14:solidFill>
              <w14:schemeClr w14:val="tx1"/>
            </w14:solidFill>
          </w14:textFill>
        </w:rPr>
        <w:t>2</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、等，</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根据14家核发排污许可证企业环统信息，</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VOCs</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年排放量为7.0618吨/年，</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SO</w:t>
      </w:r>
      <w:r>
        <w:rPr>
          <w:rFonts w:hint="default" w:ascii="Times New Roman" w:hAnsi="Times New Roman" w:eastAsia="宋体" w:cs="Times New Roman"/>
          <w:snapToGrid/>
          <w:color w:val="000000" w:themeColor="text1"/>
          <w:kern w:val="2"/>
          <w:sz w:val="28"/>
          <w:szCs w:val="28"/>
          <w:vertAlign w:val="subscript"/>
          <w:lang w:val="en-US" w:eastAsia="zh-CN" w:bidi="ar-SA"/>
          <w14:textFill>
            <w14:solidFill>
              <w14:schemeClr w14:val="tx1"/>
            </w14:solidFill>
          </w14:textFill>
        </w:rPr>
        <w:t>2</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年排放量为2.7266吨/年，</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NO</w:t>
      </w:r>
      <w:r>
        <w:rPr>
          <w:rFonts w:hint="eastAsia" w:ascii="Times New Roman" w:hAnsi="Times New Roman" w:eastAsia="宋体" w:cs="Times New Roman"/>
          <w:snapToGrid/>
          <w:color w:val="000000" w:themeColor="text1"/>
          <w:kern w:val="2"/>
          <w:sz w:val="28"/>
          <w:szCs w:val="28"/>
          <w:vertAlign w:val="subscript"/>
          <w:lang w:val="en-US" w:eastAsia="zh-CN" w:bidi="ar-SA"/>
          <w14:textFill>
            <w14:solidFill>
              <w14:schemeClr w14:val="tx1"/>
            </w14:solidFill>
          </w14:textFill>
        </w:rPr>
        <w:t>2</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年排放量为0.4438吨/年。福田保税区涉及废气排放的企业均已按要求安装废气处理装置，确保废气经处理后达标排放。</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（3）固体废物产生和处置情况统计</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工业园区产生的固体废物分别为一般工业固体废物、危险废物和生活垃圾。其中一般工业固体废物主要有电子元件废弃物、塑料、玻璃、焊接废渣、边角料、金属残渣、次品、外包装材料等，危险废物有含危险化合物的废液、含重金属的污泥等危险废物等。</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rPr>
        <w:sectPr>
          <w:headerReference r:id="rId5" w:type="default"/>
          <w:footerReference r:id="rId6" w:type="default"/>
          <w:pgSz w:w="11906" w:h="16838"/>
          <w:pgMar w:top="1800" w:right="1440" w:bottom="1800" w:left="1440" w:header="0" w:footer="1297" w:gutter="0"/>
          <w:pgNumType w:fmt="decimal"/>
          <w:cols w:space="720" w:num="1"/>
        </w:sectPr>
      </w:pP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根据14家核发排污许可证企业环统信息，一般工业固体废物排放量为2304.52吨/年，危险废物排放量为4771.876吨/年。</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据调查，园区各已建企业对固体废物采用分类处置的方式：一般工业固废由企业自身回收利用或外卖给相关单位进行资源化处理；危险废物交由具有危险废物处理资质的单位处理。</w:t>
      </w:r>
    </w:p>
    <w:p>
      <w:pPr>
        <w:pStyle w:val="5"/>
        <w:pageBreakBefore w:val="0"/>
        <w:numPr>
          <w:ilvl w:val="0"/>
          <w:numId w:val="0"/>
        </w:numPr>
        <w:kinsoku/>
        <w:wordWrap/>
        <w:overflowPunct/>
        <w:topLinePunct/>
        <w:bidi w:val="0"/>
        <w:spacing w:line="360" w:lineRule="auto"/>
        <w:ind w:leftChars="0" w:right="0" w:rightChars="0" w:firstLine="556" w:firstLineChars="200"/>
        <w:outlineLvl w:val="1"/>
        <w:rPr>
          <w:rFonts w:hint="default"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pPr>
      <w:bookmarkStart w:id="9" w:name="_bookmark14"/>
      <w:bookmarkEnd w:id="9"/>
      <w:bookmarkStart w:id="10" w:name="_Toc10831"/>
      <w:r>
        <w:rPr>
          <w:rFonts w:hint="eastAsia"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t>5.</w:t>
      </w:r>
      <w:r>
        <w:rPr>
          <w:rFonts w:hint="default"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t>区域环境质量情况</w:t>
      </w:r>
      <w:bookmarkEnd w:id="10"/>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bookmarkStart w:id="11" w:name="_bookmark28"/>
      <w:bookmarkEnd w:id="11"/>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福田保税区位于深圳市福田区，保税区内未设环境质量监测点，区域环境质量引用《</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深圳市福田区环境质量分析报告（2020年）</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》中相关数据。</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福田区环境空气质量监测点共有1个，是通心岭子站，为国控点，距离福田保税区约4公里。2020年福田区环境空气有效监测天数为352天，环境空气质量指数（AQI）范围在15~168之间，空气质量达到Ⅰ级（优）的天数为214天，空气质量达到达到Ⅱ级（良）的天数为124天，空气质量为Ⅲ级（轻度污染）的天数为13天，空气质量为Ⅳ级（中度污染）的天数为1天，空气质量优良率为96.0%。</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bookmarkStart w:id="12" w:name="_bookmark29"/>
      <w:bookmarkEnd w:id="12"/>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2020年，福田区共8条河流（11个监测断面）纳入监测</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，紧邻福田保税区的深圳河共布设2个监测断面，</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深圳河砖码头、深圳河河口</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监测结果</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符合地表水IV类标准</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深圳河砖码头、深圳河河口断面水质指数分别下降22.6%、16.8%，污染程度有所减轻。</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根据《市生态环境局关于印发&lt;深圳市声环境功能区划分&gt;的通知》（深环[2020]186号）</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，福田保税区</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位于声环境质量 3 类功能区内。</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根据《</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深圳市福田区环境质量分析报告（2020年）</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》中相关数据，福田区</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3类功能区昼间和夜间噪声达标率为100%</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w:t>
      </w:r>
      <w:bookmarkStart w:id="13" w:name="_bookmark30"/>
      <w:bookmarkEnd w:id="13"/>
    </w:p>
    <w:p>
      <w:pPr>
        <w:pStyle w:val="5"/>
        <w:pageBreakBefore w:val="0"/>
        <w:numPr>
          <w:ilvl w:val="0"/>
          <w:numId w:val="0"/>
        </w:numPr>
        <w:kinsoku/>
        <w:wordWrap/>
        <w:overflowPunct/>
        <w:topLinePunct/>
        <w:bidi w:val="0"/>
        <w:spacing w:line="360" w:lineRule="auto"/>
        <w:ind w:leftChars="0" w:right="0" w:rightChars="0"/>
        <w:outlineLvl w:val="1"/>
        <w:rPr>
          <w:rFonts w:hint="default"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t xml:space="preserve">        6.</w:t>
      </w:r>
      <w:r>
        <w:rPr>
          <w:rFonts w:hint="default"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t>园区环境风险防控情况</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自规划实施以来，规划区近年来未发生过重大环境污染事故。规划区</w:t>
      </w: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内</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产业类型主要集中在电子信息、金属制品制造业。生产设施风险识别的范围包括：主要生产装置、贮运系统、公用工程系统、环保工程设施及辅助生产设施等。</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（1）</w:t>
      </w: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生产运行系统</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生产过程中，因操作不当或设备老化、磨损，在加料口、排料口易产生跑、漏现象，管道连接点密封不严也造成废气、废液、废渣泄漏，对环境产生污染。</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 xml:space="preserve">（2）贮运系统 </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生产所需化学品原料的贮运系统一般由槽车和贮罐组成，该系统的事故隐患主要是事故性泄漏。即因交通事故造成运输车辆翻覆、槽罐破损，危险化学品（包括固体和液 体）大量溢出而对环境造成污染或人员伤害；危险化学品贮罐和废液贮罐因老化破损， 造成物料泄漏，对环境产生污染。</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 xml:space="preserve">（3）污水处理系统 </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企业内部废水处理设施发生故障，或投加药剂不足时，废水预处理系统去除率下降，甚至废水未经预处理直接排入福田水质净化厂，对污水处理厂造成冲击。</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 xml:space="preserve">（4）废气处理系统 </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企业内部废气处理系统发生故障，或停电、投加药剂不足时，废气处理系统去除率下降，导致废气事故排放，高浓度废气排放对周边环境造成影响，造成周边环境质量下降，甚至对周边人群健康造成损害。</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规划区各重点企业执行了针对本企业的风险防范措施及应急预案，典型重点风险源分析及采取的措施。各重点企业均制定了应急预案，在罐区和贮存区周围设置围堰和事故池，对生产过程中的潜在风险进行有效防范。</w:t>
      </w:r>
    </w:p>
    <w:p>
      <w:pPr>
        <w:pStyle w:val="5"/>
        <w:pageBreakBefore w:val="0"/>
        <w:numPr>
          <w:ilvl w:val="0"/>
          <w:numId w:val="0"/>
        </w:numPr>
        <w:kinsoku/>
        <w:wordWrap/>
        <w:overflowPunct/>
        <w:topLinePunct/>
        <w:bidi w:val="0"/>
        <w:spacing w:line="360" w:lineRule="auto"/>
        <w:ind w:right="0" w:rightChars="0" w:firstLine="556" w:firstLineChars="200"/>
        <w:outlineLvl w:val="1"/>
        <w:rPr>
          <w:rFonts w:hint="eastAsia"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1"/>
          <w:sz w:val="28"/>
          <w:szCs w:val="28"/>
          <w:lang w:val="en-US" w:eastAsia="zh-CN"/>
          <w14:textOutline w14:w="5103" w14:cap="sq" w14:cmpd="sng">
            <w14:solidFill>
              <w14:srgbClr w14:val="000000"/>
            </w14:solidFill>
            <w14:prstDash w14:val="solid"/>
            <w14:bevel/>
          </w14:textOutline>
        </w:rPr>
        <w:t>7.园区生态环境管理情况</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深圳市生态环境局福田管理局对整个福田保税区内企业的环保工作和区域环境质量实施管理、督查和监控。目前园区所在地环境主管部门已建立有环保数字化服务平台，对管理范围内的所有企业建立了环保档案，各企业的环保手续情况、排污许可情况、排污口信息、环境统计信息和重要事件均进行了记录，可随时查询企业环境管理的情况，同时建立环保核查制度，定期对企业环保工作进行检查，发现漏洞及时通知企业进行整改。</w:t>
      </w:r>
    </w:p>
    <w:p>
      <w:pPr>
        <w:keepNext w:val="0"/>
        <w:keepLines w:val="0"/>
        <w:pageBreakBefore w:val="0"/>
        <w:widowControl w:val="0"/>
        <w:kinsoku/>
        <w:wordWrap/>
        <w:overflowPunct/>
        <w:topLinePunct/>
        <w:autoSpaceDE w:val="0"/>
        <w:autoSpaceDN w:val="0"/>
        <w:bidi w:val="0"/>
        <w:adjustRightInd w:val="0"/>
        <w:snapToGrid w:val="0"/>
        <w:spacing w:line="360" w:lineRule="auto"/>
        <w:ind w:right="0" w:firstLine="56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color w:val="000000" w:themeColor="text1"/>
          <w:kern w:val="2"/>
          <w:sz w:val="28"/>
          <w:szCs w:val="28"/>
          <w:lang w:val="en-US" w:eastAsia="zh-CN" w:bidi="ar-SA"/>
          <w14:textFill>
            <w14:solidFill>
              <w14:schemeClr w14:val="tx1"/>
            </w14:solidFill>
          </w14:textFill>
        </w:rPr>
        <w:t>当地环境主管部门对辖区内重点污染源污染治理设施重点监督，督促重点污染源安装在线监控系统，并与当地环境主管部门联网，实时监控企业污染物排放情况，目前福田保税区内污染源监控系统已初步建成。区内6家自建污水站的企业已设置废水在线监控装置，监控设施均与环保部门污染源自动监控中心实行联网。</w:t>
      </w:r>
    </w:p>
    <w:p>
      <w:pPr>
        <w:pStyle w:val="5"/>
        <w:keepNext w:val="0"/>
        <w:keepLines w:val="0"/>
        <w:pageBreakBefore w:val="0"/>
        <w:widowControl/>
        <w:numPr>
          <w:ilvl w:val="0"/>
          <w:numId w:val="0"/>
        </w:numPr>
        <w:kinsoku/>
        <w:wordWrap/>
        <w:overflowPunct/>
        <w:topLinePunct/>
        <w:autoSpaceDE w:val="0"/>
        <w:autoSpaceDN w:val="0"/>
        <w:bidi w:val="0"/>
        <w:adjustRightInd w:val="0"/>
        <w:snapToGrid w:val="0"/>
        <w:ind w:leftChars="0"/>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sectPr>
      <w:footerReference r:id="rId7" w:type="default"/>
      <w:pgSz w:w="11906" w:h="16839"/>
      <w:pgMar w:top="1440" w:right="1800" w:bottom="1440" w:left="1800" w:header="0" w:footer="10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47782"/>
    <w:multiLevelType w:val="singleLevel"/>
    <w:tmpl w:val="B5347782"/>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C"/>
    <w:multiLevelType w:val="multilevel"/>
    <w:tmpl w:val="0000000C"/>
    <w:lvl w:ilvl="0" w:tentative="0">
      <w:start w:val="1"/>
      <w:numFmt w:val="decimal"/>
      <w:pStyle w:val="29"/>
      <w:lvlText w:val="%1"/>
      <w:lvlJc w:val="left"/>
      <w:pPr>
        <w:tabs>
          <w:tab w:val="left" w:pos="0"/>
        </w:tabs>
        <w:ind w:left="0"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none"/>
      <w:lvlText w:val="%2%1..%3"/>
      <w:lvlJc w:val="left"/>
      <w:pPr>
        <w:tabs>
          <w:tab w:val="left" w:pos="1146"/>
        </w:tabs>
        <w:ind w:left="993" w:hanging="567"/>
      </w:pPr>
      <w:rPr>
        <w:rFonts w:hint="eastAsia"/>
      </w:rPr>
    </w:lvl>
    <w:lvl w:ilvl="3" w:tentative="0">
      <w:start w:val="1"/>
      <w:numFmt w:val="decimal"/>
      <w:lvlText w:val="%1.%2.%3.%4"/>
      <w:lvlJc w:val="left"/>
      <w:pPr>
        <w:tabs>
          <w:tab w:val="left" w:pos="1931"/>
        </w:tabs>
        <w:ind w:left="1559" w:hanging="708"/>
      </w:pPr>
      <w:rPr>
        <w:rFonts w:hint="eastAsia"/>
        <w:sz w:val="24"/>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2">
    <w:nsid w:val="48044263"/>
    <w:multiLevelType w:val="multilevel"/>
    <w:tmpl w:val="48044263"/>
    <w:lvl w:ilvl="0" w:tentative="0">
      <w:start w:val="1"/>
      <w:numFmt w:val="decimal"/>
      <w:suff w:val="space"/>
      <w:lvlText w:val="第%1章"/>
      <w:lvlJc w:val="left"/>
      <w:pPr>
        <w:tabs>
          <w:tab w:val="left" w:pos="0"/>
        </w:tabs>
        <w:ind w:left="3545" w:hanging="284"/>
      </w:pPr>
      <w:rPr>
        <w:rFonts w:hint="default" w:ascii="黑体" w:hAnsi="Times New Roman" w:eastAsia="宋体"/>
        <w:b/>
        <w:i w:val="0"/>
        <w:sz w:val="30"/>
        <w:szCs w:val="30"/>
        <w:lang w:val="en-US"/>
      </w:rPr>
    </w:lvl>
    <w:lvl w:ilvl="1" w:tentative="0">
      <w:start w:val="1"/>
      <w:numFmt w:val="decimal"/>
      <w:isLgl/>
      <w:suff w:val="space"/>
      <w:lvlText w:val="%1.%2"/>
      <w:lvlJc w:val="left"/>
      <w:pPr>
        <w:ind w:left="0" w:firstLine="0"/>
      </w:pPr>
      <w:rPr>
        <w:rFonts w:hint="default" w:ascii="Times New Roman" w:hAnsi="Times New Roman" w:eastAsia="宋体"/>
        <w:b/>
        <w:i w:val="0"/>
        <w:sz w:val="30"/>
      </w:rPr>
    </w:lvl>
    <w:lvl w:ilvl="2" w:tentative="0">
      <w:start w:val="1"/>
      <w:numFmt w:val="decimal"/>
      <w:pStyle w:val="35"/>
      <w:isLgl/>
      <w:suff w:val="space"/>
      <w:lvlText w:val="%1.%2.%3"/>
      <w:lvlJc w:val="left"/>
      <w:pPr>
        <w:ind w:left="0" w:firstLine="0"/>
      </w:pPr>
      <w:rPr>
        <w:rFonts w:hint="default" w:ascii="Times New Roman" w:hAnsi="Times New Roman" w:eastAsia="宋体"/>
        <w:b/>
        <w:bCs/>
        <w:i w:val="0"/>
        <w:iCs w:val="0"/>
        <w:caps w:val="0"/>
        <w:smallCaps w:val="0"/>
        <w:strike w:val="0"/>
        <w:dstrike w:val="0"/>
        <w:color w:val="auto"/>
        <w:spacing w:val="0"/>
        <w:w w:val="100"/>
        <w:kern w:val="0"/>
        <w:position w:val="0"/>
        <w:sz w:val="24"/>
        <w:u w:val="none"/>
        <w:shd w:val="clear" w:color="auto" w:fill="auto"/>
        <w:lang w:val="en-US" w:eastAsia="zh-CN"/>
      </w:rPr>
    </w:lvl>
    <w:lvl w:ilvl="3" w:tentative="0">
      <w:start w:val="1"/>
      <w:numFmt w:val="decimal"/>
      <w:pStyle w:val="4"/>
      <w:isLgl/>
      <w:suff w:val="space"/>
      <w:lvlText w:val="%1.%2.%3.%4"/>
      <w:lvlJc w:val="left"/>
      <w:pPr>
        <w:ind w:left="0" w:firstLine="0"/>
      </w:pPr>
      <w:rPr>
        <w:rFonts w:hint="default" w:ascii="Times New Roman" w:hAnsi="Times New Roman" w:eastAsia="宋体" w:cs="Times New Roman"/>
        <w:b/>
        <w:i w:val="0"/>
        <w:sz w:val="24"/>
      </w:rPr>
    </w:lvl>
    <w:lvl w:ilvl="4" w:tentative="0">
      <w:start w:val="1"/>
      <w:numFmt w:val="decimal"/>
      <w:isLgl/>
      <w:lvlText w:val="%1.%2.%3.%4.%5"/>
      <w:lvlJc w:val="left"/>
      <w:pPr>
        <w:tabs>
          <w:tab w:val="left" w:pos="720"/>
        </w:tabs>
        <w:ind w:left="-360" w:firstLine="0"/>
      </w:pPr>
      <w:rPr>
        <w:rFonts w:hint="default" w:ascii="Times New Roman" w:hAnsi="Times New Roman" w:eastAsia="宋体"/>
        <w:b/>
        <w:i w:val="0"/>
        <w:sz w:val="24"/>
      </w:rPr>
    </w:lvl>
    <w:lvl w:ilvl="5" w:tentative="0">
      <w:start w:val="1"/>
      <w:numFmt w:val="decimal"/>
      <w:isLgl/>
      <w:lvlText w:val="%1.%2.%3.%4.%5.%6"/>
      <w:lvlJc w:val="left"/>
      <w:pPr>
        <w:tabs>
          <w:tab w:val="left" w:pos="1440"/>
        </w:tabs>
        <w:ind w:left="774" w:hanging="1134"/>
      </w:pPr>
      <w:rPr>
        <w:rFonts w:hint="eastAsia"/>
      </w:rPr>
    </w:lvl>
    <w:lvl w:ilvl="6" w:tentative="0">
      <w:start w:val="1"/>
      <w:numFmt w:val="decimal"/>
      <w:lvlText w:val="%1.%2.%3.%4.%5.%6.%7."/>
      <w:lvlJc w:val="left"/>
      <w:pPr>
        <w:tabs>
          <w:tab w:val="left" w:pos="916"/>
        </w:tabs>
        <w:ind w:left="916" w:hanging="1276"/>
      </w:pPr>
      <w:rPr>
        <w:rFonts w:hint="eastAsia"/>
      </w:rPr>
    </w:lvl>
    <w:lvl w:ilvl="7" w:tentative="0">
      <w:start w:val="1"/>
      <w:numFmt w:val="decimal"/>
      <w:lvlText w:val="%1.%2.%3.%4.%5.%6.%7.%8."/>
      <w:lvlJc w:val="left"/>
      <w:pPr>
        <w:tabs>
          <w:tab w:val="left" w:pos="1058"/>
        </w:tabs>
        <w:ind w:left="1058" w:hanging="1418"/>
      </w:pPr>
      <w:rPr>
        <w:rFonts w:hint="eastAsia"/>
      </w:rPr>
    </w:lvl>
    <w:lvl w:ilvl="8" w:tentative="0">
      <w:start w:val="1"/>
      <w:numFmt w:val="decimal"/>
      <w:lvlText w:val="%1.%2.%3.%4.%5.%6.%7.%8.%9."/>
      <w:lvlJc w:val="left"/>
      <w:pPr>
        <w:tabs>
          <w:tab w:val="left" w:pos="1199"/>
        </w:tabs>
        <w:ind w:left="119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30D1806"/>
    <w:rsid w:val="0B71485E"/>
    <w:rsid w:val="1AC4429D"/>
    <w:rsid w:val="1F8635A0"/>
    <w:rsid w:val="2A4516A4"/>
    <w:rsid w:val="2A4E2E7D"/>
    <w:rsid w:val="2FAB6B38"/>
    <w:rsid w:val="32FD2EA0"/>
    <w:rsid w:val="38123F0D"/>
    <w:rsid w:val="38405C06"/>
    <w:rsid w:val="3D924F88"/>
    <w:rsid w:val="42CC3DB7"/>
    <w:rsid w:val="478E5B7D"/>
    <w:rsid w:val="4EE70A46"/>
    <w:rsid w:val="516A4B7D"/>
    <w:rsid w:val="51972BCC"/>
    <w:rsid w:val="5626276E"/>
    <w:rsid w:val="5B700ECE"/>
    <w:rsid w:val="5C133599"/>
    <w:rsid w:val="601F3D13"/>
    <w:rsid w:val="617F0593"/>
    <w:rsid w:val="62E80585"/>
    <w:rsid w:val="6568130F"/>
    <w:rsid w:val="66711CF7"/>
    <w:rsid w:val="73DE2333"/>
    <w:rsid w:val="73E2629E"/>
    <w:rsid w:val="74B7418F"/>
    <w:rsid w:val="74C04E44"/>
    <w:rsid w:val="76BA115E"/>
    <w:rsid w:val="77585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4"/>
    <w:basedOn w:val="1"/>
    <w:next w:val="5"/>
    <w:qFormat/>
    <w:uiPriority w:val="0"/>
    <w:pPr>
      <w:keepNext/>
      <w:keepLines/>
      <w:numPr>
        <w:ilvl w:val="3"/>
        <w:numId w:val="1"/>
      </w:numPr>
      <w:tabs>
        <w:tab w:val="left" w:pos="480"/>
      </w:tabs>
      <w:spacing w:after="30" w:afterLines="30"/>
      <w:outlineLvl w:val="3"/>
    </w:pPr>
    <w:rPr>
      <w:b/>
      <w:bCs/>
      <w:color w:val="000000" w:themeColor="text1"/>
      <w14:textFill>
        <w14:solidFill>
          <w14:schemeClr w14:val="tx1"/>
        </w14:solidFill>
      </w14:textFill>
    </w:rPr>
  </w:style>
  <w:style w:type="character" w:default="1" w:styleId="20">
    <w:name w:val="Default Paragraph Font"/>
    <w:semiHidden/>
    <w:qFormat/>
    <w:uiPriority w:val="0"/>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425" w:firstLineChars="0"/>
    </w:pPr>
    <w:rPr>
      <w:rFonts w:eastAsia="楷体_GB2312"/>
      <w:kern w:val="0"/>
      <w:szCs w:val="20"/>
    </w:rPr>
  </w:style>
  <w:style w:type="paragraph" w:customStyle="1" w:styleId="5">
    <w:name w:val="正文（首行缩进两个字） + 首行缩进:  2 字符"/>
    <w:basedOn w:val="1"/>
    <w:qFormat/>
    <w:uiPriority w:val="0"/>
    <w:pPr>
      <w:widowControl/>
      <w:spacing w:line="440" w:lineRule="exact"/>
      <w:ind w:firstLine="200" w:firstLineChars="200"/>
      <w:jc w:val="left"/>
    </w:pPr>
    <w:rPr>
      <w:rFonts w:eastAsia="仿宋_GB2312" w:cs="宋体"/>
      <w:szCs w:val="20"/>
    </w:rPr>
  </w:style>
  <w:style w:type="paragraph" w:styleId="6">
    <w:name w:val="E-mail Signature"/>
    <w:basedOn w:val="1"/>
    <w:next w:val="7"/>
    <w:qFormat/>
    <w:uiPriority w:val="0"/>
    <w:pPr>
      <w:ind w:firstLine="420" w:firstLineChars="0"/>
      <w:jc w:val="left"/>
    </w:pPr>
    <w:rPr>
      <w:rFonts w:ascii="宋体" w:hAnsi="宋体"/>
      <w:kern w:val="0"/>
      <w:szCs w:val="24"/>
    </w:rPr>
  </w:style>
  <w:style w:type="paragraph" w:customStyle="1" w:styleId="7">
    <w:name w:val="文章"/>
    <w:basedOn w:val="3"/>
    <w:next w:val="8"/>
    <w:qFormat/>
    <w:uiPriority w:val="0"/>
    <w:pPr>
      <w:spacing w:line="240" w:lineRule="auto"/>
      <w:ind w:firstLine="480"/>
      <w:jc w:val="center"/>
    </w:pPr>
    <w:rPr>
      <w:rFonts w:eastAsia="宋体"/>
      <w:sz w:val="26"/>
    </w:rPr>
  </w:style>
  <w:style w:type="paragraph" w:styleId="8">
    <w:name w:val="List"/>
    <w:basedOn w:val="1"/>
    <w:next w:val="9"/>
    <w:qFormat/>
    <w:uiPriority w:val="0"/>
    <w:pPr>
      <w:spacing w:line="240" w:lineRule="auto"/>
      <w:ind w:left="420" w:hanging="420" w:firstLineChars="0"/>
    </w:pPr>
    <w:rPr>
      <w:szCs w:val="24"/>
    </w:r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11">
    <w:name w:val="正文缩进1"/>
    <w:basedOn w:val="1"/>
    <w:next w:val="12"/>
    <w:qFormat/>
    <w:uiPriority w:val="0"/>
    <w:pPr>
      <w:widowControl w:val="0"/>
      <w:ind w:firstLine="420"/>
    </w:pPr>
    <w:rPr>
      <w:rFonts w:ascii="宋体"/>
      <w:sz w:val="28"/>
    </w:rPr>
  </w:style>
  <w:style w:type="paragraph" w:customStyle="1" w:styleId="12">
    <w:name w:val="td1"/>
    <w:basedOn w:val="1"/>
    <w:next w:val="1"/>
    <w:qFormat/>
    <w:uiPriority w:val="0"/>
    <w:pPr>
      <w:spacing w:before="280" w:after="280" w:line="300" w:lineRule="atLeast"/>
    </w:pPr>
    <w:rPr>
      <w:color w:val="000000"/>
      <w:sz w:val="18"/>
    </w:rPr>
  </w:style>
  <w:style w:type="paragraph" w:styleId="13">
    <w:name w:val="annotation text"/>
    <w:basedOn w:val="1"/>
    <w:qFormat/>
    <w:uiPriority w:val="0"/>
    <w:pPr>
      <w:kinsoku/>
      <w:jc w:val="both"/>
    </w:pPr>
    <w:rPr>
      <w:rFonts w:ascii="Arial" w:hAnsi="Arial" w:eastAsia="Arial"/>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6"/>
    <w:qFormat/>
    <w:uiPriority w:val="0"/>
    <w:pPr>
      <w:ind w:left="420" w:leftChars="200"/>
    </w:p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表格正文"/>
    <w:basedOn w:val="1"/>
    <w:next w:val="1"/>
    <w:qFormat/>
    <w:uiPriority w:val="0"/>
    <w:pPr>
      <w:adjustRightInd w:val="0"/>
      <w:snapToGrid w:val="0"/>
      <w:spacing w:line="0" w:lineRule="atLeast"/>
      <w:ind w:firstLine="0"/>
      <w:jc w:val="center"/>
      <w:textAlignment w:val="baseline"/>
    </w:pPr>
    <w:rPr>
      <w:rFonts w:eastAsia="仿宋_GB2312"/>
      <w:snapToGrid w:val="0"/>
      <w:sz w:val="21"/>
      <w:szCs w:val="21"/>
      <w:lang w:val="en-US"/>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Default"/>
    <w:basedOn w:val="24"/>
    <w:next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纯文本1"/>
    <w:basedOn w:val="1"/>
    <w:qFormat/>
    <w:uiPriority w:val="0"/>
    <w:rPr>
      <w:rFonts w:ascii="宋体" w:hAnsi="Courier New"/>
    </w:rPr>
  </w:style>
  <w:style w:type="paragraph" w:customStyle="1" w:styleId="25">
    <w:name w:val="样式35"/>
    <w:basedOn w:val="26"/>
    <w:next w:val="31"/>
    <w:qFormat/>
    <w:uiPriority w:val="0"/>
    <w:pPr>
      <w:widowControl w:val="0"/>
      <w:tabs>
        <w:tab w:val="left" w:pos="0"/>
      </w:tabs>
      <w:spacing w:before="0" w:after="0" w:line="312" w:lineRule="auto"/>
      <w:ind w:left="0" w:firstLine="567"/>
    </w:pPr>
    <w:rPr>
      <w:rFonts w:ascii="宋体" w:eastAsia="宋体"/>
      <w:sz w:val="28"/>
    </w:rPr>
  </w:style>
  <w:style w:type="paragraph" w:customStyle="1" w:styleId="26">
    <w:name w:val="样式26"/>
    <w:basedOn w:val="27"/>
    <w:qFormat/>
    <w:uiPriority w:val="0"/>
    <w:pPr>
      <w:tabs>
        <w:tab w:val="left" w:pos="0"/>
      </w:tabs>
    </w:pPr>
  </w:style>
  <w:style w:type="paragraph" w:customStyle="1" w:styleId="27">
    <w:name w:val="样式21"/>
    <w:basedOn w:val="28"/>
    <w:qFormat/>
    <w:uiPriority w:val="0"/>
    <w:pPr>
      <w:tabs>
        <w:tab w:val="left" w:pos="0"/>
      </w:tabs>
    </w:pPr>
  </w:style>
  <w:style w:type="paragraph" w:customStyle="1" w:styleId="28">
    <w:name w:val="样式5"/>
    <w:basedOn w:val="29"/>
    <w:qFormat/>
    <w:uiPriority w:val="0"/>
    <w:pPr>
      <w:tabs>
        <w:tab w:val="left" w:pos="0"/>
      </w:tabs>
      <w:spacing w:line="400" w:lineRule="exact"/>
      <w:ind w:left="482" w:firstLine="0"/>
    </w:pPr>
    <w:rPr>
      <w:rFonts w:eastAsia="仿宋_GB2312"/>
    </w:rPr>
  </w:style>
  <w:style w:type="paragraph" w:customStyle="1" w:styleId="29">
    <w:name w:val="样式12"/>
    <w:basedOn w:val="30"/>
    <w:qFormat/>
    <w:uiPriority w:val="0"/>
    <w:pPr>
      <w:numPr>
        <w:ilvl w:val="0"/>
        <w:numId w:val="3"/>
      </w:numPr>
      <w:spacing w:before="163" w:beforeLines="0" w:after="163" w:afterLines="0"/>
      <w:ind w:left="1396" w:hanging="720"/>
    </w:pPr>
    <w:rPr>
      <w:color w:val="0000FF"/>
    </w:rPr>
  </w:style>
  <w:style w:type="paragraph" w:customStyle="1" w:styleId="30">
    <w:name w:val="样式17"/>
    <w:basedOn w:val="1"/>
    <w:qFormat/>
    <w:uiPriority w:val="0"/>
    <w:pPr>
      <w:keepNext/>
      <w:keepLines/>
      <w:spacing w:before="156" w:beforeLines="50" w:after="156" w:afterLines="50"/>
      <w:ind w:firstLine="0" w:firstLineChars="0"/>
      <w:outlineLvl w:val="0"/>
    </w:pPr>
    <w:rPr>
      <w:rFonts w:eastAsia="黑体"/>
      <w:kern w:val="44"/>
      <w:sz w:val="30"/>
      <w:szCs w:val="44"/>
    </w:rPr>
  </w:style>
  <w:style w:type="paragraph" w:customStyle="1" w:styleId="31">
    <w:name w:val="font6"/>
    <w:basedOn w:val="1"/>
    <w:next w:val="17"/>
    <w:qFormat/>
    <w:uiPriority w:val="0"/>
    <w:pPr>
      <w:spacing w:before="100" w:beforeAutospacing="1" w:after="100" w:afterAutospacing="1"/>
      <w:ind w:firstLine="465" w:firstLineChars="0"/>
      <w:jc w:val="left"/>
    </w:pPr>
    <w:rPr>
      <w:rFonts w:hint="eastAsia" w:ascii="宋体" w:hAnsi="宋体"/>
      <w:kern w:val="0"/>
      <w:sz w:val="28"/>
      <w:szCs w:val="20"/>
    </w:rPr>
  </w:style>
  <w:style w:type="table" w:customStyle="1" w:styleId="32">
    <w:name w:val="网格型6"/>
    <w:basedOn w:val="18"/>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
    <w:name w:val="网格型1"/>
    <w:basedOn w:val="18"/>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4">
    <w:name w:val="网格型5"/>
    <w:basedOn w:val="1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标题3"/>
    <w:next w:val="1"/>
    <w:qFormat/>
    <w:uiPriority w:val="0"/>
    <w:pPr>
      <w:keepNext/>
      <w:keepLines/>
      <w:numPr>
        <w:ilvl w:val="2"/>
        <w:numId w:val="1"/>
      </w:numPr>
      <w:spacing w:before="50" w:beforeLines="50" w:after="50" w:afterLines="50" w:line="360" w:lineRule="auto"/>
      <w:outlineLvl w:val="2"/>
    </w:pPr>
    <w:rPr>
      <w:rFonts w:ascii="Times New Roman" w:hAnsi="Times New Roman" w:eastAsia="宋体" w:cs="Times New Roman"/>
      <w:b/>
      <w:bCs/>
      <w:color w:val="000000" w:themeColor="text1"/>
      <w:kern w:val="2"/>
      <w:sz w:val="24"/>
      <w:lang w:val="zh-CN" w:eastAsia="zh-CN" w:bidi="ar-SA"/>
      <w14:textFill>
        <w14:solidFill>
          <w14:schemeClr w14:val="tx1"/>
        </w14:solidFill>
      </w14:textFill>
    </w:rPr>
  </w:style>
  <w:style w:type="paragraph" w:customStyle="1" w:styleId="36">
    <w:name w:val="样式 首行缩进:  2 字符"/>
    <w:basedOn w:val="1"/>
    <w:qFormat/>
    <w:uiPriority w:val="0"/>
    <w:pPr>
      <w:ind w:firstLine="480" w:firstLineChars="200"/>
    </w:pPr>
    <w:rPr>
      <w:sz w:val="28"/>
      <w:szCs w:val="20"/>
      <w:lang w:val="en-US"/>
    </w:rPr>
  </w:style>
  <w:style w:type="table" w:customStyle="1" w:styleId="37">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WPSOffice手动目录 1"/>
    <w:qFormat/>
    <w:uiPriority w:val="0"/>
    <w:pPr>
      <w:ind w:leftChars="0"/>
    </w:pPr>
    <w:rPr>
      <w:rFonts w:ascii="Arial" w:hAnsi="Arial" w:eastAsia="Arial" w:cs="Arial"/>
      <w:sz w:val="20"/>
      <w:szCs w:val="20"/>
    </w:rPr>
  </w:style>
  <w:style w:type="paragraph" w:customStyle="1" w:styleId="39">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2021-03-02T14:48:00Z</dcterms:created>
  <dc:creator>LLL</dc:creator>
  <cp:lastModifiedBy>不怕路长，只怕心老</cp:lastModifiedBy>
  <dcterms:modified xsi:type="dcterms:W3CDTF">2021-11-02T07:48:39Z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2021-08-27T10:03:27Z</vt:filetime>
  </property>
  <property fmtid="{D5CDD505-2E9C-101B-9397-08002B2CF9AE}" pid="4" name="KSOProductBuildVer">
    <vt:lpwstr>2052-11.1.0.10938</vt:lpwstr>
  </property>
  <property fmtid="{D5CDD505-2E9C-101B-9397-08002B2CF9AE}" pid="5" name="ICV">
    <vt:lpwstr>860EC6044A824762A24D77F8C0D5C765</vt:lpwstr>
  </property>
</Properties>
</file>