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900" w:lineRule="exact"/>
        <w:ind w:left="-42" w:leftChars="-20"/>
        <w:jc w:val="center"/>
        <w:rPr>
          <w:rFonts w:hint="eastAsia" w:ascii="小标宋" w:hAnsi="小标宋" w:eastAsia="新宋体" w:cs="小标宋"/>
          <w:b/>
          <w:bCs/>
          <w:color w:val="FF0000"/>
          <w:spacing w:val="0"/>
          <w:w w:val="100"/>
          <w:kern w:val="40"/>
          <w:sz w:val="58"/>
          <w:szCs w:val="58"/>
        </w:rPr>
      </w:pPr>
      <w:r>
        <w:rPr>
          <w:rFonts w:hint="eastAsia" w:ascii="小标宋" w:hAnsi="小标宋" w:eastAsia="新宋体" w:cs="小标宋"/>
          <w:b/>
          <w:bCs/>
          <w:color w:val="FF0000"/>
          <w:spacing w:val="0"/>
          <w:w w:val="100"/>
          <w:kern w:val="40"/>
          <w:sz w:val="58"/>
          <w:szCs w:val="58"/>
        </w:rPr>
        <w:t>深圳市福田区</w:t>
      </w:r>
      <w:r>
        <w:rPr>
          <w:rFonts w:hint="eastAsia" w:ascii="小标宋" w:hAnsi="小标宋" w:eastAsia="新宋体" w:cs="小标宋"/>
          <w:b/>
          <w:bCs/>
          <w:color w:val="FF0000"/>
          <w:spacing w:val="0"/>
          <w:w w:val="100"/>
          <w:kern w:val="40"/>
          <w:sz w:val="58"/>
          <w:szCs w:val="58"/>
          <w:lang w:eastAsia="zh-CN"/>
        </w:rPr>
        <w:t>文化广电旅游体育局</w:t>
      </w:r>
    </w:p>
    <w:p>
      <w:pPr>
        <w:adjustRightInd w:val="0"/>
        <w:snapToGrid w:val="0"/>
        <w:spacing w:line="560" w:lineRule="exact"/>
        <w:rPr>
          <w:rFonts w:hint="eastAsia" w:ascii="方正小标宋_GBK" w:eastAsia="方正小标宋_GBK"/>
          <w:sz w:val="44"/>
          <w:szCs w:val="44"/>
        </w:rPr>
      </w:pPr>
      <w:r>
        <w:rPr>
          <w:rFonts w:ascii="Times New Roman" w:hAnsi="Times New Roman" w:eastAsia="仿宋_GB2312" w:cs="Times New Roman"/>
          <w:color w:val="FF000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82550</wp:posOffset>
                </wp:positionV>
                <wp:extent cx="5943600" cy="635"/>
                <wp:effectExtent l="0" t="28575" r="0" b="46990"/>
                <wp:wrapNone/>
                <wp:docPr id="1" name="直接连接符 1"/>
                <wp:cNvGraphicFramePr/>
                <a:graphic xmlns:a="http://schemas.openxmlformats.org/drawingml/2006/main">
                  <a:graphicData uri="http://schemas.microsoft.com/office/word/2010/wordprocessingShape">
                    <wps:wsp>
                      <wps:cNvCnPr/>
                      <wps:spPr>
                        <a:xfrm>
                          <a:off x="0" y="0"/>
                          <a:ext cx="5943600" cy="635"/>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9pt;margin-top:6.5pt;height:0.05pt;width:468pt;z-index:251659264;mso-width-relative:page;mso-height-relative:page;" filled="f" stroked="t" coordsize="21600,21600" o:gfxdata="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M1Cj+vSAAAACQEAAA8AAAAAAAAAAQAgAAAAOAAAAGRycy9kb3ducmV2LnhtbFBLAQIU&#10;ABQAAAAIAIdO4kAgUUXF4wEAAKIDAAAOAAAAAAAAAAEAIAAAADcBAABkcnMvZTJvRG9jLnhtbFBL&#10;BQYAAAAABgAGAFkBAACMBQAAAAA=&#10;">
                <v:fill on="f" focussize="0,0"/>
                <v:stroke weight="4.5pt" color="#FF0000" linestyle="thickThin" joinstyle="round"/>
                <v:imagedata o:title=""/>
                <o:lock v:ext="edit" aspectratio="f"/>
              </v:line>
            </w:pict>
          </mc:Fallback>
        </mc:AlternateConten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关于深圳市福田区第七届人民代表大会第七次会议代表建议《关于加强公共文化服务体系建设的建议》（第20210057号）的回复</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尊敬的钟国清</w:t>
      </w:r>
      <w:r>
        <w:rPr>
          <w:rFonts w:hint="eastAsia" w:ascii="仿宋_GB2312" w:eastAsia="仿宋_GB2312"/>
          <w:sz w:val="32"/>
          <w:szCs w:val="32"/>
          <w:lang w:eastAsia="zh-CN"/>
        </w:rPr>
        <w:t>等</w:t>
      </w:r>
      <w:r>
        <w:rPr>
          <w:rFonts w:hint="eastAsia" w:ascii="仿宋_GB2312" w:eastAsia="仿宋_GB2312"/>
          <w:sz w:val="32"/>
          <w:szCs w:val="32"/>
        </w:rPr>
        <w:t>委员：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您好！您在深圳市福田区第七届人民代表大会第七次会议上提出的《关于加强公共文化服务体系建设的建议》（第20210057号）</w:t>
      </w:r>
      <w:r>
        <w:rPr>
          <w:rFonts w:hint="eastAsia" w:ascii="仿宋_GB2312" w:eastAsia="仿宋_GB2312"/>
          <w:sz w:val="32"/>
          <w:szCs w:val="32"/>
          <w:lang w:eastAsia="zh-CN"/>
        </w:rPr>
        <w:t>已</w:t>
      </w:r>
      <w:r>
        <w:rPr>
          <w:rFonts w:hint="eastAsia" w:ascii="仿宋_GB2312" w:eastAsia="仿宋_GB2312"/>
          <w:sz w:val="32"/>
          <w:szCs w:val="32"/>
        </w:rPr>
        <w:t>收悉。衷心感谢您对福田区公共文化事业的关心，提案中所提建议对我区的公共文化服务体系建设具有重要的参考价值和指导意义，经认真研究，结合当前开展工作实际情况，现将办理情况答复如下：</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近期，福田区为全面贯彻新发展理念，推动示范区创新发展，打造国家公共文化服务体系示范区升级版，全面提升福田区公共文化服务水平，更好满足人民对美好生活的向往，助力福田率先建设成展现中国特色社会主义文化繁荣兴盛的文明典范城区，制定了《深圳市福田区国家公共文化服务体系示范区创新发展专项规划》，全面落实《中华人民共和国公共文化服务保障法》，大力促进福田区公共文化服务高质量发展。</w:t>
      </w:r>
    </w:p>
    <w:p>
      <w:pPr>
        <w:numPr>
          <w:ilvl w:val="0"/>
          <w:numId w:val="1"/>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不断提升基层公共文化设施，加强文化服务建设</w:t>
      </w:r>
    </w:p>
    <w:p>
      <w:pPr>
        <w:numPr>
          <w:ilvl w:val="0"/>
          <w:numId w:val="0"/>
        </w:numPr>
        <w:spacing w:line="560" w:lineRule="exact"/>
        <w:ind w:firstLine="640" w:firstLineChars="200"/>
        <w:rPr>
          <w:rFonts w:hint="eastAsia" w:ascii="仿宋_GB2312" w:hAnsi="楷体" w:eastAsia="仿宋_GB2312" w:cs="宋体"/>
          <w:bCs/>
          <w:sz w:val="32"/>
          <w:szCs w:val="32"/>
        </w:rPr>
      </w:pPr>
      <w:r>
        <w:rPr>
          <w:rFonts w:hint="eastAsia" w:ascii="仿宋_GB2312" w:eastAsia="仿宋_GB2312"/>
          <w:sz w:val="32"/>
          <w:szCs w:val="32"/>
        </w:rPr>
        <w:t>近年来，福田区认真贯彻落实党中央关于文化建设发展的各项方针政策，持续发挥先行先试、示范引领作用，构建高质量的公共文化服务体系。</w:t>
      </w:r>
      <w:r>
        <w:rPr>
          <w:rFonts w:hint="eastAsia" w:ascii="仿宋_GB2312" w:hAnsi="楷体" w:eastAsia="仿宋_GB2312" w:cs="宋体"/>
          <w:bCs/>
          <w:sz w:val="32"/>
          <w:szCs w:val="32"/>
        </w:rPr>
        <w:t>2016年被评为国家公共文化服务体系示范区以来,全力推进示范区后续建设，按照“整合提质、内容升级”的要求，已基本建成设施完备、功能完善、布局合理、质量一流的公共文化设施网络。建成公共图书馆108家，总面积29317平方米，全区公共图书馆人均藏量达2.3册，人均纸质文献藏量达1.2册；人均年新增藏量0.15册，人均年新增纸质文献藏量0.06册。其中，福田区图书馆为国家地市级一级馆，面积10260平方米；街道图书馆10家，面积4413平方米；社区图书馆87家，面积11854平方米；社区共建馆（包括主题馆）10家，面积2790平方米。建成区属主题文化馆7个，均为国家一级馆和省特级馆，总面积29581平方米;与社会合作共建两个主题文化馆（黄梅戏主题馆和华影艺术馆），总面积1750平方米；区属美术馆1家，面积11068.98平方米；区属博物馆一家，面积3460平方米。建成街道综合性文化服务中心10个，全部获得省特级站称号，总面积20742.37平方米，社区综合性文化服务中心（室）9</w:t>
      </w:r>
      <w:r>
        <w:rPr>
          <w:rFonts w:hint="eastAsia" w:ascii="仿宋_GB2312" w:hAnsi="楷体" w:eastAsia="仿宋_GB2312" w:cs="宋体"/>
          <w:bCs/>
          <w:sz w:val="32"/>
          <w:szCs w:val="32"/>
          <w:lang w:val="en-US" w:eastAsia="zh-CN"/>
        </w:rPr>
        <w:t>3</w:t>
      </w:r>
      <w:r>
        <w:rPr>
          <w:rFonts w:hint="eastAsia" w:ascii="仿宋_GB2312" w:hAnsi="楷体" w:eastAsia="仿宋_GB2312" w:cs="宋体"/>
          <w:bCs/>
          <w:sz w:val="32"/>
          <w:szCs w:val="32"/>
        </w:rPr>
        <w:t>个，总面积52655.1平方米；各类文化广场54个，公共电子阅览室覆盖率达100%，实现了区、街道、社区三级公共文化设施无盲点均衡覆盖，配置标准领先于全国公共文化领域。</w:t>
      </w:r>
    </w:p>
    <w:p>
      <w:pPr>
        <w:numPr>
          <w:ilvl w:val="0"/>
          <w:numId w:val="0"/>
        </w:numPr>
        <w:spacing w:line="560" w:lineRule="exact"/>
        <w:ind w:firstLine="640" w:firstLineChars="200"/>
        <w:rPr>
          <w:rFonts w:hint="eastAsia" w:ascii="仿宋_GB2312" w:hAnsi="楷体" w:eastAsia="仿宋_GB2312" w:cs="宋体"/>
          <w:bCs/>
          <w:sz w:val="32"/>
          <w:szCs w:val="32"/>
          <w:lang w:eastAsia="zh-CN"/>
        </w:rPr>
      </w:pPr>
      <w:r>
        <w:rPr>
          <w:rFonts w:hint="eastAsia" w:ascii="仿宋_GB2312" w:hAnsi="楷体" w:eastAsia="仿宋_GB2312" w:cs="宋体"/>
          <w:bCs/>
          <w:sz w:val="32"/>
          <w:szCs w:val="32"/>
          <w:lang w:eastAsia="zh-CN"/>
        </w:rPr>
        <w:t>后续福田区将继续提升</w:t>
      </w:r>
      <w:r>
        <w:rPr>
          <w:rFonts w:hint="eastAsia" w:ascii="仿宋_GB2312" w:hAnsi="仿宋_GB2312" w:eastAsia="仿宋_GB2312" w:cs="仿宋_GB2312"/>
          <w:color w:val="000000"/>
          <w:sz w:val="32"/>
          <w:szCs w:val="32"/>
        </w:rPr>
        <w:t>基层综合性文化服务中心建设</w:t>
      </w:r>
      <w:r>
        <w:rPr>
          <w:rFonts w:hint="eastAsia" w:ascii="仿宋_GB2312" w:hAnsi="仿宋_GB2312" w:eastAsia="仿宋_GB2312" w:cs="仿宋_GB2312"/>
          <w:color w:val="000000"/>
          <w:sz w:val="32"/>
          <w:szCs w:val="32"/>
          <w:lang w:eastAsia="zh-CN"/>
        </w:rPr>
        <w:t>，将基层公共文化服务设施</w:t>
      </w:r>
      <w:r>
        <w:rPr>
          <w:rFonts w:hint="eastAsia" w:ascii="仿宋_GB2312" w:hAnsi="仿宋_GB2312" w:eastAsia="仿宋_GB2312" w:cs="仿宋_GB2312"/>
          <w:color w:val="000000"/>
          <w:sz w:val="32"/>
          <w:szCs w:val="32"/>
        </w:rPr>
        <w:t>列入全区建设规划及旧城改造规划，因地制宜、有序改造提升现有街道、社区综合性文化服务中心，升级软硬件配套设施，鼓励有条件的街道，创新利用各类空间增建片区综合性文化服务中心，规划改造一批老旧公共文化设施，密织基层文化设施网络，构建“家门口的公共文化服务圈”。有效利用社区文化活动场所，盘活社区公共文化空间，让社区居民享受来自家门口的文化服务。</w:t>
      </w:r>
    </w:p>
    <w:p>
      <w:pPr>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二、规划重大文化设施建设布局</w:t>
      </w:r>
      <w:r>
        <w:rPr>
          <w:rFonts w:hint="eastAsia" w:ascii="黑体" w:hAnsi="黑体" w:eastAsia="黑体" w:cs="黑体"/>
          <w:bCs/>
          <w:sz w:val="32"/>
          <w:szCs w:val="32"/>
          <w:lang w:eastAsia="zh-CN"/>
        </w:rPr>
        <w:t>，升级文化设施空间</w:t>
      </w:r>
    </w:p>
    <w:p>
      <w:pPr>
        <w:spacing w:line="560" w:lineRule="exact"/>
        <w:ind w:firstLine="640" w:firstLineChars="200"/>
        <w:rPr>
          <w:rFonts w:hint="eastAsia" w:ascii="仿宋_GB2312" w:hAnsi="楷体" w:eastAsia="仿宋_GB2312" w:cs="宋体"/>
          <w:bCs/>
          <w:sz w:val="32"/>
          <w:szCs w:val="32"/>
        </w:rPr>
      </w:pPr>
      <w:r>
        <w:rPr>
          <w:rFonts w:hint="eastAsia" w:ascii="仿宋_GB2312" w:hAnsi="楷体" w:eastAsia="仿宋_GB2312" w:cs="宋体"/>
          <w:bCs/>
          <w:sz w:val="32"/>
          <w:szCs w:val="32"/>
        </w:rPr>
        <w:t>近年来，福田区大力推进公共文化服务体系建设，对标国际一流城市，着眼城市中心区发展需要，全面统筹、科学规划福田区新一轮重大文体设施布局，积极推动更多国家级、省级、市级重大文化设施落户福田。</w:t>
      </w:r>
    </w:p>
    <w:p>
      <w:pPr>
        <w:spacing w:line="560" w:lineRule="exact"/>
        <w:ind w:firstLine="640" w:firstLineChars="200"/>
        <w:rPr>
          <w:rFonts w:hint="default" w:eastAsia="仿宋_GB2312"/>
          <w:lang w:val="en-US" w:eastAsia="zh-CN"/>
        </w:rPr>
      </w:pPr>
      <w:r>
        <w:rPr>
          <w:rFonts w:hint="eastAsia" w:ascii="仿宋_GB2312" w:hAnsi="楷体" w:eastAsia="仿宋_GB2312" w:cs="宋体"/>
          <w:bCs/>
          <w:sz w:val="32"/>
          <w:szCs w:val="32"/>
          <w:lang w:val="en-US" w:eastAsia="zh-CN"/>
        </w:rPr>
        <w:t>2020年，</w:t>
      </w:r>
      <w:r>
        <w:rPr>
          <w:rFonts w:hint="eastAsia" w:ascii="仿宋_GB2312" w:hAnsi="楷体" w:eastAsia="仿宋_GB2312" w:cs="宋体"/>
          <w:bCs/>
          <w:sz w:val="32"/>
          <w:szCs w:val="32"/>
        </w:rPr>
        <w:t>印发</w:t>
      </w:r>
      <w:r>
        <w:rPr>
          <w:rFonts w:hint="eastAsia" w:ascii="仿宋_GB2312" w:hAnsi="楷体" w:eastAsia="仿宋_GB2312" w:cs="宋体"/>
          <w:bCs/>
          <w:sz w:val="32"/>
          <w:szCs w:val="32"/>
          <w:lang w:eastAsia="zh-CN"/>
        </w:rPr>
        <w:t>了</w:t>
      </w:r>
      <w:r>
        <w:rPr>
          <w:rFonts w:hint="eastAsia" w:ascii="仿宋_GB2312" w:hAnsi="楷体" w:eastAsia="仿宋_GB2312" w:cs="宋体"/>
          <w:bCs/>
          <w:sz w:val="32"/>
          <w:szCs w:val="32"/>
        </w:rPr>
        <w:t>《福田文化中心区重大文体设施建设规划》，大力推进深圳改革开放展览馆、安托山博物馆群、国际演艺中心、国际体育文化交流中心等重大文体地标建设。积极推进福田区群众文化中心、河套深港科技创新合作区文体中心等特色文化设施建设。以重大文化地标和特色文化设施为核心，高标准建设福田文体设施集群。全面升级“家门口的文体服务圈”</w:t>
      </w:r>
      <w:r>
        <w:rPr>
          <w:rFonts w:hint="eastAsia" w:ascii="仿宋_GB2312" w:hAnsi="楷体" w:eastAsia="仿宋_GB2312" w:cs="宋体"/>
          <w:bCs/>
          <w:sz w:val="32"/>
          <w:szCs w:val="32"/>
          <w:lang w:val="en-US" w:eastAsia="zh-CN"/>
        </w:rPr>
        <w:t>,</w:t>
      </w:r>
      <w:r>
        <w:rPr>
          <w:rFonts w:hint="eastAsia" w:ascii="仿宋_GB2312" w:hAnsi="楷体" w:eastAsia="仿宋_GB2312" w:cs="宋体"/>
          <w:bCs/>
          <w:sz w:val="32"/>
          <w:szCs w:val="32"/>
        </w:rPr>
        <w:t>福田辖区范围内正在建设的重大文体设施项目共11个，总建筑面积达704399.67平方米。</w:t>
      </w:r>
      <w:r>
        <w:rPr>
          <w:rFonts w:hint="eastAsia" w:ascii="仿宋_GB2312" w:hAnsi="楷体" w:eastAsia="仿宋_GB2312" w:cs="宋体"/>
          <w:bCs/>
          <w:sz w:val="32"/>
          <w:szCs w:val="32"/>
          <w:lang w:val="en-US" w:eastAsia="zh-CN"/>
        </w:rPr>
        <w:t xml:space="preserve">   </w:t>
      </w:r>
    </w:p>
    <w:p>
      <w:pPr>
        <w:numPr>
          <w:ilvl w:val="0"/>
          <w:numId w:val="0"/>
        </w:numPr>
        <w:spacing w:line="560" w:lineRule="exact"/>
        <w:ind w:leftChars="200"/>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三、深化图书馆、文化总分馆服务体系建设，提升建设水平</w:t>
      </w:r>
    </w:p>
    <w:p>
      <w:pPr>
        <w:numPr>
          <w:ilvl w:val="0"/>
          <w:numId w:val="0"/>
        </w:num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全面落实区文化馆总分馆“三个统筹”“五个统一”，加快推进区图书馆总分馆人、财、物垂直管理，完善文化资源配置，促进优质资源向基层倾斜和延伸。依托深圳市文化馆联盟和深圳“图书馆之城”，加强市区联动，实现服务互联互通、资源共建共享。采用政府购买服务等措施，鼓励社会力量创办的图书馆、文化馆和特色文化空间，纳入文化馆图书馆总分馆服务体系统一管理。深入推进区级公共文化机构法人治理结构改革，按照政事分开、管办分离要求，推动文化馆、图书馆、美术馆等区属场馆建立以理事会为主要形式的法人治理结构改革。全面完善理事会运作机制，拓宽社会参与面，吸纳有关方面代表、专业人士、各界群众参与管理，健全决策、执行和监督机制。</w:t>
      </w:r>
    </w:p>
    <w:p>
      <w:pPr>
        <w:spacing w:line="560" w:lineRule="exact"/>
        <w:ind w:firstLine="640" w:firstLineChars="200"/>
      </w:pPr>
      <w:r>
        <w:rPr>
          <w:rFonts w:hint="eastAsia" w:ascii="仿宋_GB2312" w:hAnsi="宋体" w:eastAsia="仿宋_GB2312" w:cs="宋体"/>
          <w:kern w:val="0"/>
          <w:sz w:val="32"/>
          <w:szCs w:val="32"/>
          <w:lang w:eastAsia="zh-CN"/>
        </w:rPr>
        <w:t>同时，</w:t>
      </w:r>
      <w:r>
        <w:rPr>
          <w:rFonts w:hint="eastAsia" w:ascii="仿宋_GB2312" w:hAnsi="宋体" w:eastAsia="仿宋_GB2312" w:cs="宋体"/>
          <w:kern w:val="0"/>
          <w:sz w:val="32"/>
          <w:szCs w:val="32"/>
        </w:rPr>
        <w:t>以人民群众美好的精神文化生活需求为导向，畅通民意收集渠道，建立服务评价体系，开展常态化公共文体设施及服务评价调查，每年在数字文化馆</w:t>
      </w:r>
      <w:r>
        <w:rPr>
          <w:rFonts w:hint="eastAsia" w:ascii="仿宋_GB2312" w:hAnsi="宋体" w:eastAsia="仿宋_GB2312" w:cs="宋体"/>
          <w:kern w:val="0"/>
          <w:sz w:val="32"/>
          <w:szCs w:val="32"/>
          <w:lang w:eastAsia="zh-CN"/>
        </w:rPr>
        <w:t>、数字图书馆</w:t>
      </w:r>
      <w:r>
        <w:rPr>
          <w:rFonts w:hint="eastAsia" w:ascii="仿宋_GB2312" w:hAnsi="宋体" w:eastAsia="仿宋_GB2312" w:cs="宋体"/>
          <w:kern w:val="0"/>
          <w:sz w:val="32"/>
          <w:szCs w:val="32"/>
        </w:rPr>
        <w:t>平台开展公众满意度测评，同时在</w:t>
      </w:r>
      <w:r>
        <w:rPr>
          <w:rFonts w:hint="eastAsia" w:ascii="仿宋_GB2312" w:hAnsi="宋体" w:eastAsia="仿宋_GB2312" w:cs="宋体"/>
          <w:kern w:val="0"/>
          <w:sz w:val="32"/>
          <w:szCs w:val="32"/>
          <w:lang w:eastAsia="zh-CN"/>
        </w:rPr>
        <w:t>各项公益文化</w:t>
      </w:r>
      <w:r>
        <w:rPr>
          <w:rFonts w:hint="eastAsia" w:ascii="仿宋_GB2312" w:hAnsi="宋体" w:eastAsia="仿宋_GB2312" w:cs="宋体"/>
          <w:kern w:val="0"/>
          <w:sz w:val="32"/>
          <w:szCs w:val="32"/>
        </w:rPr>
        <w:t>活动</w:t>
      </w:r>
      <w:r>
        <w:rPr>
          <w:rFonts w:hint="eastAsia" w:ascii="仿宋_GB2312" w:hAnsi="宋体" w:eastAsia="仿宋_GB2312" w:cs="宋体"/>
          <w:kern w:val="0"/>
          <w:sz w:val="32"/>
          <w:szCs w:val="32"/>
          <w:lang w:eastAsia="zh-CN"/>
        </w:rPr>
        <w:t>配送中</w:t>
      </w:r>
      <w:r>
        <w:rPr>
          <w:rFonts w:hint="eastAsia" w:ascii="仿宋_GB2312" w:hAnsi="宋体" w:eastAsia="仿宋_GB2312" w:cs="宋体"/>
          <w:kern w:val="0"/>
          <w:sz w:val="32"/>
          <w:szCs w:val="32"/>
        </w:rPr>
        <w:t>，不定期开展问卷调查，加强与市民的沟通互动，动态了解市民对场馆设施建设以及场馆服务的评价，及时掌握群众需求。</w:t>
      </w:r>
    </w:p>
    <w:p>
      <w:pPr>
        <w:pStyle w:val="2"/>
        <w:widowControl w:val="0"/>
        <w:numPr>
          <w:ilvl w:val="0"/>
          <w:numId w:val="0"/>
        </w:numPr>
        <w:ind w:firstLine="640" w:firstLineChars="200"/>
        <w:jc w:val="both"/>
        <w:outlineLvl w:val="0"/>
        <w:rPr>
          <w:rFonts w:hint="eastAsia" w:eastAsia="黑体"/>
          <w:lang w:eastAsia="zh-CN"/>
        </w:rPr>
      </w:pP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打造全域服务体系</w:t>
      </w:r>
      <w:r>
        <w:rPr>
          <w:rFonts w:hint="eastAsia" w:ascii="黑体" w:hAnsi="黑体" w:eastAsia="黑体" w:cs="黑体"/>
          <w:kern w:val="0"/>
          <w:sz w:val="32"/>
          <w:szCs w:val="32"/>
          <w:lang w:eastAsia="zh-CN"/>
        </w:rPr>
        <w:t>，构建文化服务网络体系。</w:t>
      </w:r>
    </w:p>
    <w:p>
      <w:pPr>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以福田正在开展的“全域治理”模式为依托，大力推动全域公共文化服务体系建设，提升城区整体公共文化服务水平。对标国内外先进城市，精准把握新时期市民文化需求，制定更高层次、领先全国的福田区新发展阶段公共文化服务目录，促进公共文化服务高质量发展。鼓励各街道、各文化场馆创新特色文化服务项目，打造优质公共文化服务品牌。  </w:t>
      </w:r>
    </w:p>
    <w:p>
      <w:pPr>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加大辖区公共文化服务空间供给，在各大商圈、产业园区、写字楼等城市公共空间建设一批专业博物馆、艺术馆、展览馆作为公共文化服务的活力载体，鼓励社会力量积极参与。结合实际打造一批具有福田特色的城市文化品牌，进一步完善丰富多彩的“福田文化菜单”。在国家法定节假日创新举办更多具有国际影响力、中华传统文化元素和中心城区特质的新型文化活动，形成“月月有主题，全年都精彩”的城市文化氛围。以市民文化需求为导向，塑造一批具有深圳气派、福田品质、街道特色的文化品牌，努力形成10个以上具有广泛影响力和示范带动作用的区级公共文化品牌群。</w:t>
      </w:r>
    </w:p>
    <w:p>
      <w:pPr>
        <w:pStyle w:val="2"/>
        <w:ind w:firstLine="640" w:firstLineChars="200"/>
        <w:rPr>
          <w:rFonts w:hint="default"/>
          <w:lang w:val="en-US" w:eastAsia="zh-CN"/>
        </w:rPr>
      </w:pPr>
      <w:r>
        <w:rPr>
          <w:rFonts w:hint="eastAsia" w:ascii="仿宋_GB2312" w:hAnsi="宋体" w:eastAsia="仿宋_GB2312" w:cs="宋体"/>
          <w:kern w:val="0"/>
          <w:sz w:val="32"/>
          <w:szCs w:val="32"/>
          <w:lang w:val="en-US" w:eastAsia="zh-CN"/>
        </w:rPr>
        <w:t>注重传统文化传承与发展。直推行“青少年传统文化传承计划”，组织辖区少年儿童开展学传统、诵经典、看国剧、听国音、演国戏等文艺活动，引导青少年积极参与传统文化交流。同时支持和鼓励不可移动文物建筑的合理利用，推动文物建筑“修旧如旧”。积极探讨文物活化利用模式，加强福田“围村”历史普及宣传，连续几年开展“福田区围村风情季”品牌活动，围绕深港民间文化等特色主题，挖掘福田辖区建筑设施、风土民情、民俗民风等文化旅游消费潜力，宣传福田本土文化，传承福田城区文脉。</w:t>
      </w:r>
    </w:p>
    <w:p>
      <w:pPr>
        <w:spacing w:line="560" w:lineRule="exact"/>
        <w:ind w:firstLine="640" w:firstLineChars="200"/>
      </w:pPr>
      <w:r>
        <w:rPr>
          <w:rFonts w:hint="eastAsia" w:ascii="仿宋_GB2312" w:hAnsi="宋体" w:eastAsia="仿宋_GB2312" w:cs="宋体"/>
          <w:kern w:val="0"/>
          <w:sz w:val="32"/>
          <w:szCs w:val="32"/>
        </w:rPr>
        <w:t>发挥专业人才在</w:t>
      </w:r>
      <w:r>
        <w:rPr>
          <w:rFonts w:hint="eastAsia" w:ascii="仿宋_GB2312" w:hAnsi="宋体" w:eastAsia="仿宋_GB2312" w:cs="宋体"/>
          <w:kern w:val="0"/>
          <w:sz w:val="32"/>
          <w:szCs w:val="32"/>
          <w:lang w:eastAsia="zh-CN"/>
        </w:rPr>
        <w:t>福田区</w:t>
      </w:r>
      <w:r>
        <w:rPr>
          <w:rFonts w:hint="eastAsia" w:ascii="仿宋_GB2312" w:hAnsi="宋体" w:eastAsia="仿宋_GB2312" w:cs="宋体"/>
          <w:kern w:val="0"/>
          <w:sz w:val="32"/>
          <w:szCs w:val="32"/>
        </w:rPr>
        <w:t>公共文化事业中的作用。树牢“人才引领发展”观念。一是注重引进人才，发挥人才引领作用,已引进包括郎朗、吕思清在内的18位文化名人；二是注重培养人才，发挥人才的带动作用。加强对文化类行业协会、社会团体、民办非企业单位等社会组织及企业化运作的民间文艺院团的引导和管理，积极提供培训、展示、比赛交流平台，培养一批具备民间国际交流水准的文化类组织。</w:t>
      </w:r>
    </w:p>
    <w:p>
      <w:pPr>
        <w:spacing w:line="560" w:lineRule="exact"/>
        <w:ind w:firstLine="645"/>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五</w:t>
      </w:r>
      <w:r>
        <w:rPr>
          <w:rFonts w:hint="eastAsia" w:ascii="黑体" w:hAnsi="黑体" w:eastAsia="黑体" w:cs="黑体"/>
          <w:kern w:val="0"/>
          <w:sz w:val="32"/>
          <w:szCs w:val="32"/>
        </w:rPr>
        <w:t>、促进文化与科技融合发展</w:t>
      </w:r>
      <w:r>
        <w:rPr>
          <w:rFonts w:hint="eastAsia" w:ascii="黑体" w:hAnsi="黑体" w:eastAsia="黑体" w:cs="黑体"/>
          <w:kern w:val="0"/>
          <w:sz w:val="32"/>
          <w:szCs w:val="32"/>
          <w:lang w:eastAsia="zh-CN"/>
        </w:rPr>
        <w:t>，加快文化服务数字化建设</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推动实施智慧文旅工程，融汇大数据、云计算、物联网、移动互联网、人工智能、5G等新技术，促进公共文化服务信息共享化、资源数字化、数据可视化、服务智能化，为公共文化服务赋能。积极推动数字文化场馆建设，探索建立沉浸式体验的数字文物博物馆。加快场馆数字化和信息化技术应用，加强与VR、AR等新兴科技的融合，实现智慧运营、创新智慧服务、推行智慧管理。丰富公共文化服务智能化应用场景，推出福田图书馆、文化馆空间导览、机器人辅助导览功能，构建博物馆虚拟现实体验区，促进福田文化智能制造装备产业发展。 </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运用5G网络技术，加快部署“福田文化云”新基建工作，打造融文化信息交流、公共文体服务、区域品牌活动管理于一体的大数据文化云平台，实现福田区公共文化服务全程智能供给的先行示范。推进数字文化馆建设，逐步构建“信息与资源汇聚、管理与服务融合、线上与线下互通”的公共文化服务新模式，整合建设福田特色数字文化资源库。推出一批“云活动”，采用云直播或云录制形式，开展云培训、云讲座、云阅读、云演出、云观展等公益文化活动，加大向社区基层推送力度。 </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关注后疫情时代文化场馆公共卫生安全，引入人脸识别、体温自动检测、空气环境净化、智能消毒、可视对讲设备等，倡导自助操作、无感接触的“非接触式”服务。加强公共文化机构的数字化管理应用，推广点单式、直播式、互动式、一站式文化供给模式，提升服务交互体验。探索利用5G新技术对文化场馆进行数字化管理，丰富公共文化智能化应用场景。</w:t>
      </w:r>
      <w:r>
        <w:rPr>
          <w:rFonts w:hint="eastAsia"/>
        </w:rPr>
        <w:t xml:space="preserve"> </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最后，再次感谢您对福田区</w:t>
      </w:r>
      <w:r>
        <w:rPr>
          <w:rFonts w:hint="eastAsia" w:ascii="仿宋_GB2312" w:hAnsi="楷体" w:eastAsia="仿宋_GB2312" w:cs="宋体"/>
          <w:bCs/>
          <w:sz w:val="32"/>
          <w:szCs w:val="32"/>
        </w:rPr>
        <w:t>文化事业</w:t>
      </w:r>
      <w:r>
        <w:rPr>
          <w:rFonts w:hint="eastAsia" w:ascii="仿宋_GB2312" w:hAnsi="宋体" w:eastAsia="仿宋_GB2312" w:cs="宋体"/>
          <w:kern w:val="0"/>
          <w:sz w:val="32"/>
          <w:szCs w:val="32"/>
        </w:rPr>
        <w:t>的关心和支持。</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此复</w:t>
      </w:r>
    </w:p>
    <w:p>
      <w:pPr>
        <w:jc w:val="right"/>
        <w:rPr>
          <w:rFonts w:hint="eastAsia" w:ascii="仿宋_GB2312" w:hAnsi="仿宋_GB2312" w:eastAsia="仿宋_GB2312" w:cs="仿宋_GB2312"/>
          <w:sz w:val="32"/>
          <w:szCs w:val="32"/>
          <w:lang w:val="en-US" w:eastAsia="zh-CN"/>
        </w:rPr>
      </w:pPr>
    </w:p>
    <w:p>
      <w:pPr>
        <w:pStyle w:val="2"/>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福田区文化广电旅游体育局    </w:t>
      </w:r>
    </w:p>
    <w:p>
      <w:pPr>
        <w:wordWrap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2021年6月2日       </w:t>
      </w:r>
    </w:p>
    <w:p>
      <w:pPr>
        <w:pStyle w:val="2"/>
        <w:wordWrap/>
        <w:rPr>
          <w:rFonts w:hint="eastAsia" w:ascii="仿宋_GB2312" w:hAnsi="仿宋_GB2312" w:eastAsia="仿宋_GB2312" w:cs="仿宋_GB2312"/>
          <w:sz w:val="32"/>
          <w:szCs w:val="32"/>
          <w:lang w:val="en-US" w:eastAsia="zh-CN"/>
        </w:rPr>
      </w:pPr>
    </w:p>
    <w:p>
      <w:pPr>
        <w:pStyle w:val="2"/>
        <w:wordWrap/>
        <w:jc w:val="center"/>
        <w:rPr>
          <w:rFonts w:hint="default"/>
          <w:lang w:val="en-US" w:eastAsia="zh-CN"/>
        </w:rPr>
      </w:pPr>
      <w:bookmarkStart w:id="0" w:name="_GoBack"/>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小标宋">
    <w:altName w:val="方正小标宋_GBK"/>
    <w:panose1 w:val="00000000000000000000"/>
    <w:charset w:val="00"/>
    <w:family w:val="auto"/>
    <w:pitch w:val="default"/>
    <w:sig w:usb0="00000000" w:usb1="00000000" w:usb2="00000000" w:usb3="00000000" w:csb0="00040001" w:csb1="00000000"/>
  </w:font>
  <w:font w:name="新宋体">
    <w:altName w:val="方正书宋_GBK"/>
    <w:panose1 w:val="02010609030101010101"/>
    <w:charset w:val="86"/>
    <w:family w:val="auto"/>
    <w:pitch w:val="default"/>
    <w:sig w:usb0="00000000" w:usb1="00000000" w:usb2="00000006"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572294"/>
    <w:multiLevelType w:val="singleLevel"/>
    <w:tmpl w:val="735722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5B3"/>
    <w:rsid w:val="00057E66"/>
    <w:rsid w:val="000964F9"/>
    <w:rsid w:val="000E7591"/>
    <w:rsid w:val="000F219E"/>
    <w:rsid w:val="000F45BF"/>
    <w:rsid w:val="001028AA"/>
    <w:rsid w:val="0011062D"/>
    <w:rsid w:val="00155F22"/>
    <w:rsid w:val="00195C6F"/>
    <w:rsid w:val="00196AC4"/>
    <w:rsid w:val="001A04F6"/>
    <w:rsid w:val="001F57F1"/>
    <w:rsid w:val="00200DC0"/>
    <w:rsid w:val="002459E5"/>
    <w:rsid w:val="00246FB7"/>
    <w:rsid w:val="00251DB8"/>
    <w:rsid w:val="00271D9D"/>
    <w:rsid w:val="00286E35"/>
    <w:rsid w:val="002B05EF"/>
    <w:rsid w:val="002B6CC4"/>
    <w:rsid w:val="002C1DBF"/>
    <w:rsid w:val="002C5DB0"/>
    <w:rsid w:val="002F5649"/>
    <w:rsid w:val="0032173B"/>
    <w:rsid w:val="0033331E"/>
    <w:rsid w:val="00353421"/>
    <w:rsid w:val="00356565"/>
    <w:rsid w:val="00356F9D"/>
    <w:rsid w:val="00384DAF"/>
    <w:rsid w:val="003A1FBB"/>
    <w:rsid w:val="003E267D"/>
    <w:rsid w:val="004005C5"/>
    <w:rsid w:val="00417008"/>
    <w:rsid w:val="004344E8"/>
    <w:rsid w:val="00490F65"/>
    <w:rsid w:val="004C35B3"/>
    <w:rsid w:val="00506035"/>
    <w:rsid w:val="005101F9"/>
    <w:rsid w:val="00525755"/>
    <w:rsid w:val="005B7B47"/>
    <w:rsid w:val="005E1DFC"/>
    <w:rsid w:val="0060520B"/>
    <w:rsid w:val="00615789"/>
    <w:rsid w:val="00646BB0"/>
    <w:rsid w:val="00662E2B"/>
    <w:rsid w:val="006A3B40"/>
    <w:rsid w:val="006B3885"/>
    <w:rsid w:val="00731F0E"/>
    <w:rsid w:val="00736CE2"/>
    <w:rsid w:val="007B28C8"/>
    <w:rsid w:val="008375CE"/>
    <w:rsid w:val="0095714D"/>
    <w:rsid w:val="00957F7B"/>
    <w:rsid w:val="0098556F"/>
    <w:rsid w:val="00997724"/>
    <w:rsid w:val="009C403D"/>
    <w:rsid w:val="00A247D8"/>
    <w:rsid w:val="00A27CF1"/>
    <w:rsid w:val="00A53529"/>
    <w:rsid w:val="00A81DA0"/>
    <w:rsid w:val="00A96DC6"/>
    <w:rsid w:val="00AC46FE"/>
    <w:rsid w:val="00AD42C8"/>
    <w:rsid w:val="00AD67B9"/>
    <w:rsid w:val="00B0384C"/>
    <w:rsid w:val="00B057C5"/>
    <w:rsid w:val="00B55F17"/>
    <w:rsid w:val="00B901E8"/>
    <w:rsid w:val="00BA5652"/>
    <w:rsid w:val="00C5717C"/>
    <w:rsid w:val="00C70FAA"/>
    <w:rsid w:val="00C87D8C"/>
    <w:rsid w:val="00C9685F"/>
    <w:rsid w:val="00CB2455"/>
    <w:rsid w:val="00CB40F7"/>
    <w:rsid w:val="00CF0757"/>
    <w:rsid w:val="00CF363E"/>
    <w:rsid w:val="00D170F8"/>
    <w:rsid w:val="00D8579F"/>
    <w:rsid w:val="00DE1F9E"/>
    <w:rsid w:val="00E250E2"/>
    <w:rsid w:val="00E54D81"/>
    <w:rsid w:val="00E812C7"/>
    <w:rsid w:val="00F02E1C"/>
    <w:rsid w:val="00F3358A"/>
    <w:rsid w:val="00F90CED"/>
    <w:rsid w:val="00FF68E0"/>
    <w:rsid w:val="03D56745"/>
    <w:rsid w:val="07693436"/>
    <w:rsid w:val="07F7480A"/>
    <w:rsid w:val="0BFA01AA"/>
    <w:rsid w:val="0E686E56"/>
    <w:rsid w:val="12A26B0F"/>
    <w:rsid w:val="12A4492C"/>
    <w:rsid w:val="15A61C02"/>
    <w:rsid w:val="18994999"/>
    <w:rsid w:val="19330F9E"/>
    <w:rsid w:val="1AB33F16"/>
    <w:rsid w:val="1B3C4291"/>
    <w:rsid w:val="1F7D0887"/>
    <w:rsid w:val="230533CD"/>
    <w:rsid w:val="26771691"/>
    <w:rsid w:val="2A8677A0"/>
    <w:rsid w:val="2A8A51AA"/>
    <w:rsid w:val="2EA3313C"/>
    <w:rsid w:val="36171D63"/>
    <w:rsid w:val="368A74A4"/>
    <w:rsid w:val="36AC2526"/>
    <w:rsid w:val="36F609EF"/>
    <w:rsid w:val="41C85790"/>
    <w:rsid w:val="422B1216"/>
    <w:rsid w:val="450B2BD4"/>
    <w:rsid w:val="45667B45"/>
    <w:rsid w:val="4C4D5F47"/>
    <w:rsid w:val="4E5C1AEE"/>
    <w:rsid w:val="4F994056"/>
    <w:rsid w:val="504A4904"/>
    <w:rsid w:val="51A73989"/>
    <w:rsid w:val="553D5935"/>
    <w:rsid w:val="57A2091E"/>
    <w:rsid w:val="6B0508D0"/>
    <w:rsid w:val="6C0721CD"/>
    <w:rsid w:val="71F967F2"/>
    <w:rsid w:val="722D456C"/>
    <w:rsid w:val="748F73A0"/>
    <w:rsid w:val="796208B3"/>
    <w:rsid w:val="7EFF1C28"/>
    <w:rsid w:val="FFEFD4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nhideWhenUsed/>
    <w:qFormat/>
    <w:uiPriority w:val="1"/>
    <w:pPr>
      <w:outlineLvl w:val="0"/>
    </w:pPr>
    <w:rPr>
      <w:rFonts w:ascii="Microsoft JhengHei" w:hAnsi="Microsoft JhengHei" w:eastAsia="Microsoft JhengHei"/>
      <w:sz w:val="4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1"/>
    <w:pPr>
      <w:ind w:left="106"/>
    </w:pPr>
    <w:rPr>
      <w:rFonts w:hint="eastAsia" w:ascii="仿宋_GB2312" w:hAnsi="仿宋_GB2312" w:eastAsia="仿宋_GB2312"/>
      <w:sz w:val="32"/>
      <w:szCs w:val="24"/>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281</Words>
  <Characters>1607</Characters>
  <Lines>13</Lines>
  <Paragraphs>3</Paragraphs>
  <TotalTime>4</TotalTime>
  <ScaleCrop>false</ScaleCrop>
  <LinksUpToDate>false</LinksUpToDate>
  <CharactersWithSpaces>1885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2021-04-27T02:05:00Z</dcterms:created>
  <dc:creator>D</dc:creator>
  <cp:lastModifiedBy>zengxin1</cp:lastModifiedBy>
  <cp:lastPrinted>2021-06-02T20:03:00Z</cp:lastPrinted>
  <dcterms:modified xsi:type="dcterms:W3CDTF">2021-12-06T16:09:14Z</dcterms:modified>
  <dc:title>关于深圳市政协七届一次会议委员《关于构建高质量公共文化服务体系，打造城市文明典范和民生幸福标杆的提案》（第20210137号）的回复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B00D9CE6A66A4516817C9FF56EE03A73</vt:lpwstr>
  </property>
</Properties>
</file>